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8.xml" ContentType="application/vnd.openxmlformats-officedocument.drawingml.chart+xml"/>
  <Override PartName="/word/charts/chart9.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10.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1.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02F24" w14:textId="36A29A18" w:rsidR="00BB20DC" w:rsidRDefault="00BB20DC" w:rsidP="00695A9A">
      <w:pPr>
        <w:spacing w:before="300" w:after="300"/>
        <w:jc w:val="right"/>
        <w:rPr>
          <w:b/>
          <w:bCs/>
          <w:color w:val="07BFBA"/>
        </w:rPr>
      </w:pPr>
      <w:bookmarkStart w:id="0" w:name="_Hlk33002076"/>
      <w:r w:rsidRPr="00487038">
        <w:rPr>
          <w:b/>
          <w:bCs/>
          <w:color w:val="07BFBA"/>
        </w:rPr>
        <w:t xml:space="preserve">Próxima publicación: </w:t>
      </w:r>
      <w:r w:rsidR="00B50A1F">
        <w:rPr>
          <w:b/>
          <w:bCs/>
          <w:color w:val="07BFBA"/>
        </w:rPr>
        <w:t>2</w:t>
      </w:r>
      <w:r w:rsidR="00FC25AC">
        <w:rPr>
          <w:b/>
          <w:bCs/>
          <w:color w:val="07BFBA"/>
        </w:rPr>
        <w:t>8</w:t>
      </w:r>
      <w:r w:rsidR="007325AE">
        <w:rPr>
          <w:b/>
          <w:bCs/>
          <w:color w:val="07BFBA"/>
        </w:rPr>
        <w:t xml:space="preserve"> de </w:t>
      </w:r>
      <w:r w:rsidR="0084387E">
        <w:rPr>
          <w:b/>
          <w:bCs/>
          <w:color w:val="07BFBA"/>
        </w:rPr>
        <w:t>enero</w:t>
      </w:r>
      <w:r w:rsidR="005D4AF4">
        <w:rPr>
          <w:b/>
          <w:bCs/>
          <w:color w:val="07BFBA"/>
        </w:rPr>
        <w:t xml:space="preserve"> </w:t>
      </w:r>
      <w:r w:rsidR="00C56C5B">
        <w:rPr>
          <w:b/>
          <w:bCs/>
          <w:color w:val="07BFBA"/>
        </w:rPr>
        <w:t>de 202</w:t>
      </w:r>
      <w:r w:rsidR="0084387E">
        <w:rPr>
          <w:b/>
          <w:bCs/>
          <w:color w:val="07BFBA"/>
        </w:rPr>
        <w:t>7</w:t>
      </w:r>
    </w:p>
    <w:tbl>
      <w:tblPr>
        <w:tblpPr w:leftFromText="141" w:rightFromText="141" w:vertAnchor="text" w:horzAnchor="margin" w:tblpXSpec="center" w:tblpY="-29"/>
        <w:tblW w:w="3819" w:type="pct"/>
        <w:tblCellMar>
          <w:left w:w="0" w:type="dxa"/>
          <w:right w:w="0" w:type="dxa"/>
        </w:tblCellMar>
        <w:tblLook w:val="0420" w:firstRow="1" w:lastRow="0" w:firstColumn="0" w:lastColumn="0" w:noHBand="0" w:noVBand="1"/>
      </w:tblPr>
      <w:tblGrid>
        <w:gridCol w:w="1750"/>
        <w:gridCol w:w="278"/>
        <w:gridCol w:w="1702"/>
        <w:gridCol w:w="278"/>
        <w:gridCol w:w="1654"/>
        <w:gridCol w:w="277"/>
        <w:gridCol w:w="1664"/>
      </w:tblGrid>
      <w:tr w:rsidR="00E33B08" w:rsidRPr="009B2FB6" w14:paraId="79E000F0" w14:textId="77777777" w:rsidTr="00180475">
        <w:trPr>
          <w:trHeight w:val="20"/>
        </w:trPr>
        <w:tc>
          <w:tcPr>
            <w:tcW w:w="5000" w:type="pct"/>
            <w:gridSpan w:val="7"/>
            <w:tcBorders>
              <w:left w:val="single" w:sz="8" w:space="0" w:color="FFFFFF" w:themeColor="background1"/>
              <w:bottom w:val="single" w:sz="8" w:space="0" w:color="FFFFFF" w:themeColor="background1"/>
              <w:right w:val="single" w:sz="8" w:space="0" w:color="FFFFFF" w:themeColor="background1"/>
            </w:tcBorders>
            <w:shd w:val="clear" w:color="auto" w:fill="C0C0C0"/>
            <w:tcMar>
              <w:top w:w="72" w:type="dxa"/>
              <w:left w:w="57" w:type="dxa"/>
              <w:bottom w:w="72" w:type="dxa"/>
              <w:right w:w="57" w:type="dxa"/>
            </w:tcMar>
            <w:vAlign w:val="center"/>
          </w:tcPr>
          <w:p w14:paraId="007093BA" w14:textId="28646E30" w:rsidR="00E33B08" w:rsidRDefault="00B82CC0" w:rsidP="00E33B08">
            <w:pPr>
              <w:shd w:val="clear" w:color="auto" w:fill="C0C0C0"/>
              <w:ind w:left="17" w:hanging="17"/>
              <w:jc w:val="center"/>
              <w:rPr>
                <w:b/>
                <w:bCs/>
                <w:kern w:val="24"/>
                <w:sz w:val="20"/>
                <w:szCs w:val="20"/>
                <w:lang w:val="es-ES" w:eastAsia="es-MX"/>
              </w:rPr>
            </w:pPr>
            <w:r>
              <w:rPr>
                <w:b/>
                <w:bCs/>
                <w:kern w:val="24"/>
                <w:sz w:val="20"/>
                <w:szCs w:val="20"/>
                <w:lang w:val="es-ES" w:eastAsia="es-MX"/>
              </w:rPr>
              <w:t>Ciudad de México</w:t>
            </w:r>
          </w:p>
        </w:tc>
      </w:tr>
      <w:tr w:rsidR="00E33B08" w:rsidRPr="009B2FB6" w14:paraId="207A818A" w14:textId="77777777" w:rsidTr="004F29BC">
        <w:trPr>
          <w:trHeight w:val="384"/>
        </w:trPr>
        <w:tc>
          <w:tcPr>
            <w:tcW w:w="1151" w:type="pct"/>
            <w:tcBorders>
              <w:top w:val="single" w:sz="8" w:space="0" w:color="FFFFFF" w:themeColor="background1"/>
              <w:left w:val="single" w:sz="4" w:space="0" w:color="C0C0C0"/>
              <w:bottom w:val="single" w:sz="4" w:space="0" w:color="C0C0C0"/>
              <w:right w:val="single" w:sz="4" w:space="0" w:color="C0C0C0"/>
            </w:tcBorders>
            <w:shd w:val="clear" w:color="auto" w:fill="C0C0C0"/>
            <w:tcMar>
              <w:top w:w="72" w:type="dxa"/>
              <w:left w:w="57" w:type="dxa"/>
              <w:bottom w:w="72" w:type="dxa"/>
              <w:right w:w="57" w:type="dxa"/>
            </w:tcMar>
            <w:vAlign w:val="center"/>
            <w:hideMark/>
          </w:tcPr>
          <w:p w14:paraId="79AAD47C" w14:textId="6C775CD2" w:rsidR="00E33B08" w:rsidRPr="0072484E" w:rsidRDefault="00E33B08" w:rsidP="008710E2">
            <w:pPr>
              <w:ind w:left="17" w:hanging="17"/>
              <w:jc w:val="center"/>
              <w:rPr>
                <w:b/>
                <w:bCs/>
                <w:kern w:val="24"/>
                <w:sz w:val="20"/>
                <w:szCs w:val="20"/>
                <w:lang w:val="es-ES" w:eastAsia="es-MX"/>
              </w:rPr>
            </w:pPr>
            <w:r>
              <w:rPr>
                <w:b/>
                <w:bCs/>
                <w:kern w:val="24"/>
                <w:sz w:val="20"/>
                <w:szCs w:val="20"/>
                <w:lang w:val="es-ES" w:eastAsia="es-MX"/>
              </w:rPr>
              <w:t xml:space="preserve">Actividad </w:t>
            </w:r>
            <w:r w:rsidR="00AF603D">
              <w:rPr>
                <w:b/>
                <w:bCs/>
                <w:kern w:val="24"/>
                <w:sz w:val="20"/>
                <w:szCs w:val="20"/>
                <w:lang w:val="es-ES" w:eastAsia="es-MX"/>
              </w:rPr>
              <w:t>económica</w:t>
            </w:r>
          </w:p>
        </w:tc>
        <w:tc>
          <w:tcPr>
            <w:tcW w:w="183" w:type="pct"/>
            <w:tcBorders>
              <w:top w:val="single" w:sz="8" w:space="0" w:color="FFFFFF" w:themeColor="background1"/>
              <w:left w:val="single" w:sz="4" w:space="0" w:color="C0C0C0"/>
              <w:right w:val="single" w:sz="4" w:space="0" w:color="C0C0C0"/>
            </w:tcBorders>
          </w:tcPr>
          <w:p w14:paraId="29A68D90" w14:textId="77777777" w:rsidR="00E33B08" w:rsidRPr="009B2FB6" w:rsidRDefault="00E33B08">
            <w:pPr>
              <w:spacing w:before="120" w:after="120"/>
              <w:ind w:left="16" w:hanging="16"/>
              <w:jc w:val="center"/>
              <w:rPr>
                <w:b/>
                <w:bCs/>
                <w:kern w:val="24"/>
                <w:sz w:val="20"/>
                <w:szCs w:val="20"/>
                <w:lang w:val="es-ES" w:eastAsia="es-MX"/>
              </w:rPr>
            </w:pPr>
          </w:p>
        </w:tc>
        <w:tc>
          <w:tcPr>
            <w:tcW w:w="1119" w:type="pct"/>
            <w:tcBorders>
              <w:top w:val="single" w:sz="8" w:space="0" w:color="FFFFFF" w:themeColor="background1"/>
              <w:left w:val="single" w:sz="4" w:space="0" w:color="C0C0C0"/>
              <w:bottom w:val="single" w:sz="4" w:space="0" w:color="C0C0C0"/>
              <w:right w:val="single" w:sz="4" w:space="0" w:color="C0C0C0"/>
            </w:tcBorders>
            <w:shd w:val="clear" w:color="auto" w:fill="C0C0C0"/>
            <w:tcMar>
              <w:top w:w="72" w:type="dxa"/>
              <w:left w:w="57" w:type="dxa"/>
              <w:bottom w:w="72" w:type="dxa"/>
              <w:right w:w="57" w:type="dxa"/>
            </w:tcMar>
            <w:vAlign w:val="center"/>
            <w:hideMark/>
          </w:tcPr>
          <w:p w14:paraId="6CA1790C" w14:textId="77777777" w:rsidR="00E33B08" w:rsidRPr="0072484E" w:rsidRDefault="00E33B08">
            <w:pPr>
              <w:ind w:left="17" w:hanging="17"/>
              <w:jc w:val="center"/>
              <w:rPr>
                <w:b/>
                <w:bCs/>
                <w:kern w:val="24"/>
                <w:sz w:val="20"/>
                <w:szCs w:val="20"/>
                <w:lang w:val="es-ES" w:eastAsia="es-MX"/>
              </w:rPr>
            </w:pPr>
            <w:r>
              <w:rPr>
                <w:b/>
                <w:bCs/>
                <w:kern w:val="24"/>
                <w:sz w:val="20"/>
                <w:szCs w:val="20"/>
                <w:lang w:val="es-ES" w:eastAsia="es-MX"/>
              </w:rPr>
              <w:t>Actividades primarias</w:t>
            </w:r>
          </w:p>
        </w:tc>
        <w:tc>
          <w:tcPr>
            <w:tcW w:w="183" w:type="pct"/>
            <w:vMerge w:val="restart"/>
            <w:tcBorders>
              <w:top w:val="single" w:sz="8" w:space="0" w:color="FFFFFF" w:themeColor="background1"/>
              <w:left w:val="single" w:sz="4" w:space="0" w:color="C0C0C0"/>
              <w:right w:val="single" w:sz="4" w:space="0" w:color="C0C0C0"/>
            </w:tcBorders>
          </w:tcPr>
          <w:p w14:paraId="09ADC443" w14:textId="77777777" w:rsidR="00E33B08" w:rsidRPr="009B2FB6" w:rsidRDefault="00E33B08">
            <w:pPr>
              <w:spacing w:before="120" w:after="120"/>
              <w:ind w:left="16" w:hanging="16"/>
              <w:jc w:val="center"/>
              <w:rPr>
                <w:b/>
                <w:bCs/>
                <w:kern w:val="24"/>
                <w:sz w:val="20"/>
                <w:szCs w:val="20"/>
                <w:lang w:val="es-ES" w:eastAsia="es-MX"/>
              </w:rPr>
            </w:pPr>
          </w:p>
        </w:tc>
        <w:tc>
          <w:tcPr>
            <w:tcW w:w="1088" w:type="pct"/>
            <w:tcBorders>
              <w:top w:val="single" w:sz="8" w:space="0" w:color="FFFFFF" w:themeColor="background1"/>
              <w:left w:val="single" w:sz="4" w:space="0" w:color="C0C0C0"/>
              <w:bottom w:val="single" w:sz="4" w:space="0" w:color="C0C0C0"/>
              <w:right w:val="single" w:sz="4" w:space="0" w:color="C0C0C0"/>
            </w:tcBorders>
            <w:shd w:val="clear" w:color="auto" w:fill="C0C0C0"/>
            <w:vAlign w:val="center"/>
          </w:tcPr>
          <w:p w14:paraId="73829ADE" w14:textId="77777777" w:rsidR="00E33B08" w:rsidRPr="0072484E" w:rsidRDefault="00E33B08">
            <w:pPr>
              <w:ind w:left="17" w:hanging="17"/>
              <w:jc w:val="center"/>
              <w:rPr>
                <w:b/>
                <w:bCs/>
                <w:kern w:val="24"/>
                <w:sz w:val="20"/>
                <w:szCs w:val="20"/>
                <w:lang w:val="es-ES" w:eastAsia="es-MX"/>
              </w:rPr>
            </w:pPr>
            <w:r w:rsidRPr="00764246">
              <w:rPr>
                <w:b/>
                <w:bCs/>
                <w:kern w:val="24"/>
                <w:sz w:val="20"/>
                <w:szCs w:val="20"/>
                <w:lang w:val="es-ES" w:eastAsia="es-MX"/>
              </w:rPr>
              <w:t>Actividades secundarias</w:t>
            </w:r>
          </w:p>
        </w:tc>
        <w:tc>
          <w:tcPr>
            <w:tcW w:w="182" w:type="pct"/>
            <w:tcBorders>
              <w:top w:val="single" w:sz="8" w:space="0" w:color="FFFFFF" w:themeColor="background1"/>
              <w:left w:val="single" w:sz="4" w:space="0" w:color="C0C0C0"/>
              <w:bottom w:val="single" w:sz="4" w:space="0" w:color="FFFFFF" w:themeColor="background1"/>
              <w:right w:val="single" w:sz="4" w:space="0" w:color="C0C0C0"/>
            </w:tcBorders>
          </w:tcPr>
          <w:p w14:paraId="747C349A" w14:textId="77777777" w:rsidR="00E33B08" w:rsidRPr="009B2FB6" w:rsidRDefault="00E33B08">
            <w:pPr>
              <w:ind w:left="17" w:hanging="17"/>
              <w:jc w:val="center"/>
              <w:rPr>
                <w:b/>
                <w:bCs/>
                <w:kern w:val="24"/>
                <w:sz w:val="20"/>
                <w:szCs w:val="20"/>
                <w:lang w:val="es-ES" w:eastAsia="es-MX"/>
              </w:rPr>
            </w:pPr>
          </w:p>
        </w:tc>
        <w:tc>
          <w:tcPr>
            <w:tcW w:w="1094" w:type="pct"/>
            <w:tcBorders>
              <w:left w:val="single" w:sz="4" w:space="0" w:color="C0C0C0"/>
              <w:bottom w:val="single" w:sz="8" w:space="0" w:color="FFFFFF" w:themeColor="background1"/>
              <w:right w:val="single" w:sz="4" w:space="0" w:color="C0C0C0"/>
            </w:tcBorders>
            <w:shd w:val="clear" w:color="auto" w:fill="C0C0C0"/>
          </w:tcPr>
          <w:p w14:paraId="42430744" w14:textId="0555F80F" w:rsidR="00E33B08" w:rsidRPr="0072484E" w:rsidRDefault="00E33B08" w:rsidP="00E33B08">
            <w:pPr>
              <w:ind w:left="17" w:hanging="17"/>
              <w:jc w:val="center"/>
              <w:rPr>
                <w:b/>
                <w:bCs/>
                <w:kern w:val="24"/>
                <w:sz w:val="20"/>
                <w:szCs w:val="20"/>
                <w:lang w:val="es-ES" w:eastAsia="es-MX"/>
              </w:rPr>
            </w:pPr>
            <w:r w:rsidRPr="00E33B08">
              <w:rPr>
                <w:b/>
                <w:bCs/>
                <w:kern w:val="24"/>
                <w:sz w:val="20"/>
                <w:szCs w:val="20"/>
                <w:lang w:val="es-ES" w:eastAsia="es-MX"/>
              </w:rPr>
              <w:t>Actividades terciarias</w:t>
            </w:r>
          </w:p>
        </w:tc>
      </w:tr>
      <w:tr w:rsidR="00E33B08" w:rsidRPr="009B2FB6" w14:paraId="74BE9E9C" w14:textId="77777777" w:rsidTr="004F29BC">
        <w:trPr>
          <w:trHeight w:val="396"/>
        </w:trPr>
        <w:tc>
          <w:tcPr>
            <w:tcW w:w="1151" w:type="pct"/>
            <w:tcBorders>
              <w:top w:val="single" w:sz="8" w:space="0" w:color="FFFFFF" w:themeColor="background1"/>
              <w:left w:val="single" w:sz="4" w:space="0" w:color="C0C0C0"/>
              <w:bottom w:val="single" w:sz="4" w:space="0" w:color="C0C0C0"/>
              <w:right w:val="single" w:sz="4" w:space="0" w:color="C0C0C0"/>
            </w:tcBorders>
            <w:shd w:val="clear" w:color="auto" w:fill="F2F2F2"/>
            <w:tcMar>
              <w:top w:w="72" w:type="dxa"/>
              <w:left w:w="57" w:type="dxa"/>
              <w:bottom w:w="72" w:type="dxa"/>
              <w:right w:w="57" w:type="dxa"/>
            </w:tcMar>
            <w:vAlign w:val="center"/>
          </w:tcPr>
          <w:p w14:paraId="16C849B3" w14:textId="64A58D75" w:rsidR="00E33B08" w:rsidRDefault="00090CF7">
            <w:pPr>
              <w:ind w:left="17" w:hanging="17"/>
              <w:jc w:val="center"/>
              <w:rPr>
                <w:b/>
                <w:bCs/>
                <w:kern w:val="24"/>
                <w:sz w:val="20"/>
                <w:szCs w:val="20"/>
                <w:lang w:val="es-ES" w:eastAsia="es-MX"/>
              </w:rPr>
            </w:pPr>
            <w:r>
              <w:rPr>
                <w:b/>
                <w:bCs/>
                <w:kern w:val="24"/>
                <w:sz w:val="18"/>
                <w:szCs w:val="18"/>
                <w:lang w:val="es-ES" w:eastAsia="es-MX"/>
              </w:rPr>
              <w:t>v</w:t>
            </w:r>
            <w:r w:rsidR="00E33B08" w:rsidRPr="002D7599">
              <w:rPr>
                <w:b/>
                <w:bCs/>
                <w:kern w:val="24"/>
                <w:sz w:val="18"/>
                <w:szCs w:val="18"/>
                <w:lang w:val="es-ES" w:eastAsia="es-MX"/>
              </w:rPr>
              <w:t>ariación anual</w:t>
            </w:r>
          </w:p>
        </w:tc>
        <w:tc>
          <w:tcPr>
            <w:tcW w:w="183" w:type="pct"/>
            <w:tcBorders>
              <w:top w:val="single" w:sz="8" w:space="0" w:color="FFFFFF" w:themeColor="background1"/>
              <w:left w:val="single" w:sz="4" w:space="0" w:color="C0C0C0"/>
              <w:bottom w:val="single" w:sz="4" w:space="0" w:color="FFFFFF" w:themeColor="background1"/>
              <w:right w:val="single" w:sz="4" w:space="0" w:color="C0C0C0"/>
            </w:tcBorders>
          </w:tcPr>
          <w:p w14:paraId="1CC02535" w14:textId="77777777" w:rsidR="00E33B08" w:rsidRPr="009B2FB6" w:rsidRDefault="00E33B08">
            <w:pPr>
              <w:spacing w:before="120" w:after="120"/>
              <w:ind w:left="16" w:hanging="16"/>
              <w:jc w:val="center"/>
              <w:rPr>
                <w:b/>
                <w:bCs/>
                <w:kern w:val="24"/>
                <w:sz w:val="20"/>
                <w:szCs w:val="20"/>
                <w:lang w:val="es-ES" w:eastAsia="es-MX"/>
              </w:rPr>
            </w:pPr>
          </w:p>
        </w:tc>
        <w:tc>
          <w:tcPr>
            <w:tcW w:w="1119" w:type="pct"/>
            <w:tcBorders>
              <w:top w:val="single" w:sz="8" w:space="0" w:color="FFFFFF" w:themeColor="background1"/>
              <w:left w:val="single" w:sz="4" w:space="0" w:color="C0C0C0"/>
              <w:bottom w:val="single" w:sz="4" w:space="0" w:color="C0C0C0"/>
              <w:right w:val="single" w:sz="4" w:space="0" w:color="C0C0C0"/>
            </w:tcBorders>
            <w:shd w:val="clear" w:color="auto" w:fill="F2F2F2"/>
            <w:tcMar>
              <w:top w:w="72" w:type="dxa"/>
              <w:left w:w="57" w:type="dxa"/>
              <w:bottom w:w="72" w:type="dxa"/>
              <w:right w:w="57" w:type="dxa"/>
            </w:tcMar>
            <w:vAlign w:val="center"/>
          </w:tcPr>
          <w:p w14:paraId="1260192E" w14:textId="24B88652" w:rsidR="00E33B08" w:rsidRDefault="00090CF7">
            <w:pPr>
              <w:ind w:left="17" w:hanging="17"/>
              <w:jc w:val="center"/>
              <w:rPr>
                <w:b/>
                <w:bCs/>
                <w:kern w:val="24"/>
                <w:sz w:val="20"/>
                <w:szCs w:val="20"/>
                <w:lang w:val="es-ES" w:eastAsia="es-MX"/>
              </w:rPr>
            </w:pPr>
            <w:r>
              <w:rPr>
                <w:b/>
                <w:bCs/>
                <w:kern w:val="24"/>
                <w:sz w:val="18"/>
                <w:szCs w:val="18"/>
                <w:lang w:val="es-ES" w:eastAsia="es-MX"/>
              </w:rPr>
              <w:t>v</w:t>
            </w:r>
            <w:r w:rsidR="00E33B08" w:rsidRPr="002D7599">
              <w:rPr>
                <w:b/>
                <w:bCs/>
                <w:kern w:val="24"/>
                <w:sz w:val="18"/>
                <w:szCs w:val="18"/>
                <w:lang w:val="es-ES" w:eastAsia="es-MX"/>
              </w:rPr>
              <w:t>ariación anual</w:t>
            </w:r>
          </w:p>
        </w:tc>
        <w:tc>
          <w:tcPr>
            <w:tcW w:w="183" w:type="pct"/>
            <w:vMerge/>
            <w:tcBorders>
              <w:top w:val="single" w:sz="8" w:space="0" w:color="FFFFFF" w:themeColor="background1"/>
              <w:left w:val="single" w:sz="4" w:space="0" w:color="C0C0C0"/>
              <w:right w:val="single" w:sz="4" w:space="0" w:color="C0C0C0"/>
            </w:tcBorders>
          </w:tcPr>
          <w:p w14:paraId="0BB2B2A9" w14:textId="77777777" w:rsidR="00E33B08" w:rsidRPr="009B2FB6" w:rsidRDefault="00E33B08">
            <w:pPr>
              <w:spacing w:before="120" w:after="120"/>
              <w:ind w:left="16" w:hanging="16"/>
              <w:jc w:val="center"/>
              <w:rPr>
                <w:b/>
                <w:bCs/>
                <w:kern w:val="24"/>
                <w:sz w:val="20"/>
                <w:szCs w:val="20"/>
                <w:lang w:val="es-ES" w:eastAsia="es-MX"/>
              </w:rPr>
            </w:pPr>
          </w:p>
        </w:tc>
        <w:tc>
          <w:tcPr>
            <w:tcW w:w="1088" w:type="pct"/>
            <w:tcBorders>
              <w:top w:val="single" w:sz="8" w:space="0" w:color="FFFFFF" w:themeColor="background1"/>
              <w:left w:val="single" w:sz="4" w:space="0" w:color="C0C0C0"/>
              <w:bottom w:val="single" w:sz="4" w:space="0" w:color="C0C0C0"/>
              <w:right w:val="single" w:sz="4" w:space="0" w:color="C0C0C0"/>
            </w:tcBorders>
            <w:shd w:val="clear" w:color="auto" w:fill="F2F2F2"/>
            <w:vAlign w:val="center"/>
          </w:tcPr>
          <w:p w14:paraId="617CB2AB" w14:textId="17C7510C" w:rsidR="00E33B08" w:rsidRDefault="00090CF7">
            <w:pPr>
              <w:ind w:left="17" w:hanging="17"/>
              <w:jc w:val="center"/>
              <w:rPr>
                <w:b/>
                <w:bCs/>
                <w:kern w:val="24"/>
                <w:sz w:val="20"/>
                <w:szCs w:val="20"/>
                <w:lang w:val="es-ES" w:eastAsia="es-MX"/>
              </w:rPr>
            </w:pPr>
            <w:r>
              <w:rPr>
                <w:b/>
                <w:bCs/>
                <w:kern w:val="24"/>
                <w:sz w:val="18"/>
                <w:szCs w:val="18"/>
                <w:lang w:val="es-ES" w:eastAsia="es-MX"/>
              </w:rPr>
              <w:t>va</w:t>
            </w:r>
            <w:r w:rsidR="00E33B08" w:rsidRPr="002D7599">
              <w:rPr>
                <w:b/>
                <w:bCs/>
                <w:kern w:val="24"/>
                <w:sz w:val="18"/>
                <w:szCs w:val="18"/>
                <w:lang w:val="es-ES" w:eastAsia="es-MX"/>
              </w:rPr>
              <w:t>riación anual</w:t>
            </w:r>
          </w:p>
        </w:tc>
        <w:tc>
          <w:tcPr>
            <w:tcW w:w="182" w:type="pct"/>
            <w:tcBorders>
              <w:top w:val="single" w:sz="8" w:space="0" w:color="FFFFFF" w:themeColor="background1"/>
              <w:left w:val="single" w:sz="4" w:space="0" w:color="C0C0C0"/>
              <w:right w:val="single" w:sz="4" w:space="0" w:color="C0C0C0"/>
            </w:tcBorders>
          </w:tcPr>
          <w:p w14:paraId="07DF2995" w14:textId="77777777" w:rsidR="00E33B08" w:rsidRPr="009B2FB6" w:rsidRDefault="00E33B08">
            <w:pPr>
              <w:ind w:left="17" w:hanging="17"/>
              <w:jc w:val="center"/>
              <w:rPr>
                <w:b/>
                <w:bCs/>
                <w:kern w:val="24"/>
                <w:sz w:val="20"/>
                <w:szCs w:val="20"/>
                <w:lang w:val="es-ES" w:eastAsia="es-MX"/>
              </w:rPr>
            </w:pPr>
          </w:p>
        </w:tc>
        <w:tc>
          <w:tcPr>
            <w:tcW w:w="1094" w:type="pct"/>
            <w:tcBorders>
              <w:top w:val="single" w:sz="8" w:space="0" w:color="FFFFFF" w:themeColor="background1"/>
              <w:left w:val="single" w:sz="4" w:space="0" w:color="C0C0C0"/>
              <w:bottom w:val="single" w:sz="4" w:space="0" w:color="C0C0C0"/>
              <w:right w:val="single" w:sz="4" w:space="0" w:color="C0C0C0"/>
            </w:tcBorders>
            <w:shd w:val="clear" w:color="auto" w:fill="F2F2F2"/>
            <w:vAlign w:val="center"/>
          </w:tcPr>
          <w:p w14:paraId="32BF6CD3" w14:textId="109CE602" w:rsidR="00E33B08" w:rsidRPr="0072484E" w:rsidRDefault="00090CF7" w:rsidP="00834CF6">
            <w:pPr>
              <w:ind w:left="17" w:hanging="17"/>
              <w:jc w:val="center"/>
              <w:rPr>
                <w:b/>
                <w:bCs/>
                <w:kern w:val="24"/>
                <w:sz w:val="18"/>
                <w:szCs w:val="18"/>
                <w:lang w:val="es-ES" w:eastAsia="es-MX"/>
              </w:rPr>
            </w:pPr>
            <w:r>
              <w:rPr>
                <w:b/>
                <w:bCs/>
                <w:kern w:val="24"/>
                <w:sz w:val="18"/>
                <w:szCs w:val="18"/>
                <w:lang w:val="es-ES" w:eastAsia="es-MX"/>
              </w:rPr>
              <w:t>v</w:t>
            </w:r>
            <w:r w:rsidR="00E33B08" w:rsidRPr="002D7599">
              <w:rPr>
                <w:b/>
                <w:bCs/>
                <w:kern w:val="24"/>
                <w:sz w:val="18"/>
                <w:szCs w:val="18"/>
                <w:lang w:val="es-ES" w:eastAsia="es-MX"/>
              </w:rPr>
              <w:t>ariación anual</w:t>
            </w:r>
          </w:p>
        </w:tc>
      </w:tr>
      <w:tr w:rsidR="00E64378" w:rsidRPr="009B2FB6" w14:paraId="7045FB02" w14:textId="77777777" w:rsidTr="004F29BC">
        <w:trPr>
          <w:trHeight w:val="20"/>
        </w:trPr>
        <w:tc>
          <w:tcPr>
            <w:tcW w:w="1151" w:type="pct"/>
            <w:tcBorders>
              <w:top w:val="single" w:sz="4" w:space="0" w:color="C0C0C0"/>
              <w:left w:val="single" w:sz="4" w:space="0" w:color="C0C0C0"/>
              <w:bottom w:val="single" w:sz="4" w:space="0" w:color="C0C0C0"/>
              <w:right w:val="single" w:sz="4" w:space="0" w:color="C0C0C0"/>
            </w:tcBorders>
            <w:tcMar>
              <w:top w:w="72" w:type="dxa"/>
              <w:left w:w="57" w:type="dxa"/>
              <w:bottom w:w="72" w:type="dxa"/>
              <w:right w:w="57" w:type="dxa"/>
            </w:tcMar>
            <w:hideMark/>
          </w:tcPr>
          <w:p w14:paraId="4FD7BD35" w14:textId="48C88C84" w:rsidR="00E64378" w:rsidRPr="009D7CFF" w:rsidRDefault="00E64378" w:rsidP="00E64378">
            <w:pPr>
              <w:ind w:left="797" w:hanging="797"/>
              <w:jc w:val="center"/>
              <w:rPr>
                <w:sz w:val="26"/>
                <w:szCs w:val="26"/>
                <w:lang w:val="es-MX" w:eastAsia="es-MX"/>
              </w:rPr>
            </w:pPr>
            <w:r w:rsidRPr="009D7CFF">
              <w:rPr>
                <w:color w:val="808080"/>
                <w:sz w:val="26"/>
                <w:szCs w:val="26"/>
              </w:rPr>
              <w:t>▲</w:t>
            </w:r>
            <w:r w:rsidRPr="009D7CFF">
              <w:rPr>
                <w:sz w:val="26"/>
                <w:szCs w:val="26"/>
              </w:rPr>
              <w:t xml:space="preserve"> 2.4</w:t>
            </w:r>
            <w:r w:rsidR="00235290">
              <w:rPr>
                <w:sz w:val="26"/>
                <w:szCs w:val="26"/>
              </w:rPr>
              <w:t> %</w:t>
            </w:r>
            <w:r w:rsidRPr="009D7CFF">
              <w:rPr>
                <w:sz w:val="26"/>
                <w:szCs w:val="26"/>
              </w:rPr>
              <w:t xml:space="preserve"> </w:t>
            </w:r>
          </w:p>
        </w:tc>
        <w:tc>
          <w:tcPr>
            <w:tcW w:w="183" w:type="pct"/>
            <w:tcBorders>
              <w:top w:val="single" w:sz="4" w:space="0" w:color="FFFFFF" w:themeColor="background1"/>
              <w:left w:val="single" w:sz="4" w:space="0" w:color="C0C0C0"/>
              <w:right w:val="single" w:sz="4" w:space="0" w:color="C0C0C0"/>
            </w:tcBorders>
          </w:tcPr>
          <w:p w14:paraId="228281E2" w14:textId="77777777" w:rsidR="00E64378" w:rsidRPr="004F29BC" w:rsidRDefault="00E64378" w:rsidP="00E64378">
            <w:pPr>
              <w:ind w:left="797" w:hanging="797"/>
              <w:jc w:val="center"/>
              <w:rPr>
                <w:kern w:val="24"/>
                <w:sz w:val="26"/>
                <w:szCs w:val="26"/>
                <w:lang w:val="es-ES" w:eastAsia="es-MX"/>
              </w:rPr>
            </w:pPr>
          </w:p>
        </w:tc>
        <w:tc>
          <w:tcPr>
            <w:tcW w:w="1119" w:type="pct"/>
            <w:tcBorders>
              <w:top w:val="single" w:sz="4" w:space="0" w:color="C0C0C0"/>
              <w:left w:val="single" w:sz="4" w:space="0" w:color="C0C0C0"/>
              <w:bottom w:val="single" w:sz="4" w:space="0" w:color="C0C0C0"/>
              <w:right w:val="single" w:sz="4" w:space="0" w:color="C0C0C0"/>
            </w:tcBorders>
            <w:tcMar>
              <w:top w:w="72" w:type="dxa"/>
              <w:left w:w="57" w:type="dxa"/>
              <w:bottom w:w="72" w:type="dxa"/>
              <w:right w:w="57" w:type="dxa"/>
            </w:tcMar>
            <w:hideMark/>
          </w:tcPr>
          <w:p w14:paraId="03BD7699" w14:textId="775E9F2C" w:rsidR="00E64378" w:rsidRPr="009D7CFF" w:rsidRDefault="00E64378" w:rsidP="00E64378">
            <w:pPr>
              <w:ind w:left="797" w:hanging="797"/>
              <w:jc w:val="center"/>
              <w:rPr>
                <w:sz w:val="26"/>
                <w:szCs w:val="26"/>
                <w:lang w:val="es-MX" w:eastAsia="es-MX"/>
              </w:rPr>
            </w:pPr>
            <w:r w:rsidRPr="009D7CFF">
              <w:rPr>
                <w:color w:val="808080"/>
                <w:sz w:val="26"/>
                <w:szCs w:val="26"/>
              </w:rPr>
              <w:t>▼</w:t>
            </w:r>
            <w:r w:rsidRPr="009D7CFF">
              <w:rPr>
                <w:sz w:val="26"/>
                <w:szCs w:val="26"/>
              </w:rPr>
              <w:t xml:space="preserve"> -10.8</w:t>
            </w:r>
            <w:r w:rsidR="00235290">
              <w:rPr>
                <w:sz w:val="26"/>
                <w:szCs w:val="26"/>
              </w:rPr>
              <w:t> %</w:t>
            </w:r>
            <w:r w:rsidRPr="009D7CFF">
              <w:rPr>
                <w:sz w:val="26"/>
                <w:szCs w:val="26"/>
              </w:rPr>
              <w:t xml:space="preserve"> </w:t>
            </w:r>
          </w:p>
        </w:tc>
        <w:tc>
          <w:tcPr>
            <w:tcW w:w="183" w:type="pct"/>
            <w:vMerge/>
            <w:tcBorders>
              <w:left w:val="single" w:sz="4" w:space="0" w:color="C0C0C0"/>
              <w:bottom w:val="single" w:sz="4" w:space="0" w:color="FFFFFF" w:themeColor="background1"/>
              <w:right w:val="single" w:sz="4" w:space="0" w:color="C0C0C0"/>
            </w:tcBorders>
          </w:tcPr>
          <w:p w14:paraId="167B879A" w14:textId="77777777" w:rsidR="00E64378" w:rsidRPr="009D7CFF" w:rsidRDefault="00E64378" w:rsidP="00E64378">
            <w:pPr>
              <w:spacing w:before="120" w:after="120"/>
              <w:ind w:left="16" w:hanging="16"/>
              <w:jc w:val="center"/>
              <w:rPr>
                <w:b/>
                <w:bCs/>
                <w:kern w:val="24"/>
                <w:sz w:val="26"/>
                <w:szCs w:val="26"/>
                <w:lang w:val="es-ES" w:eastAsia="es-MX"/>
              </w:rPr>
            </w:pPr>
          </w:p>
        </w:tc>
        <w:tc>
          <w:tcPr>
            <w:tcW w:w="1088" w:type="pct"/>
            <w:tcBorders>
              <w:top w:val="single" w:sz="4" w:space="0" w:color="C0C0C0"/>
              <w:left w:val="single" w:sz="4" w:space="0" w:color="C0C0C0"/>
              <w:bottom w:val="single" w:sz="4" w:space="0" w:color="C0C0C0"/>
              <w:right w:val="single" w:sz="4" w:space="0" w:color="C0C0C0"/>
            </w:tcBorders>
          </w:tcPr>
          <w:p w14:paraId="1C0DE561" w14:textId="0F47D400" w:rsidR="00E64378" w:rsidRPr="004F29BC" w:rsidRDefault="00E64378" w:rsidP="00E64378">
            <w:pPr>
              <w:jc w:val="center"/>
              <w:rPr>
                <w:kern w:val="24"/>
                <w:sz w:val="26"/>
                <w:szCs w:val="26"/>
                <w:lang w:val="es-ES" w:eastAsia="es-MX"/>
              </w:rPr>
            </w:pPr>
            <w:r w:rsidRPr="009D7CFF">
              <w:rPr>
                <w:color w:val="808080"/>
                <w:sz w:val="26"/>
                <w:szCs w:val="26"/>
              </w:rPr>
              <w:t>▲</w:t>
            </w:r>
            <w:r w:rsidRPr="009D7CFF">
              <w:rPr>
                <w:sz w:val="26"/>
                <w:szCs w:val="26"/>
              </w:rPr>
              <w:t xml:space="preserve"> 0.5</w:t>
            </w:r>
            <w:r w:rsidR="00235290">
              <w:rPr>
                <w:sz w:val="26"/>
                <w:szCs w:val="26"/>
              </w:rPr>
              <w:t> %</w:t>
            </w:r>
            <w:r w:rsidRPr="009D7CFF">
              <w:rPr>
                <w:sz w:val="26"/>
                <w:szCs w:val="26"/>
              </w:rPr>
              <w:t xml:space="preserve"> </w:t>
            </w:r>
          </w:p>
        </w:tc>
        <w:tc>
          <w:tcPr>
            <w:tcW w:w="182" w:type="pct"/>
            <w:tcBorders>
              <w:left w:val="single" w:sz="4" w:space="0" w:color="C0C0C0"/>
              <w:right w:val="single" w:sz="4" w:space="0" w:color="C0C0C0"/>
            </w:tcBorders>
          </w:tcPr>
          <w:p w14:paraId="5C258A2F" w14:textId="77777777" w:rsidR="00E64378" w:rsidRPr="004F29BC" w:rsidRDefault="00E64378" w:rsidP="00E64378">
            <w:pPr>
              <w:jc w:val="center"/>
              <w:rPr>
                <w:kern w:val="24"/>
                <w:sz w:val="26"/>
                <w:szCs w:val="26"/>
                <w:lang w:val="es-ES" w:eastAsia="es-MX"/>
              </w:rPr>
            </w:pPr>
          </w:p>
        </w:tc>
        <w:tc>
          <w:tcPr>
            <w:tcW w:w="1094" w:type="pct"/>
            <w:tcBorders>
              <w:top w:val="single" w:sz="4" w:space="0" w:color="C0C0C0"/>
              <w:left w:val="single" w:sz="4" w:space="0" w:color="C0C0C0"/>
              <w:bottom w:val="single" w:sz="4" w:space="0" w:color="C0C0C0"/>
              <w:right w:val="single" w:sz="4" w:space="0" w:color="C0C0C0"/>
            </w:tcBorders>
          </w:tcPr>
          <w:p w14:paraId="27332603" w14:textId="02578A98" w:rsidR="00E64378" w:rsidRPr="004F29BC" w:rsidRDefault="00E64378" w:rsidP="00E64378">
            <w:pPr>
              <w:jc w:val="center"/>
              <w:rPr>
                <w:kern w:val="24"/>
                <w:sz w:val="26"/>
                <w:szCs w:val="26"/>
                <w:lang w:val="es-ES" w:eastAsia="es-MX"/>
              </w:rPr>
            </w:pPr>
            <w:r w:rsidRPr="009D7CFF">
              <w:rPr>
                <w:color w:val="808080"/>
                <w:sz w:val="26"/>
                <w:szCs w:val="26"/>
              </w:rPr>
              <w:t>▲</w:t>
            </w:r>
            <w:r w:rsidRPr="009D7CFF">
              <w:rPr>
                <w:sz w:val="26"/>
                <w:szCs w:val="26"/>
              </w:rPr>
              <w:t xml:space="preserve"> 2.6</w:t>
            </w:r>
            <w:r w:rsidR="00235290">
              <w:rPr>
                <w:sz w:val="26"/>
                <w:szCs w:val="26"/>
              </w:rPr>
              <w:t> %</w:t>
            </w:r>
            <w:r w:rsidRPr="009D7CFF">
              <w:rPr>
                <w:sz w:val="26"/>
                <w:szCs w:val="26"/>
              </w:rPr>
              <w:t xml:space="preserve"> </w:t>
            </w:r>
          </w:p>
        </w:tc>
      </w:tr>
    </w:tbl>
    <w:p w14:paraId="47BB653A" w14:textId="77777777" w:rsidR="00E33B08" w:rsidRDefault="00E33B08" w:rsidP="00E33B08">
      <w:pPr>
        <w:pStyle w:val="Prrafodelista"/>
        <w:ind w:left="0"/>
        <w:jc w:val="center"/>
        <w:rPr>
          <w:b/>
          <w:bCs/>
          <w:szCs w:val="28"/>
        </w:rPr>
      </w:pPr>
    </w:p>
    <w:p w14:paraId="7B273251" w14:textId="77777777" w:rsidR="00E33B08" w:rsidRDefault="00E33B08" w:rsidP="00E33B08">
      <w:pPr>
        <w:pStyle w:val="Prrafodelista"/>
        <w:ind w:left="0"/>
        <w:jc w:val="center"/>
        <w:rPr>
          <w:b/>
          <w:bCs/>
          <w:szCs w:val="28"/>
        </w:rPr>
      </w:pPr>
    </w:p>
    <w:p w14:paraId="29C23BDF" w14:textId="77777777" w:rsidR="00E33B08" w:rsidRDefault="00E33B08" w:rsidP="00E33B08">
      <w:pPr>
        <w:pStyle w:val="Prrafodelista"/>
        <w:ind w:left="0"/>
        <w:jc w:val="center"/>
        <w:rPr>
          <w:b/>
          <w:bCs/>
          <w:szCs w:val="28"/>
        </w:rPr>
      </w:pPr>
    </w:p>
    <w:p w14:paraId="1B7FA9F6" w14:textId="77777777" w:rsidR="00E33B08" w:rsidRDefault="00E33B08" w:rsidP="00E33B08">
      <w:pPr>
        <w:pStyle w:val="Prrafodelista"/>
        <w:ind w:left="0"/>
        <w:jc w:val="center"/>
        <w:rPr>
          <w:b/>
          <w:bCs/>
          <w:szCs w:val="28"/>
        </w:rPr>
      </w:pPr>
    </w:p>
    <w:p w14:paraId="0BA814F1" w14:textId="77777777" w:rsidR="00E33B08" w:rsidRDefault="00E33B08" w:rsidP="00E33B08">
      <w:pPr>
        <w:pStyle w:val="Prrafodelista"/>
        <w:ind w:left="0"/>
        <w:jc w:val="center"/>
        <w:rPr>
          <w:b/>
          <w:bCs/>
          <w:szCs w:val="28"/>
        </w:rPr>
      </w:pPr>
    </w:p>
    <w:p w14:paraId="4A381B78" w14:textId="77777777" w:rsidR="00E33B08" w:rsidRDefault="00E33B08" w:rsidP="00E33B08">
      <w:pPr>
        <w:pStyle w:val="Prrafodelista"/>
        <w:ind w:left="0"/>
        <w:jc w:val="center"/>
        <w:rPr>
          <w:b/>
          <w:bCs/>
          <w:szCs w:val="28"/>
        </w:rPr>
      </w:pPr>
    </w:p>
    <w:p w14:paraId="6582B417" w14:textId="77777777" w:rsidR="00E33B08" w:rsidRDefault="00E33B08" w:rsidP="00E33B08">
      <w:pPr>
        <w:pStyle w:val="Prrafodelista"/>
        <w:ind w:left="0"/>
        <w:jc w:val="center"/>
        <w:rPr>
          <w:b/>
          <w:bCs/>
          <w:szCs w:val="28"/>
        </w:rPr>
      </w:pPr>
    </w:p>
    <w:p w14:paraId="6243CCF7" w14:textId="77777777" w:rsidR="00E33B08" w:rsidRDefault="00E33B08" w:rsidP="00E33B08">
      <w:pPr>
        <w:pStyle w:val="Prrafodelista"/>
        <w:ind w:left="0"/>
        <w:jc w:val="center"/>
        <w:rPr>
          <w:b/>
          <w:bCs/>
          <w:szCs w:val="28"/>
        </w:rPr>
      </w:pPr>
    </w:p>
    <w:p w14:paraId="0BA0F574" w14:textId="77777777" w:rsidR="00834CF6" w:rsidRDefault="00834CF6" w:rsidP="00C06D95">
      <w:pPr>
        <w:pStyle w:val="Prrafodelista"/>
        <w:ind w:left="0"/>
        <w:jc w:val="center"/>
        <w:rPr>
          <w:b/>
          <w:bCs/>
          <w:szCs w:val="28"/>
        </w:rPr>
      </w:pPr>
    </w:p>
    <w:p w14:paraId="4C372DC1" w14:textId="10E3C512" w:rsidR="00A5671A" w:rsidRDefault="00A5671A" w:rsidP="00C06D95">
      <w:pPr>
        <w:pStyle w:val="Prrafodelista"/>
        <w:ind w:left="0"/>
        <w:jc w:val="center"/>
        <w:rPr>
          <w:b/>
          <w:bCs/>
          <w:szCs w:val="28"/>
        </w:rPr>
      </w:pPr>
      <w:r w:rsidRPr="00A5671A">
        <w:rPr>
          <w:b/>
          <w:bCs/>
          <w:szCs w:val="28"/>
        </w:rPr>
        <w:t xml:space="preserve">Aumentó </w:t>
      </w:r>
      <w:r w:rsidR="009D7CFF">
        <w:rPr>
          <w:b/>
          <w:bCs/>
          <w:szCs w:val="28"/>
        </w:rPr>
        <w:t>2.4</w:t>
      </w:r>
      <w:r w:rsidR="000011CA">
        <w:rPr>
          <w:b/>
          <w:bCs/>
          <w:szCs w:val="28"/>
        </w:rPr>
        <w:t xml:space="preserve"> % </w:t>
      </w:r>
      <w:r w:rsidRPr="00A5671A">
        <w:rPr>
          <w:b/>
          <w:bCs/>
          <w:szCs w:val="28"/>
        </w:rPr>
        <w:t>la actividad económica de Ciudad de México</w:t>
      </w:r>
    </w:p>
    <w:p w14:paraId="14F5C569" w14:textId="47275D68" w:rsidR="00E05EAA" w:rsidRPr="00353138" w:rsidRDefault="00E46EA0" w:rsidP="00C06D95">
      <w:pPr>
        <w:pStyle w:val="Prrafodelista"/>
        <w:ind w:left="0"/>
        <w:jc w:val="center"/>
        <w:rPr>
          <w:b/>
          <w:bCs/>
          <w:szCs w:val="28"/>
        </w:rPr>
      </w:pPr>
      <w:r>
        <w:rPr>
          <w:b/>
          <w:bCs/>
          <w:szCs w:val="28"/>
        </w:rPr>
        <w:t xml:space="preserve">en el </w:t>
      </w:r>
      <w:r w:rsidR="0084387E">
        <w:rPr>
          <w:b/>
          <w:bCs/>
          <w:szCs w:val="28"/>
        </w:rPr>
        <w:t>segundo</w:t>
      </w:r>
      <w:r w:rsidR="00833C67">
        <w:rPr>
          <w:b/>
          <w:bCs/>
          <w:szCs w:val="28"/>
        </w:rPr>
        <w:t xml:space="preserve"> trimestre</w:t>
      </w:r>
      <w:r>
        <w:rPr>
          <w:b/>
          <w:bCs/>
          <w:szCs w:val="28"/>
        </w:rPr>
        <w:t xml:space="preserve"> de</w:t>
      </w:r>
      <w:r w:rsidRPr="00353138">
        <w:rPr>
          <w:b/>
          <w:bCs/>
          <w:szCs w:val="28"/>
        </w:rPr>
        <w:t xml:space="preserve"> 202</w:t>
      </w:r>
      <w:r w:rsidR="00D6520D">
        <w:rPr>
          <w:b/>
          <w:bCs/>
          <w:szCs w:val="28"/>
        </w:rPr>
        <w:t>6</w:t>
      </w:r>
      <w:r w:rsidR="0072484E">
        <w:rPr>
          <w:b/>
          <w:bCs/>
          <w:szCs w:val="28"/>
        </w:rPr>
        <w:t>, a tasa anual</w:t>
      </w:r>
    </w:p>
    <w:p w14:paraId="34B1607B" w14:textId="3B6CBFA8" w:rsidR="00F54014" w:rsidRDefault="00E05EAA" w:rsidP="00633216">
      <w:pPr>
        <w:pStyle w:val="Prrafodelista"/>
        <w:spacing w:before="220"/>
        <w:ind w:left="0"/>
      </w:pPr>
      <w:r w:rsidRPr="12B4AF78">
        <w:rPr>
          <w:lang w:val="es-ES"/>
        </w:rPr>
        <w:t>E</w:t>
      </w:r>
      <w:r w:rsidR="00F75050" w:rsidRPr="12B4AF78">
        <w:rPr>
          <w:lang w:val="es-ES"/>
        </w:rPr>
        <w:t xml:space="preserve">l </w:t>
      </w:r>
      <w:r w:rsidR="002D2065" w:rsidRPr="12B4AF78">
        <w:rPr>
          <w:lang w:val="es-ES"/>
        </w:rPr>
        <w:t xml:space="preserve">Indicador Trimestral de la Actividad Económica Estatal </w:t>
      </w:r>
      <w:r w:rsidR="002D2065" w:rsidRPr="12B4AF78">
        <w:rPr>
          <w:smallCaps/>
          <w:lang w:val="es-ES"/>
        </w:rPr>
        <w:t xml:space="preserve">(itaee) </w:t>
      </w:r>
      <w:r w:rsidR="00B50A1F" w:rsidRPr="12B4AF78">
        <w:rPr>
          <w:lang w:val="es-ES"/>
        </w:rPr>
        <w:t xml:space="preserve">ofrece </w:t>
      </w:r>
      <w:r w:rsidR="00DF27A8" w:rsidRPr="12B4AF78">
        <w:rPr>
          <w:lang w:val="es-ES"/>
        </w:rPr>
        <w:t>el</w:t>
      </w:r>
      <w:r w:rsidR="00B50A1F" w:rsidRPr="12B4AF78">
        <w:rPr>
          <w:lang w:val="es-ES"/>
        </w:rPr>
        <w:t xml:space="preserve"> panorama sobre la evolución económica de las entidades federativas del </w:t>
      </w:r>
      <w:r w:rsidR="003F14F2" w:rsidRPr="12B4AF78">
        <w:rPr>
          <w:lang w:val="es-ES"/>
        </w:rPr>
        <w:t xml:space="preserve">país. El dato anual del </w:t>
      </w:r>
      <w:r w:rsidR="007C5A4C" w:rsidRPr="12B4AF78">
        <w:rPr>
          <w:smallCaps/>
          <w:lang w:val="es-ES"/>
        </w:rPr>
        <w:t>itaee</w:t>
      </w:r>
      <w:r w:rsidR="003F14F2" w:rsidRPr="12B4AF78">
        <w:rPr>
          <w:lang w:val="es-ES"/>
        </w:rPr>
        <w:t xml:space="preserve"> es un resultado preliminar de la tendencia del Producto Interno Bruto por Entidad Federativa (</w:t>
      </w:r>
      <w:r w:rsidR="007C5A4C" w:rsidRPr="12B4AF78">
        <w:rPr>
          <w:smallCaps/>
          <w:lang w:val="es-ES"/>
        </w:rPr>
        <w:t>pibe</w:t>
      </w:r>
      <w:r w:rsidR="003F14F2" w:rsidRPr="12B4AF78">
        <w:rPr>
          <w:lang w:val="es-ES"/>
        </w:rPr>
        <w:t>)</w:t>
      </w:r>
      <w:r w:rsidR="00536ED4" w:rsidRPr="12B4AF78">
        <w:rPr>
          <w:lang w:val="es-ES"/>
        </w:rPr>
        <w:t>.</w:t>
      </w:r>
    </w:p>
    <w:p w14:paraId="6E2CBFEA" w14:textId="1E9D2B4D" w:rsidR="00B52868" w:rsidRDefault="00B52868" w:rsidP="0A431A0A">
      <w:pPr>
        <w:pStyle w:val="Ttulo4"/>
        <w:keepNext w:val="0"/>
        <w:keepLines w:val="0"/>
        <w:spacing w:before="240"/>
        <w:jc w:val="center"/>
        <w:rPr>
          <w:rFonts w:ascii="Arial" w:hAnsi="Arial" w:cs="Arial"/>
          <w:b/>
          <w:bCs/>
          <w:i w:val="0"/>
          <w:iCs w:val="0"/>
          <w:smallCaps/>
          <w:color w:val="auto"/>
          <w:sz w:val="26"/>
          <w:szCs w:val="26"/>
          <w:lang w:val="es-ES"/>
        </w:rPr>
      </w:pPr>
      <w:bookmarkStart w:id="1" w:name="_Hlk180673103"/>
      <w:bookmarkStart w:id="2" w:name="_Hlk123837737"/>
      <w:r w:rsidRPr="0A431A0A">
        <w:rPr>
          <w:rFonts w:ascii="Arial" w:hAnsi="Arial" w:cs="Arial"/>
          <w:b/>
          <w:bCs/>
          <w:i w:val="0"/>
          <w:iCs w:val="0"/>
          <w:smallCaps/>
          <w:color w:val="auto"/>
          <w:sz w:val="26"/>
          <w:szCs w:val="26"/>
          <w:lang w:val="es-ES"/>
        </w:rPr>
        <w:t>i. principales resultados para</w:t>
      </w:r>
      <w:r w:rsidR="009D7CFF" w:rsidRPr="0A431A0A">
        <w:rPr>
          <w:rFonts w:ascii="Arial" w:hAnsi="Arial" w:cs="Arial"/>
          <w:b/>
          <w:bCs/>
          <w:i w:val="0"/>
          <w:iCs w:val="0"/>
          <w:smallCaps/>
          <w:color w:val="auto"/>
          <w:sz w:val="26"/>
          <w:szCs w:val="26"/>
          <w:lang w:val="es-ES"/>
        </w:rPr>
        <w:t xml:space="preserve"> c</w:t>
      </w:r>
      <w:r w:rsidR="00B82CC0" w:rsidRPr="0A431A0A">
        <w:rPr>
          <w:rFonts w:ascii="Arial" w:hAnsi="Arial" w:cs="Arial"/>
          <w:b/>
          <w:bCs/>
          <w:i w:val="0"/>
          <w:iCs w:val="0"/>
          <w:smallCaps/>
          <w:color w:val="auto"/>
          <w:sz w:val="26"/>
          <w:szCs w:val="26"/>
          <w:lang w:val="es-ES"/>
        </w:rPr>
        <w:t xml:space="preserve">iudad de </w:t>
      </w:r>
      <w:r w:rsidR="009D7CFF" w:rsidRPr="0A431A0A">
        <w:rPr>
          <w:rFonts w:ascii="Arial" w:hAnsi="Arial" w:cs="Arial"/>
          <w:b/>
          <w:bCs/>
          <w:i w:val="0"/>
          <w:iCs w:val="0"/>
          <w:smallCaps/>
          <w:color w:val="auto"/>
          <w:sz w:val="26"/>
          <w:szCs w:val="26"/>
          <w:lang w:val="es-ES"/>
        </w:rPr>
        <w:t>m</w:t>
      </w:r>
      <w:r w:rsidR="00B82CC0" w:rsidRPr="0A431A0A">
        <w:rPr>
          <w:rFonts w:ascii="Arial" w:hAnsi="Arial" w:cs="Arial"/>
          <w:b/>
          <w:bCs/>
          <w:i w:val="0"/>
          <w:iCs w:val="0"/>
          <w:smallCaps/>
          <w:color w:val="auto"/>
          <w:sz w:val="26"/>
          <w:szCs w:val="26"/>
          <w:lang w:val="es-ES"/>
        </w:rPr>
        <w:t>éxico</w:t>
      </w:r>
      <w:bookmarkEnd w:id="1"/>
    </w:p>
    <w:p w14:paraId="628EE07B" w14:textId="77777777" w:rsidR="00B52868" w:rsidRPr="00B52868" w:rsidRDefault="00B52868" w:rsidP="00B52868"/>
    <w:p w14:paraId="52227D2A" w14:textId="0E92E764" w:rsidR="00CE3DCA" w:rsidRDefault="00A5671A" w:rsidP="00B52868">
      <w:pPr>
        <w:ind w:right="21"/>
        <w:rPr>
          <w:lang w:eastAsia="es-MX"/>
        </w:rPr>
      </w:pPr>
      <w:r w:rsidRPr="00A5671A">
        <w:rPr>
          <w:lang w:eastAsia="es-MX"/>
        </w:rPr>
        <w:t xml:space="preserve">En el segundo trimestre de 2026, la </w:t>
      </w:r>
      <w:r w:rsidRPr="0031001A">
        <w:rPr>
          <w:i/>
          <w:iCs/>
          <w:lang w:eastAsia="es-MX"/>
        </w:rPr>
        <w:t>actividad económica total</w:t>
      </w:r>
      <w:r w:rsidRPr="00A5671A">
        <w:rPr>
          <w:lang w:eastAsia="es-MX"/>
        </w:rPr>
        <w:t xml:space="preserve"> de </w:t>
      </w:r>
      <w:r w:rsidRPr="008C7781">
        <w:rPr>
          <w:lang w:eastAsia="es-MX"/>
        </w:rPr>
        <w:t>Ciudad de México</w:t>
      </w:r>
      <w:r w:rsidRPr="00A5671A">
        <w:rPr>
          <w:lang w:eastAsia="es-MX"/>
        </w:rPr>
        <w:t xml:space="preserve"> </w:t>
      </w:r>
      <w:r w:rsidR="00EA0716">
        <w:rPr>
          <w:lang w:eastAsia="es-MX"/>
        </w:rPr>
        <w:t>mostró</w:t>
      </w:r>
      <w:r w:rsidR="008C7781">
        <w:rPr>
          <w:lang w:eastAsia="es-MX"/>
        </w:rPr>
        <w:t xml:space="preserve"> </w:t>
      </w:r>
      <w:r w:rsidR="009D7CFF">
        <w:rPr>
          <w:lang w:eastAsia="es-MX"/>
        </w:rPr>
        <w:br/>
      </w:r>
      <w:r w:rsidRPr="00A5671A">
        <w:rPr>
          <w:lang w:eastAsia="es-MX"/>
        </w:rPr>
        <w:t xml:space="preserve">un crecimiento anual de </w:t>
      </w:r>
      <w:r w:rsidR="009D7CFF">
        <w:rPr>
          <w:lang w:eastAsia="es-MX"/>
        </w:rPr>
        <w:t xml:space="preserve">2.4 por ciento. </w:t>
      </w:r>
      <w:r w:rsidRPr="00A5671A">
        <w:rPr>
          <w:lang w:eastAsia="es-MX"/>
        </w:rPr>
        <w:t xml:space="preserve">Este resultado se explica por el avance de las </w:t>
      </w:r>
      <w:r w:rsidRPr="00796E8B">
        <w:rPr>
          <w:i/>
          <w:iCs/>
          <w:lang w:eastAsia="es-MX"/>
        </w:rPr>
        <w:t>actividades terciarias</w:t>
      </w:r>
      <w:r w:rsidRPr="00A5671A">
        <w:rPr>
          <w:lang w:eastAsia="es-MX"/>
        </w:rPr>
        <w:t xml:space="preserve"> y </w:t>
      </w:r>
      <w:r w:rsidRPr="00796E8B">
        <w:rPr>
          <w:i/>
          <w:iCs/>
          <w:lang w:eastAsia="es-MX"/>
        </w:rPr>
        <w:t>secundarias</w:t>
      </w:r>
      <w:r w:rsidRPr="00A5671A">
        <w:rPr>
          <w:lang w:eastAsia="es-MX"/>
        </w:rPr>
        <w:t xml:space="preserve"> de 2.6 y 0.5</w:t>
      </w:r>
      <w:r w:rsidR="00235290">
        <w:rPr>
          <w:lang w:eastAsia="es-MX"/>
        </w:rPr>
        <w:t> %</w:t>
      </w:r>
      <w:r w:rsidRPr="00A5671A">
        <w:rPr>
          <w:lang w:eastAsia="es-MX"/>
        </w:rPr>
        <w:t xml:space="preserve">, respectivamente. A su vez, las </w:t>
      </w:r>
      <w:r w:rsidRPr="00796E8B">
        <w:rPr>
          <w:i/>
          <w:iCs/>
          <w:lang w:eastAsia="es-MX"/>
        </w:rPr>
        <w:t>primarias</w:t>
      </w:r>
      <w:r w:rsidRPr="00A5671A">
        <w:rPr>
          <w:lang w:eastAsia="es-MX"/>
        </w:rPr>
        <w:t xml:space="preserve"> retrocedieron 10.8</w:t>
      </w:r>
      <w:r w:rsidR="00235290">
        <w:rPr>
          <w:lang w:eastAsia="es-MX"/>
        </w:rPr>
        <w:t> %</w:t>
      </w:r>
      <w:r w:rsidRPr="00A5671A">
        <w:rPr>
          <w:lang w:eastAsia="es-MX"/>
        </w:rPr>
        <w:t xml:space="preserve"> (ver gráfica 1).</w:t>
      </w:r>
    </w:p>
    <w:p w14:paraId="385F478F" w14:textId="77777777" w:rsidR="00CE5820" w:rsidRDefault="00CE5820" w:rsidP="00B52868">
      <w:pPr>
        <w:ind w:right="21"/>
        <w:rPr>
          <w:lang w:eastAsia="es-MX"/>
        </w:rPr>
      </w:pPr>
    </w:p>
    <w:p w14:paraId="48033637" w14:textId="77777777" w:rsidR="0028435E" w:rsidRPr="002E59FB" w:rsidRDefault="0028435E" w:rsidP="0028435E">
      <w:pPr>
        <w:ind w:left="-251" w:right="-246"/>
        <w:jc w:val="center"/>
        <w:rPr>
          <w:bCs/>
          <w:color w:val="003057"/>
          <w:sz w:val="20"/>
          <w:szCs w:val="20"/>
        </w:rPr>
      </w:pPr>
      <w:r w:rsidRPr="002E59FB">
        <w:rPr>
          <w:bCs/>
          <w:color w:val="003057"/>
          <w:sz w:val="20"/>
          <w:szCs w:val="20"/>
        </w:rPr>
        <w:t>Gráfica 1</w:t>
      </w:r>
    </w:p>
    <w:p w14:paraId="36D4A406" w14:textId="10D150A1" w:rsidR="00960701" w:rsidRPr="00960701" w:rsidRDefault="002A1FBF" w:rsidP="0005322C">
      <w:pPr>
        <w:ind w:left="-251" w:right="-246"/>
        <w:jc w:val="center"/>
        <w:rPr>
          <w:b/>
          <w:color w:val="003057"/>
          <w:sz w:val="22"/>
          <w:szCs w:val="22"/>
        </w:rPr>
      </w:pPr>
      <w:r>
        <w:rPr>
          <w:b/>
          <w:color w:val="003057"/>
          <w:sz w:val="22"/>
          <w:szCs w:val="22"/>
        </w:rPr>
        <w:t xml:space="preserve">Variación </w:t>
      </w:r>
      <w:r w:rsidR="001A0C8F">
        <w:rPr>
          <w:b/>
          <w:color w:val="003057"/>
          <w:sz w:val="22"/>
          <w:szCs w:val="22"/>
        </w:rPr>
        <w:t xml:space="preserve">anual </w:t>
      </w:r>
      <w:r>
        <w:rPr>
          <w:b/>
          <w:color w:val="003057"/>
          <w:sz w:val="22"/>
          <w:szCs w:val="22"/>
        </w:rPr>
        <w:t xml:space="preserve">del </w:t>
      </w:r>
      <w:r w:rsidR="00960701" w:rsidRPr="00960701">
        <w:rPr>
          <w:b/>
          <w:color w:val="003057"/>
          <w:sz w:val="22"/>
          <w:szCs w:val="22"/>
        </w:rPr>
        <w:t>Indicador Trimestral de la Actividad Económica</w:t>
      </w:r>
      <w:r w:rsidR="000A4A28">
        <w:rPr>
          <w:b/>
          <w:color w:val="003057"/>
          <w:sz w:val="22"/>
          <w:szCs w:val="22"/>
        </w:rPr>
        <w:t xml:space="preserve"> Estatal</w:t>
      </w:r>
      <w:r w:rsidR="007A0B42">
        <w:rPr>
          <w:b/>
          <w:color w:val="003057"/>
          <w:sz w:val="22"/>
          <w:szCs w:val="22"/>
        </w:rPr>
        <w:t>,</w:t>
      </w:r>
    </w:p>
    <w:p w14:paraId="3E43C6D4" w14:textId="34C3A692" w:rsidR="0028435E" w:rsidRPr="00ED6FBD" w:rsidRDefault="00960701" w:rsidP="00960701">
      <w:pPr>
        <w:ind w:left="-251" w:right="-246"/>
        <w:jc w:val="center"/>
        <w:rPr>
          <w:b/>
          <w:smallCaps/>
          <w:color w:val="003057"/>
          <w:sz w:val="22"/>
          <w:szCs w:val="22"/>
        </w:rPr>
      </w:pPr>
      <w:r w:rsidRPr="00960701">
        <w:rPr>
          <w:b/>
          <w:color w:val="003057"/>
          <w:sz w:val="22"/>
          <w:szCs w:val="22"/>
        </w:rPr>
        <w:t>según actividad económica de</w:t>
      </w:r>
      <w:r>
        <w:rPr>
          <w:b/>
          <w:color w:val="003057"/>
          <w:sz w:val="22"/>
          <w:szCs w:val="22"/>
        </w:rPr>
        <w:t xml:space="preserve"> </w:t>
      </w:r>
      <w:r w:rsidR="00B82CC0">
        <w:rPr>
          <w:b/>
          <w:color w:val="003057"/>
          <w:sz w:val="22"/>
          <w:szCs w:val="22"/>
        </w:rPr>
        <w:t>Ciudad de México</w:t>
      </w:r>
    </w:p>
    <w:p w14:paraId="492F8D9B" w14:textId="2C2C09BE" w:rsidR="0028435E" w:rsidRDefault="00FE1493" w:rsidP="0028435E">
      <w:pPr>
        <w:ind w:left="-109" w:right="-104"/>
        <w:jc w:val="center"/>
        <w:rPr>
          <w:bCs/>
          <w:color w:val="27251F"/>
          <w:sz w:val="18"/>
          <w:szCs w:val="18"/>
          <w:lang w:eastAsia="es-MX"/>
        </w:rPr>
      </w:pPr>
      <w:r>
        <w:rPr>
          <w:bCs/>
          <w:color w:val="27251F"/>
          <w:sz w:val="20"/>
          <w:lang w:eastAsia="es-MX"/>
        </w:rPr>
        <w:t>segundo</w:t>
      </w:r>
      <w:r w:rsidR="00833C67">
        <w:rPr>
          <w:bCs/>
          <w:color w:val="27251F"/>
          <w:sz w:val="20"/>
          <w:lang w:eastAsia="es-MX"/>
        </w:rPr>
        <w:t xml:space="preserve"> </w:t>
      </w:r>
      <w:r w:rsidR="003805E1">
        <w:rPr>
          <w:bCs/>
          <w:color w:val="27251F"/>
          <w:sz w:val="20"/>
          <w:lang w:eastAsia="es-MX"/>
        </w:rPr>
        <w:t>trimestre de 202</w:t>
      </w:r>
      <w:r w:rsidR="00D6520D">
        <w:rPr>
          <w:bCs/>
          <w:color w:val="27251F"/>
          <w:sz w:val="20"/>
          <w:lang w:eastAsia="es-MX"/>
        </w:rPr>
        <w:t>6</w:t>
      </w:r>
      <w:r w:rsidR="0028435E" w:rsidRPr="004C6EEB">
        <w:rPr>
          <w:color w:val="000000"/>
          <w:sz w:val="20"/>
          <w:szCs w:val="20"/>
          <w:vertAlign w:val="superscript"/>
          <w:lang w:val="es-MX" w:eastAsia="es-MX"/>
        </w:rPr>
        <w:t>1/</w:t>
      </w:r>
    </w:p>
    <w:p w14:paraId="5FEC5B6B" w14:textId="4883683B" w:rsidR="0028435E" w:rsidRDefault="0028435E" w:rsidP="00EF63BF">
      <w:pPr>
        <w:ind w:right="21"/>
        <w:jc w:val="center"/>
        <w:rPr>
          <w:bCs/>
          <w:color w:val="27251F"/>
          <w:sz w:val="18"/>
          <w:szCs w:val="18"/>
          <w:lang w:eastAsia="es-MX"/>
        </w:rPr>
      </w:pPr>
      <w:r w:rsidRPr="00ED6FBD">
        <w:rPr>
          <w:bCs/>
          <w:color w:val="27251F"/>
          <w:sz w:val="18"/>
          <w:szCs w:val="18"/>
          <w:lang w:eastAsia="es-MX"/>
        </w:rPr>
        <w:t>(</w:t>
      </w:r>
      <w:r w:rsidR="001A0C8F">
        <w:rPr>
          <w:bCs/>
          <w:color w:val="27251F"/>
          <w:sz w:val="18"/>
          <w:szCs w:val="18"/>
          <w:lang w:eastAsia="es-MX"/>
        </w:rPr>
        <w:t>porcentaje</w:t>
      </w:r>
      <w:r w:rsidRPr="00ED6FBD">
        <w:rPr>
          <w:bCs/>
          <w:color w:val="27251F"/>
          <w:sz w:val="18"/>
          <w:szCs w:val="18"/>
          <w:lang w:eastAsia="es-MX"/>
        </w:rPr>
        <w:t>)</w:t>
      </w:r>
    </w:p>
    <w:p w14:paraId="65CEE2E3" w14:textId="41DE0B41" w:rsidR="00A40C00" w:rsidRPr="00180475" w:rsidRDefault="00F05AD1" w:rsidP="00786DAA">
      <w:pPr>
        <w:pStyle w:val="Prrafodelista"/>
        <w:ind w:left="680" w:hanging="680"/>
        <w:jc w:val="center"/>
        <w:rPr>
          <w:bCs/>
          <w:color w:val="FFFFFF" w:themeColor="background1"/>
          <w14:textFill>
            <w14:noFill/>
          </w14:textFill>
        </w:rPr>
      </w:pPr>
      <w:r>
        <w:rPr>
          <w:noProof/>
        </w:rPr>
        <w:drawing>
          <wp:inline distT="0" distB="0" distL="0" distR="0" wp14:anchorId="7E628930" wp14:editId="2535E8B5">
            <wp:extent cx="3090804" cy="2016866"/>
            <wp:effectExtent l="0" t="0" r="0" b="2540"/>
            <wp:docPr id="683404977" name="Gráfico 1">
              <a:extLst xmlns:a="http://schemas.openxmlformats.org/drawingml/2006/main">
                <a:ext uri="{FF2B5EF4-FFF2-40B4-BE49-F238E27FC236}">
                  <a16:creationId xmlns:a16="http://schemas.microsoft.com/office/drawing/2014/main" id="{00000000-0008-0000-0D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bookmarkEnd w:id="2"/>
    <w:p w14:paraId="06BBAC28" w14:textId="0BF9EA46" w:rsidR="006D1D33" w:rsidRDefault="006D1D33" w:rsidP="006D1D33">
      <w:pPr>
        <w:ind w:left="3119" w:right="2603" w:hanging="567"/>
        <w:rPr>
          <w:color w:val="4D565E"/>
          <w:sz w:val="16"/>
          <w:szCs w:val="16"/>
          <w:lang w:eastAsia="es-MX"/>
        </w:rPr>
      </w:pPr>
      <w:r w:rsidRPr="00400FDA">
        <w:rPr>
          <w:color w:val="4D565E"/>
          <w:sz w:val="16"/>
          <w:szCs w:val="16"/>
          <w:vertAlign w:val="superscript"/>
          <w:lang w:eastAsia="es-MX"/>
        </w:rPr>
        <w:t>1/</w:t>
      </w:r>
      <w:r>
        <w:rPr>
          <w:color w:val="4D565E"/>
          <w:sz w:val="16"/>
          <w:szCs w:val="16"/>
          <w:lang w:eastAsia="es-MX"/>
        </w:rPr>
        <w:tab/>
      </w:r>
      <w:r w:rsidRPr="00103B2F">
        <w:rPr>
          <w:color w:val="4D565E"/>
          <w:sz w:val="16"/>
          <w:szCs w:val="16"/>
          <w:lang w:eastAsia="es-MX"/>
        </w:rPr>
        <w:t xml:space="preserve">Cifras </w:t>
      </w:r>
      <w:r>
        <w:rPr>
          <w:color w:val="4D565E"/>
          <w:sz w:val="16"/>
          <w:szCs w:val="16"/>
          <w:lang w:eastAsia="es-MX"/>
        </w:rPr>
        <w:t>preliminares</w:t>
      </w:r>
      <w:r w:rsidR="00DA738C">
        <w:rPr>
          <w:color w:val="4D565E"/>
          <w:sz w:val="16"/>
          <w:szCs w:val="16"/>
          <w:lang w:eastAsia="es-MX"/>
        </w:rPr>
        <w:t>.</w:t>
      </w:r>
    </w:p>
    <w:p w14:paraId="3DC26B2C" w14:textId="4C576DCA" w:rsidR="004E44CE" w:rsidRDefault="0034064A" w:rsidP="00180475">
      <w:pPr>
        <w:ind w:left="3119" w:right="2603" w:hanging="567"/>
        <w:rPr>
          <w:lang w:val="es-ES"/>
        </w:rPr>
      </w:pPr>
      <w:r w:rsidRPr="00A330B4">
        <w:rPr>
          <w:color w:val="4D565E"/>
          <w:sz w:val="16"/>
          <w:szCs w:val="16"/>
          <w:lang w:eastAsia="es-MX"/>
        </w:rPr>
        <w:t>Fuente:</w:t>
      </w:r>
      <w:r w:rsidR="009A32BE">
        <w:rPr>
          <w:color w:val="4D565E"/>
          <w:sz w:val="16"/>
          <w:szCs w:val="16"/>
          <w:lang w:eastAsia="es-MX"/>
        </w:rPr>
        <w:tab/>
      </w:r>
      <w:r w:rsidRPr="00A330B4">
        <w:rPr>
          <w:smallCaps/>
          <w:color w:val="4D565E"/>
          <w:sz w:val="16"/>
          <w:szCs w:val="16"/>
          <w:lang w:eastAsia="es-MX"/>
        </w:rPr>
        <w:t xml:space="preserve">inegi. </w:t>
      </w:r>
      <w:r>
        <w:rPr>
          <w:color w:val="4D565E"/>
          <w:sz w:val="16"/>
          <w:szCs w:val="16"/>
          <w:lang w:eastAsia="es-MX"/>
        </w:rPr>
        <w:t>Indicador Trimestral de la Actividad Económica Estatal</w:t>
      </w:r>
      <w:r w:rsidR="006D55C1">
        <w:rPr>
          <w:color w:val="4D565E"/>
          <w:sz w:val="16"/>
          <w:szCs w:val="16"/>
          <w:lang w:eastAsia="es-MX"/>
        </w:rPr>
        <w:t xml:space="preserve"> </w:t>
      </w:r>
      <w:r w:rsidRPr="00A330B4">
        <w:rPr>
          <w:smallCaps/>
          <w:color w:val="4D565E"/>
          <w:sz w:val="16"/>
          <w:szCs w:val="16"/>
          <w:lang w:eastAsia="es-MX"/>
        </w:rPr>
        <w:t>(itaee)</w:t>
      </w:r>
      <w:r w:rsidRPr="00A330B4">
        <w:rPr>
          <w:color w:val="4D565E"/>
          <w:sz w:val="16"/>
          <w:szCs w:val="16"/>
          <w:lang w:eastAsia="es-MX"/>
        </w:rPr>
        <w:t xml:space="preserve">, </w:t>
      </w:r>
      <w:r w:rsidR="00FE1493">
        <w:rPr>
          <w:color w:val="4D565E"/>
          <w:sz w:val="16"/>
          <w:szCs w:val="16"/>
          <w:lang w:eastAsia="es-MX"/>
        </w:rPr>
        <w:t>segundo</w:t>
      </w:r>
      <w:r w:rsidR="00833C67">
        <w:rPr>
          <w:color w:val="4D565E"/>
          <w:sz w:val="16"/>
          <w:szCs w:val="16"/>
          <w:lang w:eastAsia="es-MX"/>
        </w:rPr>
        <w:t xml:space="preserve"> trimestre</w:t>
      </w:r>
      <w:r w:rsidRPr="00A330B4">
        <w:rPr>
          <w:color w:val="4D565E"/>
          <w:sz w:val="16"/>
          <w:szCs w:val="16"/>
          <w:lang w:eastAsia="es-MX"/>
        </w:rPr>
        <w:t xml:space="preserve"> de 202</w:t>
      </w:r>
      <w:r w:rsidR="00D6520D">
        <w:rPr>
          <w:color w:val="4D565E"/>
          <w:sz w:val="16"/>
          <w:szCs w:val="16"/>
          <w:lang w:eastAsia="es-MX"/>
        </w:rPr>
        <w:t>6</w:t>
      </w:r>
      <w:r w:rsidRPr="00A330B4">
        <w:rPr>
          <w:color w:val="4D565E"/>
          <w:sz w:val="16"/>
          <w:szCs w:val="16"/>
          <w:lang w:eastAsia="es-MX"/>
        </w:rPr>
        <w:t>.</w:t>
      </w:r>
      <w:r w:rsidR="004E44CE">
        <w:rPr>
          <w:lang w:val="es-ES"/>
        </w:rPr>
        <w:br w:type="page"/>
      </w:r>
    </w:p>
    <w:p w14:paraId="23B0CB07" w14:textId="77777777" w:rsidR="000C66A1" w:rsidRDefault="000C66A1" w:rsidP="00DC6861">
      <w:pPr>
        <w:tabs>
          <w:tab w:val="left" w:pos="5400"/>
        </w:tabs>
        <w:rPr>
          <w:lang w:val="es-ES"/>
        </w:rPr>
      </w:pPr>
    </w:p>
    <w:p w14:paraId="52F9AD65" w14:textId="6645474F" w:rsidR="000C66A1" w:rsidRDefault="00A5671A" w:rsidP="00DC6861">
      <w:pPr>
        <w:tabs>
          <w:tab w:val="left" w:pos="5400"/>
        </w:tabs>
        <w:rPr>
          <w:lang w:val="es-ES"/>
        </w:rPr>
      </w:pPr>
      <w:r w:rsidRPr="00A5671A">
        <w:rPr>
          <w:lang w:val="es-ES"/>
        </w:rPr>
        <w:t xml:space="preserve">Durante el periodo enero a junio de 2026, el acumulado de la actividad económica estatal creció </w:t>
      </w:r>
      <w:r w:rsidRPr="0018232A">
        <w:rPr>
          <w:lang w:val="es-ES"/>
        </w:rPr>
        <w:t>1.1</w:t>
      </w:r>
      <w:r w:rsidR="00235290" w:rsidRPr="0018232A">
        <w:rPr>
          <w:lang w:val="es-ES"/>
        </w:rPr>
        <w:t> %</w:t>
      </w:r>
      <w:r w:rsidRPr="0018232A">
        <w:rPr>
          <w:lang w:val="es-ES"/>
        </w:rPr>
        <w:t>, por</w:t>
      </w:r>
      <w:r w:rsidRPr="00A5671A">
        <w:rPr>
          <w:lang w:val="es-ES"/>
        </w:rPr>
        <w:t xml:space="preserve"> el incremento en las </w:t>
      </w:r>
      <w:r w:rsidRPr="00796E8B">
        <w:rPr>
          <w:i/>
          <w:iCs/>
          <w:lang w:val="es-ES"/>
        </w:rPr>
        <w:t>actividades primarias</w:t>
      </w:r>
      <w:r w:rsidRPr="00A5671A">
        <w:rPr>
          <w:lang w:val="es-ES"/>
        </w:rPr>
        <w:t xml:space="preserve"> y </w:t>
      </w:r>
      <w:r w:rsidRPr="00796E8B">
        <w:rPr>
          <w:i/>
          <w:iCs/>
          <w:lang w:val="es-ES"/>
        </w:rPr>
        <w:t>terciarias</w:t>
      </w:r>
      <w:r w:rsidRPr="00A5671A">
        <w:rPr>
          <w:lang w:val="es-ES"/>
        </w:rPr>
        <w:t xml:space="preserve"> de 2.7 y 1.4</w:t>
      </w:r>
      <w:r w:rsidR="00235290">
        <w:rPr>
          <w:lang w:val="es-ES"/>
        </w:rPr>
        <w:t> %</w:t>
      </w:r>
      <w:r w:rsidRPr="00A5671A">
        <w:rPr>
          <w:lang w:val="es-ES"/>
        </w:rPr>
        <w:t xml:space="preserve">, respectivamente; por su parte, las </w:t>
      </w:r>
      <w:r w:rsidRPr="00796E8B">
        <w:rPr>
          <w:i/>
          <w:iCs/>
          <w:lang w:val="es-ES"/>
        </w:rPr>
        <w:t>secundarias</w:t>
      </w:r>
      <w:r w:rsidRPr="00A5671A">
        <w:rPr>
          <w:lang w:val="es-ES"/>
        </w:rPr>
        <w:t xml:space="preserve"> se redujeron 1.8</w:t>
      </w:r>
      <w:r w:rsidR="00235290">
        <w:rPr>
          <w:lang w:val="es-ES"/>
        </w:rPr>
        <w:t> %</w:t>
      </w:r>
      <w:r w:rsidRPr="00A5671A">
        <w:rPr>
          <w:lang w:val="es-ES"/>
        </w:rPr>
        <w:t xml:space="preserve"> (ver cuadro 1).</w:t>
      </w:r>
    </w:p>
    <w:p w14:paraId="074CCFB1" w14:textId="77777777" w:rsidR="00A5671A" w:rsidRDefault="00A5671A" w:rsidP="00DC6861">
      <w:pPr>
        <w:tabs>
          <w:tab w:val="left" w:pos="5400"/>
        </w:tabs>
        <w:rPr>
          <w:lang w:val="es-ES"/>
        </w:rPr>
      </w:pPr>
    </w:p>
    <w:p w14:paraId="4DDB36C7" w14:textId="77777777" w:rsidR="00DC6861" w:rsidRPr="006E2963" w:rsidRDefault="00DC6861" w:rsidP="00DC6861">
      <w:pPr>
        <w:tabs>
          <w:tab w:val="left" w:pos="5400"/>
        </w:tabs>
        <w:jc w:val="center"/>
        <w:rPr>
          <w:bCs/>
          <w:color w:val="003057"/>
          <w:sz w:val="20"/>
          <w:szCs w:val="20"/>
        </w:rPr>
      </w:pPr>
      <w:r w:rsidRPr="006E2963">
        <w:rPr>
          <w:bCs/>
          <w:color w:val="003057"/>
          <w:sz w:val="20"/>
          <w:szCs w:val="20"/>
        </w:rPr>
        <w:t>Cuadro 1</w:t>
      </w:r>
    </w:p>
    <w:p w14:paraId="4D52F7F6" w14:textId="77A427A6" w:rsidR="009D7CFF" w:rsidRDefault="008E0338" w:rsidP="00DC6861">
      <w:pPr>
        <w:ind w:right="51"/>
        <w:jc w:val="center"/>
        <w:rPr>
          <w:b/>
          <w:color w:val="003057"/>
          <w:sz w:val="22"/>
          <w:szCs w:val="22"/>
        </w:rPr>
      </w:pPr>
      <w:r>
        <w:rPr>
          <w:b/>
          <w:color w:val="003057"/>
          <w:sz w:val="22"/>
          <w:szCs w:val="22"/>
        </w:rPr>
        <w:t>Variación</w:t>
      </w:r>
      <w:r w:rsidR="006E2963">
        <w:rPr>
          <w:b/>
          <w:color w:val="003057"/>
          <w:sz w:val="22"/>
          <w:szCs w:val="22"/>
        </w:rPr>
        <w:t xml:space="preserve"> anual</w:t>
      </w:r>
      <w:r>
        <w:rPr>
          <w:b/>
          <w:color w:val="003057"/>
          <w:sz w:val="22"/>
          <w:szCs w:val="22"/>
        </w:rPr>
        <w:t xml:space="preserve"> del </w:t>
      </w:r>
      <w:r w:rsidR="00576035" w:rsidRPr="00576035">
        <w:rPr>
          <w:b/>
          <w:color w:val="003057"/>
          <w:sz w:val="22"/>
          <w:szCs w:val="22"/>
        </w:rPr>
        <w:t>Indicador Trimestral de la Actividad Económica Estatal de</w:t>
      </w:r>
    </w:p>
    <w:p w14:paraId="6DD14D6D" w14:textId="50D9EE34" w:rsidR="00DC6861" w:rsidRPr="00103B2F" w:rsidRDefault="00B82CC0" w:rsidP="00DC6861">
      <w:pPr>
        <w:ind w:right="51"/>
        <w:jc w:val="center"/>
        <w:rPr>
          <w:b/>
          <w:color w:val="003057"/>
          <w:sz w:val="22"/>
          <w:szCs w:val="22"/>
        </w:rPr>
      </w:pPr>
      <w:r>
        <w:rPr>
          <w:b/>
          <w:color w:val="003057"/>
          <w:sz w:val="22"/>
          <w:szCs w:val="22"/>
        </w:rPr>
        <w:t>Ciudad</w:t>
      </w:r>
      <w:r w:rsidR="009D7CFF">
        <w:rPr>
          <w:b/>
          <w:color w:val="003057"/>
          <w:sz w:val="22"/>
          <w:szCs w:val="22"/>
        </w:rPr>
        <w:t xml:space="preserve"> </w:t>
      </w:r>
      <w:r>
        <w:rPr>
          <w:b/>
          <w:color w:val="003057"/>
          <w:sz w:val="22"/>
          <w:szCs w:val="22"/>
        </w:rPr>
        <w:t>de México</w:t>
      </w:r>
    </w:p>
    <w:p w14:paraId="0FE4C144" w14:textId="0466767C" w:rsidR="00C37295" w:rsidRPr="00103B2F" w:rsidRDefault="00C37295" w:rsidP="00C37295">
      <w:pPr>
        <w:jc w:val="center"/>
        <w:rPr>
          <w:bCs/>
          <w:color w:val="27251F"/>
          <w:sz w:val="20"/>
          <w:lang w:eastAsia="es-MX"/>
        </w:rPr>
      </w:pPr>
      <w:r w:rsidRPr="00103B2F">
        <w:rPr>
          <w:bCs/>
          <w:color w:val="27251F"/>
          <w:sz w:val="20"/>
          <w:lang w:eastAsia="es-MX"/>
        </w:rPr>
        <w:t>202</w:t>
      </w:r>
      <w:r w:rsidR="00B85CD6">
        <w:rPr>
          <w:bCs/>
          <w:color w:val="27251F"/>
          <w:sz w:val="20"/>
          <w:lang w:eastAsia="es-MX"/>
        </w:rPr>
        <w:t>5</w:t>
      </w:r>
      <w:r w:rsidRPr="00103B2F">
        <w:rPr>
          <w:bCs/>
          <w:color w:val="27251F"/>
          <w:sz w:val="20"/>
          <w:lang w:eastAsia="es-MX"/>
        </w:rPr>
        <w:t xml:space="preserve"> y 202</w:t>
      </w:r>
      <w:r w:rsidR="00B85CD6">
        <w:rPr>
          <w:bCs/>
          <w:color w:val="27251F"/>
          <w:sz w:val="20"/>
          <w:lang w:eastAsia="es-MX"/>
        </w:rPr>
        <w:t>6</w:t>
      </w:r>
    </w:p>
    <w:p w14:paraId="55D71376" w14:textId="77777777" w:rsidR="00C37295" w:rsidRPr="00103B2F" w:rsidRDefault="00C37295" w:rsidP="00C37295">
      <w:pPr>
        <w:jc w:val="center"/>
        <w:rPr>
          <w:bCs/>
          <w:color w:val="27251F"/>
          <w:sz w:val="18"/>
          <w:szCs w:val="18"/>
          <w:lang w:eastAsia="es-MX"/>
        </w:rPr>
      </w:pPr>
      <w:r w:rsidRPr="00103B2F">
        <w:rPr>
          <w:bCs/>
          <w:color w:val="27251F"/>
          <w:sz w:val="18"/>
          <w:szCs w:val="18"/>
          <w:lang w:eastAsia="es-MX"/>
        </w:rPr>
        <w:t>(</w:t>
      </w:r>
      <w:r>
        <w:rPr>
          <w:bCs/>
          <w:color w:val="27251F"/>
          <w:sz w:val="18"/>
          <w:szCs w:val="18"/>
          <w:lang w:eastAsia="es-MX"/>
        </w:rPr>
        <w:t>porcentaje</w:t>
      </w:r>
      <w:r w:rsidRPr="00103B2F">
        <w:rPr>
          <w:bCs/>
          <w:color w:val="27251F"/>
          <w:sz w:val="18"/>
          <w:szCs w:val="18"/>
          <w:lang w:eastAsia="es-MX"/>
        </w:rPr>
        <w:t>)</w:t>
      </w:r>
    </w:p>
    <w:tbl>
      <w:tblPr>
        <w:tblW w:w="8520" w:type="dxa"/>
        <w:jc w:val="center"/>
        <w:tblLayout w:type="fixed"/>
        <w:tblCellMar>
          <w:left w:w="70" w:type="dxa"/>
          <w:right w:w="70" w:type="dxa"/>
        </w:tblCellMar>
        <w:tblLook w:val="04A0" w:firstRow="1" w:lastRow="0" w:firstColumn="1" w:lastColumn="0" w:noHBand="0" w:noVBand="1"/>
      </w:tblPr>
      <w:tblGrid>
        <w:gridCol w:w="1760"/>
        <w:gridCol w:w="799"/>
        <w:gridCol w:w="799"/>
        <w:gridCol w:w="799"/>
        <w:gridCol w:w="800"/>
        <w:gridCol w:w="1003"/>
        <w:gridCol w:w="774"/>
        <w:gridCol w:w="774"/>
        <w:gridCol w:w="1012"/>
      </w:tblGrid>
      <w:tr w:rsidR="00D24F1A" w:rsidRPr="00D24F1A" w14:paraId="625F3CD3" w14:textId="77777777" w:rsidTr="00D24F1A">
        <w:trPr>
          <w:trHeight w:val="270"/>
          <w:jc w:val="center"/>
        </w:trPr>
        <w:tc>
          <w:tcPr>
            <w:tcW w:w="1760" w:type="dxa"/>
            <w:vMerge w:val="restart"/>
            <w:tcBorders>
              <w:top w:val="single" w:sz="4" w:space="0" w:color="FFFFFF"/>
              <w:left w:val="single" w:sz="4" w:space="0" w:color="FFFFFF"/>
              <w:bottom w:val="single" w:sz="4" w:space="0" w:color="FFFFFF"/>
              <w:right w:val="single" w:sz="4" w:space="0" w:color="FFFFFF"/>
            </w:tcBorders>
            <w:shd w:val="clear" w:color="000000" w:fill="80DDD7"/>
            <w:vAlign w:val="center"/>
            <w:hideMark/>
          </w:tcPr>
          <w:p w14:paraId="00622FC5"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Actividades</w:t>
            </w:r>
          </w:p>
        </w:tc>
        <w:tc>
          <w:tcPr>
            <w:tcW w:w="4200" w:type="dxa"/>
            <w:gridSpan w:val="5"/>
            <w:tcBorders>
              <w:top w:val="single" w:sz="4" w:space="0" w:color="FFFFFF"/>
              <w:left w:val="nil"/>
              <w:bottom w:val="single" w:sz="4" w:space="0" w:color="FFFFFF"/>
              <w:right w:val="single" w:sz="4" w:space="0" w:color="FFFFFF"/>
            </w:tcBorders>
            <w:shd w:val="clear" w:color="000000" w:fill="80DDD7"/>
            <w:noWrap/>
            <w:vAlign w:val="center"/>
            <w:hideMark/>
          </w:tcPr>
          <w:p w14:paraId="51CF570E"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2025</w:t>
            </w:r>
            <w:r w:rsidRPr="00D24F1A">
              <w:rPr>
                <w:b/>
                <w:bCs/>
                <w:color w:val="000000"/>
                <w:sz w:val="18"/>
                <w:szCs w:val="18"/>
                <w:vertAlign w:val="superscript"/>
                <w:lang w:val="es-MX" w:eastAsia="es-MX"/>
              </w:rPr>
              <w:t>1/</w:t>
            </w:r>
          </w:p>
        </w:tc>
        <w:tc>
          <w:tcPr>
            <w:tcW w:w="2560" w:type="dxa"/>
            <w:gridSpan w:val="3"/>
            <w:tcBorders>
              <w:top w:val="single" w:sz="4" w:space="0" w:color="FFFFFF"/>
              <w:left w:val="nil"/>
              <w:bottom w:val="single" w:sz="4" w:space="0" w:color="FFFFFF"/>
              <w:right w:val="single" w:sz="4" w:space="0" w:color="FFFFFF"/>
            </w:tcBorders>
            <w:shd w:val="clear" w:color="000000" w:fill="80DDD7"/>
            <w:noWrap/>
            <w:vAlign w:val="center"/>
            <w:hideMark/>
          </w:tcPr>
          <w:p w14:paraId="1A4BA0A9"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2026</w:t>
            </w:r>
          </w:p>
        </w:tc>
      </w:tr>
      <w:tr w:rsidR="00D24F1A" w:rsidRPr="00D24F1A" w14:paraId="61E691AF" w14:textId="77777777" w:rsidTr="00D24F1A">
        <w:trPr>
          <w:trHeight w:val="255"/>
          <w:jc w:val="center"/>
        </w:trPr>
        <w:tc>
          <w:tcPr>
            <w:tcW w:w="1760" w:type="dxa"/>
            <w:vMerge/>
            <w:tcBorders>
              <w:top w:val="single" w:sz="4" w:space="0" w:color="FFFFFF"/>
              <w:left w:val="single" w:sz="4" w:space="0" w:color="FFFFFF"/>
              <w:bottom w:val="single" w:sz="4" w:space="0" w:color="FFFFFF"/>
              <w:right w:val="single" w:sz="4" w:space="0" w:color="FFFFFF"/>
            </w:tcBorders>
            <w:vAlign w:val="center"/>
            <w:hideMark/>
          </w:tcPr>
          <w:p w14:paraId="7AAD44CA" w14:textId="77777777" w:rsidR="00D24F1A" w:rsidRPr="00D24F1A" w:rsidRDefault="00D24F1A" w:rsidP="00D24F1A">
            <w:pPr>
              <w:jc w:val="left"/>
              <w:rPr>
                <w:b/>
                <w:bCs/>
                <w:color w:val="000000"/>
                <w:sz w:val="18"/>
                <w:szCs w:val="18"/>
                <w:lang w:val="es-MX" w:eastAsia="es-MX"/>
              </w:rPr>
            </w:pPr>
          </w:p>
        </w:tc>
        <w:tc>
          <w:tcPr>
            <w:tcW w:w="3197" w:type="dxa"/>
            <w:gridSpan w:val="4"/>
            <w:tcBorders>
              <w:top w:val="single" w:sz="4" w:space="0" w:color="FFFFFF"/>
              <w:left w:val="nil"/>
              <w:bottom w:val="single" w:sz="4" w:space="0" w:color="FFFFFF"/>
              <w:right w:val="single" w:sz="4" w:space="0" w:color="FFFFFF"/>
            </w:tcBorders>
            <w:shd w:val="clear" w:color="000000" w:fill="BDEDEA"/>
            <w:noWrap/>
            <w:vAlign w:val="center"/>
            <w:hideMark/>
          </w:tcPr>
          <w:p w14:paraId="6434E6ED"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Trimestre</w:t>
            </w:r>
          </w:p>
        </w:tc>
        <w:tc>
          <w:tcPr>
            <w:tcW w:w="1003" w:type="dxa"/>
            <w:vMerge w:val="restart"/>
            <w:tcBorders>
              <w:top w:val="nil"/>
              <w:left w:val="single" w:sz="4" w:space="0" w:color="FFFFFF"/>
              <w:bottom w:val="single" w:sz="4" w:space="0" w:color="FFFFFF"/>
              <w:right w:val="single" w:sz="4" w:space="0" w:color="FFFFFF"/>
            </w:tcBorders>
            <w:shd w:val="clear" w:color="000000" w:fill="BDEDEA"/>
            <w:noWrap/>
            <w:vAlign w:val="center"/>
            <w:hideMark/>
          </w:tcPr>
          <w:p w14:paraId="5C8C0184"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Anual</w:t>
            </w:r>
          </w:p>
        </w:tc>
        <w:tc>
          <w:tcPr>
            <w:tcW w:w="1548" w:type="dxa"/>
            <w:gridSpan w:val="2"/>
            <w:tcBorders>
              <w:top w:val="single" w:sz="4" w:space="0" w:color="FFFFFF"/>
              <w:left w:val="nil"/>
              <w:bottom w:val="single" w:sz="4" w:space="0" w:color="FFFFFF"/>
              <w:right w:val="single" w:sz="4" w:space="0" w:color="FFFFFF"/>
            </w:tcBorders>
            <w:shd w:val="clear" w:color="000000" w:fill="BDEDEA"/>
            <w:noWrap/>
            <w:vAlign w:val="center"/>
            <w:hideMark/>
          </w:tcPr>
          <w:p w14:paraId="0223029E"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Trimestre</w:t>
            </w:r>
          </w:p>
        </w:tc>
        <w:tc>
          <w:tcPr>
            <w:tcW w:w="1012" w:type="dxa"/>
            <w:vMerge w:val="restart"/>
            <w:tcBorders>
              <w:top w:val="nil"/>
              <w:left w:val="single" w:sz="4" w:space="0" w:color="FFFFFF"/>
              <w:bottom w:val="single" w:sz="4" w:space="0" w:color="FFFFFF"/>
              <w:right w:val="single" w:sz="4" w:space="0" w:color="FFFFFF"/>
            </w:tcBorders>
            <w:shd w:val="clear" w:color="000000" w:fill="BDEDEA"/>
            <w:noWrap/>
            <w:vAlign w:val="center"/>
            <w:hideMark/>
          </w:tcPr>
          <w:p w14:paraId="14281CD3"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6 meses</w:t>
            </w:r>
          </w:p>
        </w:tc>
      </w:tr>
      <w:tr w:rsidR="00D24F1A" w:rsidRPr="00D24F1A" w14:paraId="0F784813" w14:textId="77777777" w:rsidTr="00D24F1A">
        <w:trPr>
          <w:trHeight w:val="270"/>
          <w:jc w:val="center"/>
        </w:trPr>
        <w:tc>
          <w:tcPr>
            <w:tcW w:w="1760" w:type="dxa"/>
            <w:vMerge/>
            <w:tcBorders>
              <w:top w:val="single" w:sz="4" w:space="0" w:color="FFFFFF"/>
              <w:left w:val="single" w:sz="4" w:space="0" w:color="FFFFFF"/>
              <w:bottom w:val="single" w:sz="4" w:space="0" w:color="FFFFFF"/>
              <w:right w:val="single" w:sz="4" w:space="0" w:color="FFFFFF"/>
            </w:tcBorders>
            <w:vAlign w:val="center"/>
            <w:hideMark/>
          </w:tcPr>
          <w:p w14:paraId="656FDEE8" w14:textId="77777777" w:rsidR="00D24F1A" w:rsidRPr="00D24F1A" w:rsidRDefault="00D24F1A" w:rsidP="00D24F1A">
            <w:pPr>
              <w:jc w:val="left"/>
              <w:rPr>
                <w:b/>
                <w:bCs/>
                <w:color w:val="000000"/>
                <w:sz w:val="18"/>
                <w:szCs w:val="18"/>
                <w:lang w:val="es-MX" w:eastAsia="es-MX"/>
              </w:rPr>
            </w:pPr>
          </w:p>
        </w:tc>
        <w:tc>
          <w:tcPr>
            <w:tcW w:w="799" w:type="dxa"/>
            <w:tcBorders>
              <w:top w:val="nil"/>
              <w:left w:val="nil"/>
              <w:bottom w:val="single" w:sz="4" w:space="0" w:color="FFFFFF"/>
              <w:right w:val="single" w:sz="4" w:space="0" w:color="FFFFFF"/>
            </w:tcBorders>
            <w:shd w:val="clear" w:color="000000" w:fill="BDEDEA"/>
            <w:noWrap/>
            <w:vAlign w:val="center"/>
            <w:hideMark/>
          </w:tcPr>
          <w:p w14:paraId="0FC75F8C"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w:t>
            </w:r>
          </w:p>
        </w:tc>
        <w:tc>
          <w:tcPr>
            <w:tcW w:w="799" w:type="dxa"/>
            <w:tcBorders>
              <w:top w:val="nil"/>
              <w:left w:val="nil"/>
              <w:bottom w:val="single" w:sz="4" w:space="0" w:color="FFFFFF"/>
              <w:right w:val="single" w:sz="4" w:space="0" w:color="FFFFFF"/>
            </w:tcBorders>
            <w:shd w:val="clear" w:color="000000" w:fill="BDEDEA"/>
            <w:noWrap/>
            <w:vAlign w:val="center"/>
            <w:hideMark/>
          </w:tcPr>
          <w:p w14:paraId="6EA93B99"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II</w:t>
            </w:r>
          </w:p>
        </w:tc>
        <w:tc>
          <w:tcPr>
            <w:tcW w:w="799" w:type="dxa"/>
            <w:tcBorders>
              <w:top w:val="nil"/>
              <w:left w:val="nil"/>
              <w:bottom w:val="single" w:sz="4" w:space="0" w:color="FFFFFF"/>
              <w:right w:val="single" w:sz="4" w:space="0" w:color="FFFFFF"/>
            </w:tcBorders>
            <w:shd w:val="clear" w:color="000000" w:fill="BDEDEA"/>
            <w:noWrap/>
            <w:vAlign w:val="center"/>
            <w:hideMark/>
          </w:tcPr>
          <w:p w14:paraId="6D605032"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III</w:t>
            </w:r>
          </w:p>
        </w:tc>
        <w:tc>
          <w:tcPr>
            <w:tcW w:w="800" w:type="dxa"/>
            <w:tcBorders>
              <w:top w:val="nil"/>
              <w:left w:val="nil"/>
              <w:bottom w:val="single" w:sz="4" w:space="0" w:color="FFFFFF"/>
              <w:right w:val="single" w:sz="4" w:space="0" w:color="FFFFFF"/>
            </w:tcBorders>
            <w:shd w:val="clear" w:color="000000" w:fill="BDEDEA"/>
            <w:noWrap/>
            <w:vAlign w:val="center"/>
            <w:hideMark/>
          </w:tcPr>
          <w:p w14:paraId="22F1727F"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IV</w:t>
            </w:r>
          </w:p>
        </w:tc>
        <w:tc>
          <w:tcPr>
            <w:tcW w:w="1003" w:type="dxa"/>
            <w:vMerge/>
            <w:tcBorders>
              <w:top w:val="nil"/>
              <w:left w:val="single" w:sz="4" w:space="0" w:color="FFFFFF"/>
              <w:bottom w:val="single" w:sz="4" w:space="0" w:color="FFFFFF"/>
              <w:right w:val="single" w:sz="4" w:space="0" w:color="FFFFFF"/>
            </w:tcBorders>
            <w:vAlign w:val="center"/>
            <w:hideMark/>
          </w:tcPr>
          <w:p w14:paraId="23C22E02" w14:textId="77777777" w:rsidR="00D24F1A" w:rsidRPr="00D24F1A" w:rsidRDefault="00D24F1A" w:rsidP="00D24F1A">
            <w:pPr>
              <w:jc w:val="left"/>
              <w:rPr>
                <w:b/>
                <w:bCs/>
                <w:color w:val="000000"/>
                <w:sz w:val="18"/>
                <w:szCs w:val="18"/>
                <w:lang w:val="es-MX" w:eastAsia="es-MX"/>
              </w:rPr>
            </w:pPr>
          </w:p>
        </w:tc>
        <w:tc>
          <w:tcPr>
            <w:tcW w:w="774" w:type="dxa"/>
            <w:tcBorders>
              <w:top w:val="nil"/>
              <w:left w:val="nil"/>
              <w:bottom w:val="single" w:sz="4" w:space="0" w:color="FFFFFF"/>
              <w:right w:val="single" w:sz="4" w:space="0" w:color="FFFFFF"/>
            </w:tcBorders>
            <w:shd w:val="clear" w:color="000000" w:fill="BDEDEA"/>
            <w:noWrap/>
            <w:vAlign w:val="center"/>
            <w:hideMark/>
          </w:tcPr>
          <w:p w14:paraId="6B6BBB38"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w:t>
            </w:r>
            <w:r w:rsidRPr="00D24F1A">
              <w:rPr>
                <w:b/>
                <w:bCs/>
                <w:color w:val="000000"/>
                <w:sz w:val="18"/>
                <w:szCs w:val="18"/>
                <w:vertAlign w:val="superscript"/>
                <w:lang w:val="es-MX" w:eastAsia="es-MX"/>
              </w:rPr>
              <w:t>2/</w:t>
            </w:r>
          </w:p>
        </w:tc>
        <w:tc>
          <w:tcPr>
            <w:tcW w:w="774" w:type="dxa"/>
            <w:tcBorders>
              <w:top w:val="nil"/>
              <w:left w:val="nil"/>
              <w:bottom w:val="single" w:sz="4" w:space="0" w:color="FFFFFF"/>
              <w:right w:val="single" w:sz="4" w:space="0" w:color="FFFFFF"/>
            </w:tcBorders>
            <w:shd w:val="clear" w:color="000000" w:fill="BDEDEA"/>
            <w:noWrap/>
            <w:vAlign w:val="center"/>
            <w:hideMark/>
          </w:tcPr>
          <w:p w14:paraId="1EFA51E6"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II</w:t>
            </w:r>
            <w:r w:rsidRPr="00D24F1A">
              <w:rPr>
                <w:b/>
                <w:bCs/>
                <w:color w:val="000000"/>
                <w:sz w:val="18"/>
                <w:szCs w:val="18"/>
                <w:vertAlign w:val="superscript"/>
                <w:lang w:val="es-MX" w:eastAsia="es-MX"/>
              </w:rPr>
              <w:t>1/</w:t>
            </w:r>
          </w:p>
        </w:tc>
        <w:tc>
          <w:tcPr>
            <w:tcW w:w="1012" w:type="dxa"/>
            <w:vMerge/>
            <w:tcBorders>
              <w:top w:val="nil"/>
              <w:left w:val="single" w:sz="4" w:space="0" w:color="FFFFFF"/>
              <w:bottom w:val="single" w:sz="4" w:space="0" w:color="FFFFFF"/>
              <w:right w:val="single" w:sz="4" w:space="0" w:color="FFFFFF"/>
            </w:tcBorders>
            <w:vAlign w:val="center"/>
            <w:hideMark/>
          </w:tcPr>
          <w:p w14:paraId="0424B675" w14:textId="77777777" w:rsidR="00D24F1A" w:rsidRPr="00D24F1A" w:rsidRDefault="00D24F1A" w:rsidP="00D24F1A">
            <w:pPr>
              <w:jc w:val="left"/>
              <w:rPr>
                <w:b/>
                <w:bCs/>
                <w:color w:val="000000"/>
                <w:sz w:val="18"/>
                <w:szCs w:val="18"/>
                <w:lang w:val="es-MX" w:eastAsia="es-MX"/>
              </w:rPr>
            </w:pPr>
          </w:p>
        </w:tc>
      </w:tr>
      <w:tr w:rsidR="00A2197D" w:rsidRPr="00D24F1A" w14:paraId="2E961B79" w14:textId="77777777" w:rsidTr="006E1CDA">
        <w:trPr>
          <w:trHeight w:val="360"/>
          <w:jc w:val="center"/>
        </w:trPr>
        <w:tc>
          <w:tcPr>
            <w:tcW w:w="1760" w:type="dxa"/>
            <w:tcBorders>
              <w:top w:val="nil"/>
              <w:left w:val="single" w:sz="4" w:space="0" w:color="FFFFFF"/>
              <w:bottom w:val="single" w:sz="4" w:space="0" w:color="FFFFFF"/>
              <w:right w:val="single" w:sz="4" w:space="0" w:color="FFFFFF"/>
            </w:tcBorders>
            <w:shd w:val="clear" w:color="000000" w:fill="C0C0C0"/>
            <w:noWrap/>
            <w:vAlign w:val="center"/>
            <w:hideMark/>
          </w:tcPr>
          <w:p w14:paraId="1471C2C4" w14:textId="77777777" w:rsidR="00A2197D" w:rsidRPr="00D24F1A" w:rsidRDefault="00A2197D" w:rsidP="00A2197D">
            <w:pPr>
              <w:jc w:val="center"/>
              <w:rPr>
                <w:b/>
                <w:bCs/>
                <w:color w:val="000000"/>
                <w:sz w:val="18"/>
                <w:szCs w:val="18"/>
                <w:lang w:val="es-MX" w:eastAsia="es-MX"/>
              </w:rPr>
            </w:pPr>
            <w:r w:rsidRPr="00D24F1A">
              <w:rPr>
                <w:b/>
                <w:bCs/>
                <w:color w:val="000000"/>
                <w:sz w:val="18"/>
                <w:szCs w:val="18"/>
                <w:lang w:val="es-MX" w:eastAsia="es-MX"/>
              </w:rPr>
              <w:t>Total</w:t>
            </w:r>
          </w:p>
        </w:tc>
        <w:tc>
          <w:tcPr>
            <w:tcW w:w="799" w:type="dxa"/>
            <w:tcBorders>
              <w:top w:val="single" w:sz="4" w:space="0" w:color="FFFFFF"/>
              <w:left w:val="single" w:sz="4" w:space="0" w:color="FFFFFF"/>
              <w:bottom w:val="single" w:sz="4" w:space="0" w:color="FFFFFF"/>
              <w:right w:val="single" w:sz="4" w:space="0" w:color="FFFFFF"/>
            </w:tcBorders>
            <w:shd w:val="clear" w:color="000000" w:fill="C0C0C0"/>
            <w:noWrap/>
            <w:vAlign w:val="center"/>
            <w:hideMark/>
          </w:tcPr>
          <w:p w14:paraId="6B49A614" w14:textId="60973ACF" w:rsidR="00A2197D" w:rsidRPr="00D24F1A" w:rsidRDefault="00A2197D" w:rsidP="00A2197D">
            <w:pPr>
              <w:jc w:val="right"/>
              <w:rPr>
                <w:b/>
                <w:bCs/>
                <w:color w:val="000000"/>
                <w:sz w:val="18"/>
                <w:szCs w:val="18"/>
                <w:lang w:val="es-MX" w:eastAsia="es-MX"/>
              </w:rPr>
            </w:pPr>
            <w:r>
              <w:rPr>
                <w:b/>
                <w:bCs/>
                <w:color w:val="000000"/>
                <w:sz w:val="18"/>
                <w:szCs w:val="18"/>
              </w:rPr>
              <w:t>2.4</w:t>
            </w:r>
          </w:p>
        </w:tc>
        <w:tc>
          <w:tcPr>
            <w:tcW w:w="799" w:type="dxa"/>
            <w:tcBorders>
              <w:top w:val="single" w:sz="4" w:space="0" w:color="FFFFFF"/>
              <w:left w:val="nil"/>
              <w:bottom w:val="single" w:sz="4" w:space="0" w:color="FFFFFF"/>
              <w:right w:val="single" w:sz="4" w:space="0" w:color="FFFFFF"/>
            </w:tcBorders>
            <w:shd w:val="clear" w:color="000000" w:fill="C0C0C0"/>
            <w:noWrap/>
            <w:vAlign w:val="center"/>
            <w:hideMark/>
          </w:tcPr>
          <w:p w14:paraId="0375350C" w14:textId="41EE7270" w:rsidR="00A2197D" w:rsidRPr="00D24F1A" w:rsidRDefault="00A2197D" w:rsidP="00A2197D">
            <w:pPr>
              <w:jc w:val="right"/>
              <w:rPr>
                <w:b/>
                <w:bCs/>
                <w:color w:val="000000"/>
                <w:sz w:val="18"/>
                <w:szCs w:val="18"/>
                <w:lang w:val="es-MX" w:eastAsia="es-MX"/>
              </w:rPr>
            </w:pPr>
            <w:r>
              <w:rPr>
                <w:b/>
                <w:bCs/>
                <w:color w:val="000000"/>
                <w:sz w:val="18"/>
                <w:szCs w:val="18"/>
              </w:rPr>
              <w:t>0.1</w:t>
            </w:r>
          </w:p>
        </w:tc>
        <w:tc>
          <w:tcPr>
            <w:tcW w:w="799" w:type="dxa"/>
            <w:tcBorders>
              <w:top w:val="single" w:sz="4" w:space="0" w:color="FFFFFF"/>
              <w:left w:val="nil"/>
              <w:bottom w:val="single" w:sz="4" w:space="0" w:color="FFFFFF"/>
              <w:right w:val="single" w:sz="4" w:space="0" w:color="FFFFFF"/>
            </w:tcBorders>
            <w:shd w:val="clear" w:color="000000" w:fill="C0C0C0"/>
            <w:noWrap/>
            <w:vAlign w:val="center"/>
            <w:hideMark/>
          </w:tcPr>
          <w:p w14:paraId="4280B080" w14:textId="37A5C4F7" w:rsidR="00A2197D" w:rsidRPr="00D24F1A" w:rsidRDefault="00A2197D" w:rsidP="00A2197D">
            <w:pPr>
              <w:jc w:val="right"/>
              <w:rPr>
                <w:b/>
                <w:bCs/>
                <w:color w:val="000000"/>
                <w:sz w:val="18"/>
                <w:szCs w:val="18"/>
                <w:lang w:val="es-MX" w:eastAsia="es-MX"/>
              </w:rPr>
            </w:pPr>
            <w:r>
              <w:rPr>
                <w:b/>
                <w:bCs/>
                <w:color w:val="000000"/>
                <w:sz w:val="18"/>
                <w:szCs w:val="18"/>
              </w:rPr>
              <w:t>1.8</w:t>
            </w:r>
          </w:p>
        </w:tc>
        <w:tc>
          <w:tcPr>
            <w:tcW w:w="800" w:type="dxa"/>
            <w:tcBorders>
              <w:top w:val="single" w:sz="4" w:space="0" w:color="FFFFFF"/>
              <w:left w:val="nil"/>
              <w:bottom w:val="single" w:sz="4" w:space="0" w:color="FFFFFF"/>
              <w:right w:val="single" w:sz="4" w:space="0" w:color="FFFFFF"/>
            </w:tcBorders>
            <w:shd w:val="clear" w:color="000000" w:fill="C0C0C0"/>
            <w:noWrap/>
            <w:vAlign w:val="center"/>
            <w:hideMark/>
          </w:tcPr>
          <w:p w14:paraId="5DFFFF9B" w14:textId="3130E7FD" w:rsidR="00A2197D" w:rsidRPr="00D24F1A" w:rsidRDefault="00A2197D" w:rsidP="00A2197D">
            <w:pPr>
              <w:jc w:val="right"/>
              <w:rPr>
                <w:b/>
                <w:bCs/>
                <w:color w:val="000000"/>
                <w:sz w:val="18"/>
                <w:szCs w:val="18"/>
                <w:lang w:val="es-MX" w:eastAsia="es-MX"/>
              </w:rPr>
            </w:pPr>
            <w:r>
              <w:rPr>
                <w:b/>
                <w:bCs/>
                <w:color w:val="000000"/>
                <w:sz w:val="18"/>
                <w:szCs w:val="18"/>
              </w:rPr>
              <w:t>5.1</w:t>
            </w:r>
          </w:p>
        </w:tc>
        <w:tc>
          <w:tcPr>
            <w:tcW w:w="1003" w:type="dxa"/>
            <w:tcBorders>
              <w:top w:val="single" w:sz="4" w:space="0" w:color="FFFFFF"/>
              <w:left w:val="nil"/>
              <w:bottom w:val="single" w:sz="4" w:space="0" w:color="FFFFFF"/>
              <w:right w:val="single" w:sz="4" w:space="0" w:color="FFFFFF"/>
            </w:tcBorders>
            <w:shd w:val="clear" w:color="000000" w:fill="C0C0C0"/>
            <w:noWrap/>
            <w:vAlign w:val="center"/>
            <w:hideMark/>
          </w:tcPr>
          <w:p w14:paraId="40FDC6BC" w14:textId="17B95638" w:rsidR="00A2197D" w:rsidRPr="00D24F1A" w:rsidRDefault="00A2197D" w:rsidP="00A2197D">
            <w:pPr>
              <w:jc w:val="right"/>
              <w:rPr>
                <w:b/>
                <w:bCs/>
                <w:color w:val="000000"/>
                <w:sz w:val="18"/>
                <w:szCs w:val="18"/>
                <w:lang w:val="es-MX" w:eastAsia="es-MX"/>
              </w:rPr>
            </w:pPr>
            <w:r>
              <w:rPr>
                <w:b/>
                <w:bCs/>
                <w:color w:val="000000"/>
                <w:sz w:val="18"/>
                <w:szCs w:val="18"/>
              </w:rPr>
              <w:t>2.3</w:t>
            </w:r>
          </w:p>
        </w:tc>
        <w:tc>
          <w:tcPr>
            <w:tcW w:w="774" w:type="dxa"/>
            <w:tcBorders>
              <w:top w:val="single" w:sz="4" w:space="0" w:color="FFFFFF"/>
              <w:left w:val="nil"/>
              <w:bottom w:val="single" w:sz="4" w:space="0" w:color="FFFFFF"/>
              <w:right w:val="single" w:sz="4" w:space="0" w:color="FFFFFF"/>
            </w:tcBorders>
            <w:shd w:val="clear" w:color="000000" w:fill="C0C0C0"/>
            <w:noWrap/>
            <w:vAlign w:val="center"/>
            <w:hideMark/>
          </w:tcPr>
          <w:p w14:paraId="62BDE393" w14:textId="33F15790" w:rsidR="00A2197D" w:rsidRPr="00D24F1A" w:rsidRDefault="00A2197D" w:rsidP="00A2197D">
            <w:pPr>
              <w:jc w:val="right"/>
              <w:rPr>
                <w:b/>
                <w:bCs/>
                <w:color w:val="000000"/>
                <w:sz w:val="18"/>
                <w:szCs w:val="18"/>
                <w:lang w:val="es-MX" w:eastAsia="es-MX"/>
              </w:rPr>
            </w:pPr>
            <w:r>
              <w:rPr>
                <w:b/>
                <w:bCs/>
                <w:color w:val="000000"/>
                <w:sz w:val="18"/>
                <w:szCs w:val="18"/>
              </w:rPr>
              <w:t>-0.2</w:t>
            </w:r>
          </w:p>
        </w:tc>
        <w:tc>
          <w:tcPr>
            <w:tcW w:w="774" w:type="dxa"/>
            <w:tcBorders>
              <w:top w:val="single" w:sz="4" w:space="0" w:color="FFFFFF"/>
              <w:left w:val="nil"/>
              <w:bottom w:val="single" w:sz="4" w:space="0" w:color="FFFFFF"/>
              <w:right w:val="single" w:sz="4" w:space="0" w:color="FFFFFF"/>
            </w:tcBorders>
            <w:shd w:val="clear" w:color="000000" w:fill="C0C0C0"/>
            <w:noWrap/>
            <w:vAlign w:val="center"/>
            <w:hideMark/>
          </w:tcPr>
          <w:p w14:paraId="29D070F8" w14:textId="70E8F71D" w:rsidR="00A2197D" w:rsidRPr="00D24F1A" w:rsidRDefault="00A2197D" w:rsidP="00A2197D">
            <w:pPr>
              <w:jc w:val="right"/>
              <w:rPr>
                <w:b/>
                <w:bCs/>
                <w:color w:val="000000"/>
                <w:sz w:val="18"/>
                <w:szCs w:val="18"/>
                <w:lang w:val="es-MX" w:eastAsia="es-MX"/>
              </w:rPr>
            </w:pPr>
            <w:r>
              <w:rPr>
                <w:b/>
                <w:bCs/>
                <w:color w:val="000000"/>
                <w:sz w:val="18"/>
                <w:szCs w:val="18"/>
              </w:rPr>
              <w:t>2.4</w:t>
            </w:r>
          </w:p>
        </w:tc>
        <w:tc>
          <w:tcPr>
            <w:tcW w:w="1012" w:type="dxa"/>
            <w:tcBorders>
              <w:top w:val="single" w:sz="4" w:space="0" w:color="FFFFFF"/>
              <w:left w:val="nil"/>
              <w:bottom w:val="single" w:sz="4" w:space="0" w:color="FFFFFF"/>
              <w:right w:val="single" w:sz="4" w:space="0" w:color="FFFFFF"/>
            </w:tcBorders>
            <w:shd w:val="clear" w:color="000000" w:fill="C0C0C0"/>
            <w:noWrap/>
            <w:vAlign w:val="center"/>
            <w:hideMark/>
          </w:tcPr>
          <w:p w14:paraId="3C8AA985" w14:textId="7101D475" w:rsidR="00A2197D" w:rsidRPr="00D24F1A" w:rsidRDefault="00A2197D" w:rsidP="00A2197D">
            <w:pPr>
              <w:jc w:val="right"/>
              <w:rPr>
                <w:b/>
                <w:bCs/>
                <w:color w:val="000000"/>
                <w:sz w:val="18"/>
                <w:szCs w:val="18"/>
                <w:lang w:val="es-MX" w:eastAsia="es-MX"/>
              </w:rPr>
            </w:pPr>
            <w:r>
              <w:rPr>
                <w:b/>
                <w:bCs/>
                <w:color w:val="000000"/>
                <w:sz w:val="18"/>
                <w:szCs w:val="18"/>
              </w:rPr>
              <w:t>1.1</w:t>
            </w:r>
          </w:p>
        </w:tc>
      </w:tr>
      <w:tr w:rsidR="00A2197D" w:rsidRPr="00D24F1A" w14:paraId="56C46988" w14:textId="77777777" w:rsidTr="006E1CDA">
        <w:trPr>
          <w:trHeight w:val="360"/>
          <w:jc w:val="center"/>
        </w:trPr>
        <w:tc>
          <w:tcPr>
            <w:tcW w:w="1760" w:type="dxa"/>
            <w:tcBorders>
              <w:top w:val="nil"/>
              <w:left w:val="single" w:sz="4" w:space="0" w:color="FFFFFF"/>
              <w:bottom w:val="single" w:sz="4" w:space="0" w:color="FFFFFF"/>
              <w:right w:val="single" w:sz="4" w:space="0" w:color="FFFFFF"/>
            </w:tcBorders>
            <w:noWrap/>
            <w:vAlign w:val="center"/>
            <w:hideMark/>
          </w:tcPr>
          <w:p w14:paraId="4FA8C7B9" w14:textId="77777777" w:rsidR="00A2197D" w:rsidRPr="00D24F1A" w:rsidRDefault="00A2197D" w:rsidP="00A2197D">
            <w:pPr>
              <w:jc w:val="left"/>
              <w:rPr>
                <w:color w:val="000000"/>
                <w:sz w:val="18"/>
                <w:szCs w:val="18"/>
                <w:lang w:val="es-MX" w:eastAsia="es-MX"/>
              </w:rPr>
            </w:pPr>
            <w:r w:rsidRPr="00D24F1A">
              <w:rPr>
                <w:color w:val="000000"/>
                <w:sz w:val="18"/>
                <w:szCs w:val="18"/>
                <w:lang w:val="es-MX" w:eastAsia="es-MX"/>
              </w:rPr>
              <w:t>Primarias</w:t>
            </w:r>
          </w:p>
        </w:tc>
        <w:tc>
          <w:tcPr>
            <w:tcW w:w="799" w:type="dxa"/>
            <w:tcBorders>
              <w:top w:val="nil"/>
              <w:left w:val="single" w:sz="4" w:space="0" w:color="FFFFFF"/>
              <w:bottom w:val="single" w:sz="4" w:space="0" w:color="FFFFFF"/>
              <w:right w:val="single" w:sz="4" w:space="0" w:color="FFFFFF"/>
            </w:tcBorders>
            <w:noWrap/>
            <w:vAlign w:val="center"/>
            <w:hideMark/>
          </w:tcPr>
          <w:p w14:paraId="1902EB16" w14:textId="3B99C1FD" w:rsidR="00A2197D" w:rsidRPr="00D24F1A" w:rsidRDefault="00A2197D" w:rsidP="00A2197D">
            <w:pPr>
              <w:jc w:val="right"/>
              <w:rPr>
                <w:color w:val="000000"/>
                <w:sz w:val="18"/>
                <w:szCs w:val="18"/>
                <w:lang w:val="es-MX" w:eastAsia="es-MX"/>
              </w:rPr>
            </w:pPr>
            <w:r>
              <w:rPr>
                <w:color w:val="000000"/>
                <w:sz w:val="18"/>
                <w:szCs w:val="18"/>
              </w:rPr>
              <w:t>8.0</w:t>
            </w:r>
          </w:p>
        </w:tc>
        <w:tc>
          <w:tcPr>
            <w:tcW w:w="799" w:type="dxa"/>
            <w:tcBorders>
              <w:top w:val="nil"/>
              <w:left w:val="nil"/>
              <w:bottom w:val="single" w:sz="4" w:space="0" w:color="FFFFFF"/>
              <w:right w:val="single" w:sz="4" w:space="0" w:color="FFFFFF"/>
            </w:tcBorders>
            <w:noWrap/>
            <w:vAlign w:val="center"/>
            <w:hideMark/>
          </w:tcPr>
          <w:p w14:paraId="20016D88" w14:textId="542972C4" w:rsidR="00A2197D" w:rsidRPr="00D24F1A" w:rsidRDefault="00A2197D" w:rsidP="00A2197D">
            <w:pPr>
              <w:jc w:val="right"/>
              <w:rPr>
                <w:color w:val="000000"/>
                <w:sz w:val="18"/>
                <w:szCs w:val="18"/>
                <w:lang w:val="es-MX" w:eastAsia="es-MX"/>
              </w:rPr>
            </w:pPr>
            <w:r>
              <w:rPr>
                <w:color w:val="000000"/>
                <w:sz w:val="18"/>
                <w:szCs w:val="18"/>
              </w:rPr>
              <w:t>15.1</w:t>
            </w:r>
          </w:p>
        </w:tc>
        <w:tc>
          <w:tcPr>
            <w:tcW w:w="799" w:type="dxa"/>
            <w:tcBorders>
              <w:top w:val="nil"/>
              <w:left w:val="nil"/>
              <w:bottom w:val="single" w:sz="4" w:space="0" w:color="FFFFFF"/>
              <w:right w:val="single" w:sz="4" w:space="0" w:color="FFFFFF"/>
            </w:tcBorders>
            <w:noWrap/>
            <w:vAlign w:val="center"/>
            <w:hideMark/>
          </w:tcPr>
          <w:p w14:paraId="71D3B945" w14:textId="7A41E6A6" w:rsidR="00A2197D" w:rsidRPr="00D24F1A" w:rsidRDefault="00A2197D" w:rsidP="00A2197D">
            <w:pPr>
              <w:jc w:val="right"/>
              <w:rPr>
                <w:color w:val="000000"/>
                <w:sz w:val="18"/>
                <w:szCs w:val="18"/>
                <w:lang w:val="es-MX" w:eastAsia="es-MX"/>
              </w:rPr>
            </w:pPr>
            <w:r>
              <w:rPr>
                <w:color w:val="000000"/>
                <w:sz w:val="18"/>
                <w:szCs w:val="18"/>
              </w:rPr>
              <w:t>-16.4</w:t>
            </w:r>
          </w:p>
        </w:tc>
        <w:tc>
          <w:tcPr>
            <w:tcW w:w="800" w:type="dxa"/>
            <w:tcBorders>
              <w:top w:val="nil"/>
              <w:left w:val="nil"/>
              <w:bottom w:val="single" w:sz="4" w:space="0" w:color="FFFFFF"/>
              <w:right w:val="single" w:sz="4" w:space="0" w:color="FFFFFF"/>
            </w:tcBorders>
            <w:noWrap/>
            <w:vAlign w:val="center"/>
            <w:hideMark/>
          </w:tcPr>
          <w:p w14:paraId="6277751D" w14:textId="51D16F76" w:rsidR="00A2197D" w:rsidRPr="00D24F1A" w:rsidRDefault="00A2197D" w:rsidP="00A2197D">
            <w:pPr>
              <w:jc w:val="right"/>
              <w:rPr>
                <w:color w:val="000000"/>
                <w:sz w:val="18"/>
                <w:szCs w:val="18"/>
                <w:lang w:val="es-MX" w:eastAsia="es-MX"/>
              </w:rPr>
            </w:pPr>
            <w:r>
              <w:rPr>
                <w:color w:val="000000"/>
                <w:sz w:val="18"/>
                <w:szCs w:val="18"/>
              </w:rPr>
              <w:t>-8.6</w:t>
            </w:r>
          </w:p>
        </w:tc>
        <w:tc>
          <w:tcPr>
            <w:tcW w:w="1003" w:type="dxa"/>
            <w:tcBorders>
              <w:top w:val="nil"/>
              <w:left w:val="nil"/>
              <w:bottom w:val="single" w:sz="4" w:space="0" w:color="FFFFFF"/>
              <w:right w:val="single" w:sz="4" w:space="0" w:color="FFFFFF"/>
            </w:tcBorders>
            <w:noWrap/>
            <w:vAlign w:val="center"/>
            <w:hideMark/>
          </w:tcPr>
          <w:p w14:paraId="1BD4CCDA" w14:textId="2B879848" w:rsidR="00A2197D" w:rsidRPr="00D24F1A" w:rsidRDefault="00A2197D" w:rsidP="00A2197D">
            <w:pPr>
              <w:jc w:val="right"/>
              <w:rPr>
                <w:color w:val="000000"/>
                <w:sz w:val="18"/>
                <w:szCs w:val="18"/>
                <w:lang w:val="es-MX" w:eastAsia="es-MX"/>
              </w:rPr>
            </w:pPr>
            <w:r>
              <w:rPr>
                <w:color w:val="000000"/>
                <w:sz w:val="18"/>
                <w:szCs w:val="18"/>
              </w:rPr>
              <w:t>-3.1</w:t>
            </w:r>
          </w:p>
        </w:tc>
        <w:tc>
          <w:tcPr>
            <w:tcW w:w="774" w:type="dxa"/>
            <w:tcBorders>
              <w:top w:val="nil"/>
              <w:left w:val="nil"/>
              <w:bottom w:val="single" w:sz="4" w:space="0" w:color="FFFFFF"/>
              <w:right w:val="single" w:sz="4" w:space="0" w:color="FFFFFF"/>
            </w:tcBorders>
            <w:noWrap/>
            <w:vAlign w:val="center"/>
            <w:hideMark/>
          </w:tcPr>
          <w:p w14:paraId="4DC38F93" w14:textId="212EAAE9" w:rsidR="00A2197D" w:rsidRPr="00D24F1A" w:rsidRDefault="00A2197D" w:rsidP="00A2197D">
            <w:pPr>
              <w:jc w:val="right"/>
              <w:rPr>
                <w:color w:val="000000"/>
                <w:sz w:val="18"/>
                <w:szCs w:val="18"/>
                <w:lang w:val="es-MX" w:eastAsia="es-MX"/>
              </w:rPr>
            </w:pPr>
            <w:r>
              <w:rPr>
                <w:color w:val="000000"/>
                <w:sz w:val="18"/>
                <w:szCs w:val="18"/>
              </w:rPr>
              <w:t>34.5</w:t>
            </w:r>
          </w:p>
        </w:tc>
        <w:tc>
          <w:tcPr>
            <w:tcW w:w="774" w:type="dxa"/>
            <w:tcBorders>
              <w:top w:val="nil"/>
              <w:left w:val="nil"/>
              <w:bottom w:val="single" w:sz="4" w:space="0" w:color="FFFFFF"/>
              <w:right w:val="single" w:sz="4" w:space="0" w:color="FFFFFF"/>
            </w:tcBorders>
            <w:noWrap/>
            <w:vAlign w:val="center"/>
            <w:hideMark/>
          </w:tcPr>
          <w:p w14:paraId="6267E613" w14:textId="68D9BEAD" w:rsidR="00A2197D" w:rsidRPr="00D24F1A" w:rsidRDefault="00A2197D" w:rsidP="00A2197D">
            <w:pPr>
              <w:jc w:val="right"/>
              <w:rPr>
                <w:color w:val="000000"/>
                <w:sz w:val="18"/>
                <w:szCs w:val="18"/>
                <w:lang w:val="es-MX" w:eastAsia="es-MX"/>
              </w:rPr>
            </w:pPr>
            <w:r>
              <w:rPr>
                <w:color w:val="000000"/>
                <w:sz w:val="18"/>
                <w:szCs w:val="18"/>
              </w:rPr>
              <w:t>-10.8</w:t>
            </w:r>
          </w:p>
        </w:tc>
        <w:tc>
          <w:tcPr>
            <w:tcW w:w="1012" w:type="dxa"/>
            <w:tcBorders>
              <w:top w:val="nil"/>
              <w:left w:val="nil"/>
              <w:bottom w:val="single" w:sz="4" w:space="0" w:color="FFFFFF"/>
              <w:right w:val="single" w:sz="4" w:space="0" w:color="FFFFFF"/>
            </w:tcBorders>
            <w:noWrap/>
            <w:vAlign w:val="center"/>
            <w:hideMark/>
          </w:tcPr>
          <w:p w14:paraId="46F2416A" w14:textId="115B9C6A" w:rsidR="00A2197D" w:rsidRPr="00D24F1A" w:rsidRDefault="00A2197D" w:rsidP="00A2197D">
            <w:pPr>
              <w:jc w:val="right"/>
              <w:rPr>
                <w:color w:val="000000"/>
                <w:sz w:val="18"/>
                <w:szCs w:val="18"/>
                <w:lang w:val="es-MX" w:eastAsia="es-MX"/>
              </w:rPr>
            </w:pPr>
            <w:r>
              <w:rPr>
                <w:color w:val="000000"/>
                <w:sz w:val="18"/>
                <w:szCs w:val="18"/>
              </w:rPr>
              <w:t>2.7</w:t>
            </w:r>
          </w:p>
        </w:tc>
      </w:tr>
      <w:tr w:rsidR="00A2197D" w:rsidRPr="00D24F1A" w14:paraId="132684AC" w14:textId="77777777" w:rsidTr="006E1CDA">
        <w:trPr>
          <w:trHeight w:val="360"/>
          <w:jc w:val="center"/>
        </w:trPr>
        <w:tc>
          <w:tcPr>
            <w:tcW w:w="1760" w:type="dxa"/>
            <w:tcBorders>
              <w:top w:val="nil"/>
              <w:left w:val="single" w:sz="4" w:space="0" w:color="FFFFFF"/>
              <w:bottom w:val="single" w:sz="4" w:space="0" w:color="FFFFFF"/>
              <w:right w:val="single" w:sz="4" w:space="0" w:color="FFFFFF"/>
            </w:tcBorders>
            <w:shd w:val="clear" w:color="000000" w:fill="F2F2F2"/>
            <w:noWrap/>
            <w:vAlign w:val="center"/>
            <w:hideMark/>
          </w:tcPr>
          <w:p w14:paraId="48116112" w14:textId="77777777" w:rsidR="00A2197D" w:rsidRPr="00D24F1A" w:rsidRDefault="00A2197D" w:rsidP="00A2197D">
            <w:pPr>
              <w:jc w:val="left"/>
              <w:rPr>
                <w:color w:val="000000"/>
                <w:sz w:val="18"/>
                <w:szCs w:val="18"/>
                <w:lang w:val="es-MX" w:eastAsia="es-MX"/>
              </w:rPr>
            </w:pPr>
            <w:r w:rsidRPr="00D24F1A">
              <w:rPr>
                <w:color w:val="000000"/>
                <w:sz w:val="18"/>
                <w:szCs w:val="18"/>
                <w:lang w:val="es-MX" w:eastAsia="es-MX"/>
              </w:rPr>
              <w:t>Secundarias</w:t>
            </w:r>
          </w:p>
        </w:tc>
        <w:tc>
          <w:tcPr>
            <w:tcW w:w="799" w:type="dxa"/>
            <w:tcBorders>
              <w:top w:val="nil"/>
              <w:left w:val="single" w:sz="4" w:space="0" w:color="FFFFFF"/>
              <w:bottom w:val="single" w:sz="4" w:space="0" w:color="FFFFFF"/>
              <w:right w:val="single" w:sz="4" w:space="0" w:color="FFFFFF"/>
            </w:tcBorders>
            <w:shd w:val="clear" w:color="000000" w:fill="F2F2F2"/>
            <w:noWrap/>
            <w:vAlign w:val="center"/>
            <w:hideMark/>
          </w:tcPr>
          <w:p w14:paraId="5DC5C122" w14:textId="58146601" w:rsidR="00A2197D" w:rsidRPr="00D24F1A" w:rsidRDefault="00A2197D" w:rsidP="00A2197D">
            <w:pPr>
              <w:jc w:val="right"/>
              <w:rPr>
                <w:color w:val="000000"/>
                <w:sz w:val="18"/>
                <w:szCs w:val="18"/>
                <w:lang w:val="es-MX" w:eastAsia="es-MX"/>
              </w:rPr>
            </w:pPr>
            <w:r>
              <w:rPr>
                <w:color w:val="000000"/>
                <w:sz w:val="18"/>
                <w:szCs w:val="18"/>
              </w:rPr>
              <w:t>10.7</w:t>
            </w:r>
          </w:p>
        </w:tc>
        <w:tc>
          <w:tcPr>
            <w:tcW w:w="799" w:type="dxa"/>
            <w:tcBorders>
              <w:top w:val="nil"/>
              <w:left w:val="nil"/>
              <w:bottom w:val="single" w:sz="4" w:space="0" w:color="FFFFFF"/>
              <w:right w:val="single" w:sz="4" w:space="0" w:color="FFFFFF"/>
            </w:tcBorders>
            <w:shd w:val="clear" w:color="000000" w:fill="F2F2F2"/>
            <w:noWrap/>
            <w:vAlign w:val="center"/>
            <w:hideMark/>
          </w:tcPr>
          <w:p w14:paraId="068F2E24" w14:textId="308F8D81" w:rsidR="00A2197D" w:rsidRPr="00D24F1A" w:rsidRDefault="00A2197D" w:rsidP="00A2197D">
            <w:pPr>
              <w:jc w:val="right"/>
              <w:rPr>
                <w:color w:val="000000"/>
                <w:sz w:val="18"/>
                <w:szCs w:val="18"/>
                <w:lang w:val="es-MX" w:eastAsia="es-MX"/>
              </w:rPr>
            </w:pPr>
            <w:r>
              <w:rPr>
                <w:color w:val="000000"/>
                <w:sz w:val="18"/>
                <w:szCs w:val="18"/>
              </w:rPr>
              <w:t>4.8</w:t>
            </w:r>
          </w:p>
        </w:tc>
        <w:tc>
          <w:tcPr>
            <w:tcW w:w="799" w:type="dxa"/>
            <w:tcBorders>
              <w:top w:val="nil"/>
              <w:left w:val="nil"/>
              <w:bottom w:val="single" w:sz="4" w:space="0" w:color="FFFFFF"/>
              <w:right w:val="single" w:sz="4" w:space="0" w:color="FFFFFF"/>
            </w:tcBorders>
            <w:shd w:val="clear" w:color="000000" w:fill="F2F2F2"/>
            <w:noWrap/>
            <w:vAlign w:val="center"/>
            <w:hideMark/>
          </w:tcPr>
          <w:p w14:paraId="3DE9C710" w14:textId="08451B0E" w:rsidR="00A2197D" w:rsidRPr="00D24F1A" w:rsidRDefault="00A2197D" w:rsidP="00A2197D">
            <w:pPr>
              <w:jc w:val="right"/>
              <w:rPr>
                <w:color w:val="000000"/>
                <w:sz w:val="18"/>
                <w:szCs w:val="18"/>
                <w:lang w:val="es-MX" w:eastAsia="es-MX"/>
              </w:rPr>
            </w:pPr>
            <w:r>
              <w:rPr>
                <w:color w:val="000000"/>
                <w:sz w:val="18"/>
                <w:szCs w:val="18"/>
              </w:rPr>
              <w:t>-2.1</w:t>
            </w:r>
          </w:p>
        </w:tc>
        <w:tc>
          <w:tcPr>
            <w:tcW w:w="800" w:type="dxa"/>
            <w:tcBorders>
              <w:top w:val="nil"/>
              <w:left w:val="nil"/>
              <w:bottom w:val="single" w:sz="4" w:space="0" w:color="FFFFFF"/>
              <w:right w:val="single" w:sz="4" w:space="0" w:color="FFFFFF"/>
            </w:tcBorders>
            <w:shd w:val="clear" w:color="000000" w:fill="F2F2F2"/>
            <w:noWrap/>
            <w:vAlign w:val="center"/>
            <w:hideMark/>
          </w:tcPr>
          <w:p w14:paraId="4C867C31" w14:textId="48524820" w:rsidR="00A2197D" w:rsidRPr="00D24F1A" w:rsidRDefault="00A2197D" w:rsidP="00A2197D">
            <w:pPr>
              <w:jc w:val="right"/>
              <w:rPr>
                <w:color w:val="000000"/>
                <w:sz w:val="18"/>
                <w:szCs w:val="18"/>
                <w:lang w:val="es-MX" w:eastAsia="es-MX"/>
              </w:rPr>
            </w:pPr>
            <w:r>
              <w:rPr>
                <w:color w:val="000000"/>
                <w:sz w:val="18"/>
                <w:szCs w:val="18"/>
              </w:rPr>
              <w:t>2.9</w:t>
            </w:r>
          </w:p>
        </w:tc>
        <w:tc>
          <w:tcPr>
            <w:tcW w:w="1003" w:type="dxa"/>
            <w:tcBorders>
              <w:top w:val="nil"/>
              <w:left w:val="nil"/>
              <w:bottom w:val="single" w:sz="4" w:space="0" w:color="FFFFFF"/>
              <w:right w:val="single" w:sz="4" w:space="0" w:color="FFFFFF"/>
            </w:tcBorders>
            <w:shd w:val="clear" w:color="000000" w:fill="F2F2F2"/>
            <w:noWrap/>
            <w:vAlign w:val="center"/>
            <w:hideMark/>
          </w:tcPr>
          <w:p w14:paraId="5E57334C" w14:textId="4E216767" w:rsidR="00A2197D" w:rsidRPr="00D24F1A" w:rsidRDefault="00A2197D" w:rsidP="00A2197D">
            <w:pPr>
              <w:jc w:val="right"/>
              <w:rPr>
                <w:color w:val="000000"/>
                <w:sz w:val="18"/>
                <w:szCs w:val="18"/>
                <w:lang w:val="es-MX" w:eastAsia="es-MX"/>
              </w:rPr>
            </w:pPr>
            <w:r>
              <w:rPr>
                <w:color w:val="000000"/>
                <w:sz w:val="18"/>
                <w:szCs w:val="18"/>
              </w:rPr>
              <w:t>3.8</w:t>
            </w:r>
          </w:p>
        </w:tc>
        <w:tc>
          <w:tcPr>
            <w:tcW w:w="774" w:type="dxa"/>
            <w:tcBorders>
              <w:top w:val="nil"/>
              <w:left w:val="nil"/>
              <w:bottom w:val="single" w:sz="4" w:space="0" w:color="FFFFFF"/>
              <w:right w:val="single" w:sz="4" w:space="0" w:color="FFFFFF"/>
            </w:tcBorders>
            <w:shd w:val="clear" w:color="000000" w:fill="F2F2F2"/>
            <w:noWrap/>
            <w:vAlign w:val="center"/>
            <w:hideMark/>
          </w:tcPr>
          <w:p w14:paraId="5257E019" w14:textId="02BA0B2B" w:rsidR="00A2197D" w:rsidRPr="00D24F1A" w:rsidRDefault="00A2197D" w:rsidP="00A2197D">
            <w:pPr>
              <w:jc w:val="right"/>
              <w:rPr>
                <w:color w:val="000000"/>
                <w:sz w:val="18"/>
                <w:szCs w:val="18"/>
                <w:lang w:val="es-MX" w:eastAsia="es-MX"/>
              </w:rPr>
            </w:pPr>
            <w:r>
              <w:rPr>
                <w:color w:val="000000"/>
                <w:sz w:val="18"/>
                <w:szCs w:val="18"/>
              </w:rPr>
              <w:t>-4.1</w:t>
            </w:r>
          </w:p>
        </w:tc>
        <w:tc>
          <w:tcPr>
            <w:tcW w:w="774" w:type="dxa"/>
            <w:tcBorders>
              <w:top w:val="nil"/>
              <w:left w:val="nil"/>
              <w:bottom w:val="single" w:sz="4" w:space="0" w:color="FFFFFF"/>
              <w:right w:val="single" w:sz="4" w:space="0" w:color="FFFFFF"/>
            </w:tcBorders>
            <w:shd w:val="clear" w:color="000000" w:fill="F2F2F2"/>
            <w:noWrap/>
            <w:vAlign w:val="center"/>
            <w:hideMark/>
          </w:tcPr>
          <w:p w14:paraId="103CF1BB" w14:textId="7B7B2757" w:rsidR="00A2197D" w:rsidRPr="00D24F1A" w:rsidRDefault="00A2197D" w:rsidP="00A2197D">
            <w:pPr>
              <w:jc w:val="right"/>
              <w:rPr>
                <w:color w:val="000000"/>
                <w:sz w:val="18"/>
                <w:szCs w:val="18"/>
                <w:lang w:val="es-MX" w:eastAsia="es-MX"/>
              </w:rPr>
            </w:pPr>
            <w:r>
              <w:rPr>
                <w:color w:val="000000"/>
                <w:sz w:val="18"/>
                <w:szCs w:val="18"/>
              </w:rPr>
              <w:t>0.5</w:t>
            </w:r>
          </w:p>
        </w:tc>
        <w:tc>
          <w:tcPr>
            <w:tcW w:w="1012" w:type="dxa"/>
            <w:tcBorders>
              <w:top w:val="nil"/>
              <w:left w:val="nil"/>
              <w:bottom w:val="single" w:sz="4" w:space="0" w:color="FFFFFF"/>
              <w:right w:val="single" w:sz="4" w:space="0" w:color="FFFFFF"/>
            </w:tcBorders>
            <w:shd w:val="clear" w:color="000000" w:fill="F2F2F2"/>
            <w:noWrap/>
            <w:vAlign w:val="center"/>
            <w:hideMark/>
          </w:tcPr>
          <w:p w14:paraId="0D1253D3" w14:textId="47EFAC54" w:rsidR="00A2197D" w:rsidRPr="00D24F1A" w:rsidRDefault="00A2197D" w:rsidP="00A2197D">
            <w:pPr>
              <w:jc w:val="right"/>
              <w:rPr>
                <w:color w:val="000000"/>
                <w:sz w:val="18"/>
                <w:szCs w:val="18"/>
                <w:lang w:val="es-MX" w:eastAsia="es-MX"/>
              </w:rPr>
            </w:pPr>
            <w:r>
              <w:rPr>
                <w:color w:val="000000"/>
                <w:sz w:val="18"/>
                <w:szCs w:val="18"/>
              </w:rPr>
              <w:t>-1.8</w:t>
            </w:r>
          </w:p>
        </w:tc>
      </w:tr>
      <w:tr w:rsidR="00A2197D" w:rsidRPr="00D24F1A" w14:paraId="53E0D751" w14:textId="77777777" w:rsidTr="006E1CDA">
        <w:trPr>
          <w:trHeight w:val="360"/>
          <w:jc w:val="center"/>
        </w:trPr>
        <w:tc>
          <w:tcPr>
            <w:tcW w:w="1760" w:type="dxa"/>
            <w:tcBorders>
              <w:top w:val="nil"/>
              <w:left w:val="nil"/>
              <w:bottom w:val="single" w:sz="8" w:space="0" w:color="C0C0C0"/>
              <w:right w:val="single" w:sz="4" w:space="0" w:color="FFFFFF"/>
            </w:tcBorders>
            <w:noWrap/>
            <w:vAlign w:val="center"/>
            <w:hideMark/>
          </w:tcPr>
          <w:p w14:paraId="47BC64BE" w14:textId="77777777" w:rsidR="00A2197D" w:rsidRPr="00D24F1A" w:rsidRDefault="00A2197D" w:rsidP="00A2197D">
            <w:pPr>
              <w:jc w:val="left"/>
              <w:rPr>
                <w:color w:val="000000"/>
                <w:sz w:val="18"/>
                <w:szCs w:val="18"/>
                <w:lang w:val="es-MX" w:eastAsia="es-MX"/>
              </w:rPr>
            </w:pPr>
            <w:r w:rsidRPr="00D24F1A">
              <w:rPr>
                <w:color w:val="000000"/>
                <w:sz w:val="18"/>
                <w:szCs w:val="18"/>
                <w:lang w:val="es-MX" w:eastAsia="es-MX"/>
              </w:rPr>
              <w:t>Terciarias</w:t>
            </w:r>
          </w:p>
        </w:tc>
        <w:tc>
          <w:tcPr>
            <w:tcW w:w="799" w:type="dxa"/>
            <w:tcBorders>
              <w:top w:val="nil"/>
              <w:left w:val="single" w:sz="4" w:space="0" w:color="FFFFFF"/>
              <w:bottom w:val="single" w:sz="8" w:space="0" w:color="C0C0C0"/>
              <w:right w:val="single" w:sz="4" w:space="0" w:color="FFFFFF"/>
            </w:tcBorders>
            <w:noWrap/>
            <w:vAlign w:val="center"/>
            <w:hideMark/>
          </w:tcPr>
          <w:p w14:paraId="2171B7F3" w14:textId="7DF3B044" w:rsidR="00A2197D" w:rsidRPr="00D24F1A" w:rsidRDefault="00A2197D" w:rsidP="00A2197D">
            <w:pPr>
              <w:jc w:val="right"/>
              <w:rPr>
                <w:color w:val="000000"/>
                <w:sz w:val="18"/>
                <w:szCs w:val="18"/>
                <w:lang w:val="es-MX" w:eastAsia="es-MX"/>
              </w:rPr>
            </w:pPr>
            <w:r>
              <w:rPr>
                <w:color w:val="000000"/>
                <w:sz w:val="18"/>
                <w:szCs w:val="18"/>
              </w:rPr>
              <w:t>1.6</w:t>
            </w:r>
          </w:p>
        </w:tc>
        <w:tc>
          <w:tcPr>
            <w:tcW w:w="799" w:type="dxa"/>
            <w:tcBorders>
              <w:top w:val="nil"/>
              <w:left w:val="nil"/>
              <w:bottom w:val="single" w:sz="8" w:space="0" w:color="C0C0C0"/>
              <w:right w:val="single" w:sz="4" w:space="0" w:color="FFFFFF"/>
            </w:tcBorders>
            <w:noWrap/>
            <w:vAlign w:val="center"/>
            <w:hideMark/>
          </w:tcPr>
          <w:p w14:paraId="22AAA079" w14:textId="01269447" w:rsidR="00A2197D" w:rsidRPr="00D24F1A" w:rsidRDefault="00A2197D" w:rsidP="00A2197D">
            <w:pPr>
              <w:jc w:val="right"/>
              <w:rPr>
                <w:color w:val="000000"/>
                <w:sz w:val="18"/>
                <w:szCs w:val="18"/>
                <w:lang w:val="es-MX" w:eastAsia="es-MX"/>
              </w:rPr>
            </w:pPr>
            <w:r>
              <w:rPr>
                <w:color w:val="000000"/>
                <w:sz w:val="18"/>
                <w:szCs w:val="18"/>
              </w:rPr>
              <w:t>-0.4</w:t>
            </w:r>
          </w:p>
        </w:tc>
        <w:tc>
          <w:tcPr>
            <w:tcW w:w="799" w:type="dxa"/>
            <w:tcBorders>
              <w:top w:val="nil"/>
              <w:left w:val="nil"/>
              <w:bottom w:val="single" w:sz="8" w:space="0" w:color="C0C0C0"/>
              <w:right w:val="single" w:sz="4" w:space="0" w:color="FFFFFF"/>
            </w:tcBorders>
            <w:noWrap/>
            <w:vAlign w:val="center"/>
            <w:hideMark/>
          </w:tcPr>
          <w:p w14:paraId="06DB0878" w14:textId="35B132C5" w:rsidR="00A2197D" w:rsidRPr="00D24F1A" w:rsidRDefault="00A2197D" w:rsidP="00A2197D">
            <w:pPr>
              <w:jc w:val="right"/>
              <w:rPr>
                <w:color w:val="000000"/>
                <w:sz w:val="18"/>
                <w:szCs w:val="18"/>
                <w:lang w:val="es-MX" w:eastAsia="es-MX"/>
              </w:rPr>
            </w:pPr>
            <w:r>
              <w:rPr>
                <w:color w:val="000000"/>
                <w:sz w:val="18"/>
                <w:szCs w:val="18"/>
              </w:rPr>
              <w:t>2.3</w:t>
            </w:r>
          </w:p>
        </w:tc>
        <w:tc>
          <w:tcPr>
            <w:tcW w:w="800" w:type="dxa"/>
            <w:tcBorders>
              <w:top w:val="nil"/>
              <w:left w:val="nil"/>
              <w:bottom w:val="single" w:sz="8" w:space="0" w:color="C0C0C0"/>
              <w:right w:val="single" w:sz="4" w:space="0" w:color="FFFFFF"/>
            </w:tcBorders>
            <w:noWrap/>
            <w:vAlign w:val="center"/>
            <w:hideMark/>
          </w:tcPr>
          <w:p w14:paraId="1BE09426" w14:textId="0A23FDC9" w:rsidR="00A2197D" w:rsidRPr="00D24F1A" w:rsidRDefault="00A2197D" w:rsidP="00A2197D">
            <w:pPr>
              <w:jc w:val="right"/>
              <w:rPr>
                <w:color w:val="000000"/>
                <w:sz w:val="18"/>
                <w:szCs w:val="18"/>
                <w:lang w:val="es-MX" w:eastAsia="es-MX"/>
              </w:rPr>
            </w:pPr>
            <w:r>
              <w:rPr>
                <w:color w:val="000000"/>
                <w:sz w:val="18"/>
                <w:szCs w:val="18"/>
              </w:rPr>
              <w:t>5.3</w:t>
            </w:r>
          </w:p>
        </w:tc>
        <w:tc>
          <w:tcPr>
            <w:tcW w:w="1003" w:type="dxa"/>
            <w:tcBorders>
              <w:top w:val="nil"/>
              <w:left w:val="nil"/>
              <w:bottom w:val="single" w:sz="8" w:space="0" w:color="C0C0C0"/>
              <w:right w:val="single" w:sz="4" w:space="0" w:color="FFFFFF"/>
            </w:tcBorders>
            <w:noWrap/>
            <w:vAlign w:val="center"/>
            <w:hideMark/>
          </w:tcPr>
          <w:p w14:paraId="11A04442" w14:textId="22182F76" w:rsidR="00A2197D" w:rsidRPr="00D24F1A" w:rsidRDefault="00A2197D" w:rsidP="00A2197D">
            <w:pPr>
              <w:jc w:val="right"/>
              <w:rPr>
                <w:color w:val="000000"/>
                <w:sz w:val="18"/>
                <w:szCs w:val="18"/>
                <w:lang w:val="es-MX" w:eastAsia="es-MX"/>
              </w:rPr>
            </w:pPr>
            <w:r>
              <w:rPr>
                <w:color w:val="000000"/>
                <w:sz w:val="18"/>
                <w:szCs w:val="18"/>
              </w:rPr>
              <w:t>2.2</w:t>
            </w:r>
          </w:p>
        </w:tc>
        <w:tc>
          <w:tcPr>
            <w:tcW w:w="774" w:type="dxa"/>
            <w:tcBorders>
              <w:top w:val="nil"/>
              <w:left w:val="nil"/>
              <w:bottom w:val="single" w:sz="8" w:space="0" w:color="C0C0C0"/>
              <w:right w:val="single" w:sz="4" w:space="0" w:color="FFFFFF"/>
            </w:tcBorders>
            <w:noWrap/>
            <w:vAlign w:val="center"/>
            <w:hideMark/>
          </w:tcPr>
          <w:p w14:paraId="4C675245" w14:textId="2DBD84D3" w:rsidR="00A2197D" w:rsidRPr="00D24F1A" w:rsidRDefault="00A2197D" w:rsidP="00A2197D">
            <w:pPr>
              <w:jc w:val="right"/>
              <w:rPr>
                <w:color w:val="000000"/>
                <w:sz w:val="18"/>
                <w:szCs w:val="18"/>
                <w:lang w:val="es-MX" w:eastAsia="es-MX"/>
              </w:rPr>
            </w:pPr>
            <w:r>
              <w:rPr>
                <w:color w:val="000000"/>
                <w:sz w:val="18"/>
                <w:szCs w:val="18"/>
              </w:rPr>
              <w:t>0.2</w:t>
            </w:r>
          </w:p>
        </w:tc>
        <w:tc>
          <w:tcPr>
            <w:tcW w:w="774" w:type="dxa"/>
            <w:tcBorders>
              <w:top w:val="nil"/>
              <w:left w:val="nil"/>
              <w:bottom w:val="single" w:sz="8" w:space="0" w:color="C0C0C0"/>
              <w:right w:val="single" w:sz="4" w:space="0" w:color="FFFFFF"/>
            </w:tcBorders>
            <w:noWrap/>
            <w:vAlign w:val="center"/>
            <w:hideMark/>
          </w:tcPr>
          <w:p w14:paraId="32CC070C" w14:textId="6247073D" w:rsidR="00A2197D" w:rsidRPr="00D24F1A" w:rsidRDefault="00A2197D" w:rsidP="00A2197D">
            <w:pPr>
              <w:jc w:val="right"/>
              <w:rPr>
                <w:color w:val="000000"/>
                <w:sz w:val="18"/>
                <w:szCs w:val="18"/>
                <w:lang w:val="es-MX" w:eastAsia="es-MX"/>
              </w:rPr>
            </w:pPr>
            <w:r>
              <w:rPr>
                <w:color w:val="000000"/>
                <w:sz w:val="18"/>
                <w:szCs w:val="18"/>
              </w:rPr>
              <w:t>2.6</w:t>
            </w:r>
          </w:p>
        </w:tc>
        <w:tc>
          <w:tcPr>
            <w:tcW w:w="1012" w:type="dxa"/>
            <w:tcBorders>
              <w:top w:val="nil"/>
              <w:left w:val="nil"/>
              <w:bottom w:val="single" w:sz="8" w:space="0" w:color="C0C0C0"/>
              <w:right w:val="single" w:sz="4" w:space="0" w:color="FFFFFF"/>
            </w:tcBorders>
            <w:noWrap/>
            <w:vAlign w:val="center"/>
            <w:hideMark/>
          </w:tcPr>
          <w:p w14:paraId="58371300" w14:textId="0D0324C1" w:rsidR="00A2197D" w:rsidRPr="00D24F1A" w:rsidRDefault="00A2197D" w:rsidP="00A2197D">
            <w:pPr>
              <w:jc w:val="right"/>
              <w:rPr>
                <w:color w:val="000000"/>
                <w:sz w:val="18"/>
                <w:szCs w:val="18"/>
                <w:lang w:val="es-MX" w:eastAsia="es-MX"/>
              </w:rPr>
            </w:pPr>
            <w:r>
              <w:rPr>
                <w:color w:val="000000"/>
                <w:sz w:val="18"/>
                <w:szCs w:val="18"/>
              </w:rPr>
              <w:t>1.4</w:t>
            </w:r>
          </w:p>
        </w:tc>
      </w:tr>
    </w:tbl>
    <w:p w14:paraId="455E37E1" w14:textId="77777777" w:rsidR="009E19AB" w:rsidRDefault="009E19AB" w:rsidP="009E19AB">
      <w:pPr>
        <w:ind w:left="709"/>
        <w:rPr>
          <w:color w:val="4D565E"/>
          <w:sz w:val="16"/>
          <w:szCs w:val="16"/>
          <w:lang w:val="es-ES" w:eastAsia="es-MX"/>
        </w:rPr>
      </w:pPr>
      <w:r w:rsidRPr="009E19AB">
        <w:rPr>
          <w:color w:val="4D565E"/>
          <w:sz w:val="16"/>
          <w:szCs w:val="16"/>
          <w:vertAlign w:val="superscript"/>
          <w:lang w:val="es-ES" w:eastAsia="es-MX"/>
        </w:rPr>
        <w:t>1/</w:t>
      </w:r>
      <w:r>
        <w:rPr>
          <w:color w:val="4D565E"/>
          <w:sz w:val="16"/>
          <w:szCs w:val="16"/>
          <w:lang w:val="es-ES" w:eastAsia="es-MX"/>
        </w:rPr>
        <w:t xml:space="preserve"> </w:t>
      </w:r>
      <w:r>
        <w:rPr>
          <w:color w:val="4D565E"/>
          <w:sz w:val="16"/>
          <w:szCs w:val="16"/>
          <w:lang w:val="es-ES" w:eastAsia="es-MX"/>
        </w:rPr>
        <w:tab/>
        <w:t xml:space="preserve"> Cifras preliminares.</w:t>
      </w:r>
    </w:p>
    <w:p w14:paraId="4A9293EC" w14:textId="77777777" w:rsidR="009E19AB" w:rsidRPr="0065528B" w:rsidRDefault="009E19AB" w:rsidP="009E19AB">
      <w:pPr>
        <w:ind w:left="709"/>
        <w:rPr>
          <w:color w:val="4D565E"/>
          <w:sz w:val="16"/>
          <w:szCs w:val="16"/>
          <w:lang w:val="es-ES" w:eastAsia="es-MX"/>
        </w:rPr>
      </w:pPr>
      <w:r w:rsidRPr="009E19AB">
        <w:rPr>
          <w:color w:val="4D565E"/>
          <w:sz w:val="16"/>
          <w:szCs w:val="16"/>
          <w:vertAlign w:val="superscript"/>
          <w:lang w:val="es-ES" w:eastAsia="es-MX"/>
        </w:rPr>
        <w:t>2/</w:t>
      </w:r>
      <w:r>
        <w:rPr>
          <w:color w:val="4D565E"/>
          <w:sz w:val="16"/>
          <w:szCs w:val="16"/>
          <w:lang w:val="es-ES" w:eastAsia="es-MX"/>
        </w:rPr>
        <w:t xml:space="preserve"> </w:t>
      </w:r>
      <w:r>
        <w:rPr>
          <w:color w:val="4D565E"/>
          <w:sz w:val="16"/>
          <w:szCs w:val="16"/>
          <w:lang w:val="es-ES" w:eastAsia="es-MX"/>
        </w:rPr>
        <w:tab/>
        <w:t xml:space="preserve"> Cifras revisadas.</w:t>
      </w:r>
    </w:p>
    <w:p w14:paraId="2518AC27" w14:textId="77777777" w:rsidR="009E19AB" w:rsidRDefault="009E19AB" w:rsidP="009E19AB">
      <w:pPr>
        <w:ind w:left="709"/>
        <w:rPr>
          <w:color w:val="4D565E"/>
          <w:sz w:val="16"/>
          <w:szCs w:val="16"/>
          <w:lang w:val="es-ES" w:eastAsia="es-MX"/>
        </w:rPr>
      </w:pPr>
      <w:r w:rsidRPr="0065528B">
        <w:rPr>
          <w:color w:val="4D565E"/>
          <w:sz w:val="16"/>
          <w:szCs w:val="16"/>
          <w:lang w:val="es-ES" w:eastAsia="es-MX"/>
        </w:rPr>
        <w:t>Fuente:</w:t>
      </w:r>
      <w:r w:rsidRPr="0065528B">
        <w:rPr>
          <w:sz w:val="16"/>
          <w:szCs w:val="16"/>
        </w:rPr>
        <w:tab/>
      </w:r>
      <w:r>
        <w:rPr>
          <w:sz w:val="16"/>
          <w:szCs w:val="16"/>
        </w:rPr>
        <w:t xml:space="preserve"> </w:t>
      </w:r>
      <w:r w:rsidRPr="0065528B">
        <w:rPr>
          <w:smallCaps/>
          <w:color w:val="4D565E"/>
          <w:sz w:val="16"/>
          <w:szCs w:val="16"/>
          <w:lang w:val="es-ES" w:eastAsia="es-MX"/>
        </w:rPr>
        <w:t xml:space="preserve">inegi. </w:t>
      </w:r>
      <w:r w:rsidRPr="0065528B">
        <w:rPr>
          <w:color w:val="4D565E"/>
          <w:sz w:val="16"/>
          <w:szCs w:val="16"/>
          <w:lang w:val="es-ES" w:eastAsia="es-MX"/>
        </w:rPr>
        <w:t>Indicador Trimestral de la Actividad Económica Estatal</w:t>
      </w:r>
      <w:r w:rsidRPr="0065528B">
        <w:rPr>
          <w:smallCaps/>
          <w:color w:val="4D565E"/>
          <w:sz w:val="16"/>
          <w:szCs w:val="16"/>
          <w:lang w:val="es-ES" w:eastAsia="es-MX"/>
        </w:rPr>
        <w:t xml:space="preserve"> (itaee)</w:t>
      </w:r>
      <w:r w:rsidRPr="0065528B">
        <w:rPr>
          <w:color w:val="4D565E"/>
          <w:sz w:val="16"/>
          <w:szCs w:val="16"/>
          <w:lang w:val="es-ES" w:eastAsia="es-MX"/>
        </w:rPr>
        <w:t>, 2025 y 2026.</w:t>
      </w:r>
    </w:p>
    <w:p w14:paraId="4EA294FD" w14:textId="77777777" w:rsidR="00DC6861" w:rsidRPr="009E19AB" w:rsidRDefault="00DC6861" w:rsidP="00DC6861">
      <w:pPr>
        <w:rPr>
          <w:lang w:val="es-ES" w:eastAsia="es-MX"/>
        </w:rPr>
      </w:pPr>
    </w:p>
    <w:p w14:paraId="4E3A977C" w14:textId="2D426AD6" w:rsidR="00DC6861" w:rsidRPr="00C62C6E" w:rsidRDefault="00A5671A" w:rsidP="00DC6861">
      <w:pPr>
        <w:rPr>
          <w:lang w:eastAsia="es-MX"/>
        </w:rPr>
      </w:pPr>
      <w:r w:rsidRPr="00A5671A">
        <w:rPr>
          <w:lang w:eastAsia="es-MX"/>
        </w:rPr>
        <w:t xml:space="preserve">En el trimestre de estudio, las </w:t>
      </w:r>
      <w:r w:rsidRPr="00796E8B">
        <w:rPr>
          <w:i/>
          <w:iCs/>
          <w:lang w:eastAsia="es-MX"/>
        </w:rPr>
        <w:t>actividades terciarias</w:t>
      </w:r>
      <w:r w:rsidRPr="00A5671A">
        <w:rPr>
          <w:lang w:eastAsia="es-MX"/>
        </w:rPr>
        <w:t xml:space="preserve"> contribuyeron con </w:t>
      </w:r>
      <w:r w:rsidR="009D7CFF">
        <w:rPr>
          <w:lang w:eastAsia="es-MX"/>
        </w:rPr>
        <w:br/>
      </w:r>
      <w:r w:rsidRPr="00A5671A">
        <w:rPr>
          <w:lang w:eastAsia="es-MX"/>
        </w:rPr>
        <w:t xml:space="preserve">2.33 puntos porcentuales a la variación total de la entidad. Por su parte, en los primeros </w:t>
      </w:r>
      <w:r w:rsidR="009D7CFF">
        <w:rPr>
          <w:lang w:eastAsia="es-MX"/>
        </w:rPr>
        <w:br/>
      </w:r>
      <w:r w:rsidRPr="00A5671A">
        <w:rPr>
          <w:lang w:eastAsia="es-MX"/>
        </w:rPr>
        <w:t xml:space="preserve">seis meses del año, igualmente, las </w:t>
      </w:r>
      <w:r w:rsidRPr="00796E8B">
        <w:rPr>
          <w:i/>
          <w:iCs/>
          <w:lang w:eastAsia="es-MX"/>
        </w:rPr>
        <w:t>actividades terciarias</w:t>
      </w:r>
      <w:r w:rsidRPr="00A5671A">
        <w:rPr>
          <w:lang w:eastAsia="es-MX"/>
        </w:rPr>
        <w:t xml:space="preserve"> fueron las que más aumentaron </w:t>
      </w:r>
      <w:r w:rsidR="009D7CFF">
        <w:rPr>
          <w:lang w:eastAsia="es-MX"/>
        </w:rPr>
        <w:br/>
      </w:r>
      <w:r w:rsidRPr="00A5671A">
        <w:rPr>
          <w:lang w:eastAsia="es-MX"/>
        </w:rPr>
        <w:t>la variación (ver cuadro 2).</w:t>
      </w:r>
    </w:p>
    <w:p w14:paraId="38D24744" w14:textId="77777777" w:rsidR="00DC6861" w:rsidRPr="00C62C6E" w:rsidRDefault="00DC6861" w:rsidP="00DC6861">
      <w:pPr>
        <w:rPr>
          <w:lang w:eastAsia="es-MX"/>
        </w:rPr>
      </w:pPr>
    </w:p>
    <w:p w14:paraId="7604BFA9" w14:textId="77777777" w:rsidR="00DC6861" w:rsidRPr="00AE55C8" w:rsidRDefault="00DC6861" w:rsidP="00DC6861">
      <w:pPr>
        <w:jc w:val="center"/>
        <w:rPr>
          <w:bCs/>
          <w:color w:val="003057"/>
          <w:sz w:val="20"/>
          <w:szCs w:val="20"/>
        </w:rPr>
      </w:pPr>
      <w:r w:rsidRPr="00AE55C8">
        <w:rPr>
          <w:bCs/>
          <w:color w:val="003057"/>
          <w:sz w:val="20"/>
          <w:szCs w:val="20"/>
        </w:rPr>
        <w:t>Cuadro 2</w:t>
      </w:r>
    </w:p>
    <w:p w14:paraId="480772CE" w14:textId="77777777" w:rsidR="009D7CFF" w:rsidRDefault="0075651D" w:rsidP="00DC6861">
      <w:pPr>
        <w:ind w:right="51"/>
        <w:jc w:val="center"/>
        <w:rPr>
          <w:b/>
          <w:color w:val="003057"/>
          <w:sz w:val="22"/>
          <w:szCs w:val="22"/>
        </w:rPr>
      </w:pPr>
      <w:r>
        <w:rPr>
          <w:b/>
          <w:color w:val="003057"/>
          <w:sz w:val="22"/>
          <w:szCs w:val="22"/>
        </w:rPr>
        <w:t xml:space="preserve">Contribución del </w:t>
      </w:r>
      <w:r w:rsidR="00576035" w:rsidRPr="00576035">
        <w:rPr>
          <w:b/>
          <w:color w:val="003057"/>
          <w:sz w:val="22"/>
          <w:szCs w:val="22"/>
        </w:rPr>
        <w:t>Indicador Trimestral de la Actividad Económica Estatal de</w:t>
      </w:r>
    </w:p>
    <w:p w14:paraId="2F39ACEF" w14:textId="53941F73" w:rsidR="00DC6861" w:rsidRPr="00103B2F" w:rsidRDefault="00B82CC0" w:rsidP="00DC6861">
      <w:pPr>
        <w:ind w:right="51"/>
        <w:jc w:val="center"/>
        <w:rPr>
          <w:b/>
          <w:color w:val="003057"/>
          <w:sz w:val="22"/>
          <w:szCs w:val="22"/>
        </w:rPr>
      </w:pPr>
      <w:r>
        <w:rPr>
          <w:b/>
          <w:color w:val="003057"/>
          <w:sz w:val="22"/>
          <w:szCs w:val="22"/>
        </w:rPr>
        <w:t>Ciudad de México</w:t>
      </w:r>
    </w:p>
    <w:p w14:paraId="1AE0905B" w14:textId="62460BC3" w:rsidR="00C37295" w:rsidRPr="00103B2F" w:rsidRDefault="00C37295" w:rsidP="00C37295">
      <w:pPr>
        <w:jc w:val="center"/>
        <w:rPr>
          <w:bCs/>
          <w:color w:val="27251F"/>
          <w:sz w:val="20"/>
          <w:lang w:eastAsia="es-MX"/>
        </w:rPr>
      </w:pPr>
      <w:r w:rsidRPr="00103B2F">
        <w:rPr>
          <w:bCs/>
          <w:color w:val="27251F"/>
          <w:sz w:val="20"/>
          <w:lang w:eastAsia="es-MX"/>
        </w:rPr>
        <w:t>202</w:t>
      </w:r>
      <w:r w:rsidR="00067976">
        <w:rPr>
          <w:bCs/>
          <w:color w:val="27251F"/>
          <w:sz w:val="20"/>
          <w:lang w:eastAsia="es-MX"/>
        </w:rPr>
        <w:t>5</w:t>
      </w:r>
      <w:r w:rsidR="004D2B3F">
        <w:rPr>
          <w:bCs/>
          <w:color w:val="27251F"/>
          <w:sz w:val="20"/>
          <w:lang w:eastAsia="es-MX"/>
        </w:rPr>
        <w:t xml:space="preserve"> y </w:t>
      </w:r>
      <w:r w:rsidRPr="00103B2F">
        <w:rPr>
          <w:bCs/>
          <w:color w:val="27251F"/>
          <w:sz w:val="20"/>
          <w:lang w:eastAsia="es-MX"/>
        </w:rPr>
        <w:t>202</w:t>
      </w:r>
      <w:r w:rsidR="00067976">
        <w:rPr>
          <w:bCs/>
          <w:color w:val="27251F"/>
          <w:sz w:val="20"/>
          <w:lang w:eastAsia="es-MX"/>
        </w:rPr>
        <w:t>6</w:t>
      </w:r>
    </w:p>
    <w:p w14:paraId="340EB825" w14:textId="777E3625" w:rsidR="00C37295" w:rsidRPr="00103B2F" w:rsidRDefault="00C37295" w:rsidP="00C37295">
      <w:pPr>
        <w:jc w:val="center"/>
        <w:rPr>
          <w:bCs/>
          <w:color w:val="27251F"/>
          <w:sz w:val="18"/>
          <w:szCs w:val="18"/>
          <w:lang w:eastAsia="es-MX"/>
        </w:rPr>
      </w:pPr>
      <w:r w:rsidRPr="00103B2F">
        <w:rPr>
          <w:bCs/>
          <w:color w:val="27251F"/>
          <w:sz w:val="18"/>
          <w:szCs w:val="18"/>
          <w:lang w:eastAsia="es-MX"/>
        </w:rPr>
        <w:t>(</w:t>
      </w:r>
      <w:r w:rsidR="00A131EC">
        <w:rPr>
          <w:bCs/>
          <w:color w:val="27251F"/>
          <w:sz w:val="18"/>
          <w:szCs w:val="18"/>
          <w:lang w:eastAsia="es-MX"/>
        </w:rPr>
        <w:t>puntos porcentuales</w:t>
      </w:r>
      <w:r w:rsidRPr="00103B2F">
        <w:rPr>
          <w:bCs/>
          <w:color w:val="27251F"/>
          <w:sz w:val="18"/>
          <w:szCs w:val="18"/>
          <w:lang w:eastAsia="es-MX"/>
        </w:rPr>
        <w:t>)</w:t>
      </w:r>
    </w:p>
    <w:tbl>
      <w:tblPr>
        <w:tblW w:w="8520" w:type="dxa"/>
        <w:jc w:val="center"/>
        <w:tblLayout w:type="fixed"/>
        <w:tblCellMar>
          <w:left w:w="70" w:type="dxa"/>
          <w:right w:w="70" w:type="dxa"/>
        </w:tblCellMar>
        <w:tblLook w:val="04A0" w:firstRow="1" w:lastRow="0" w:firstColumn="1" w:lastColumn="0" w:noHBand="0" w:noVBand="1"/>
      </w:tblPr>
      <w:tblGrid>
        <w:gridCol w:w="1757"/>
        <w:gridCol w:w="806"/>
        <w:gridCol w:w="806"/>
        <w:gridCol w:w="806"/>
        <w:gridCol w:w="806"/>
        <w:gridCol w:w="978"/>
        <w:gridCol w:w="774"/>
        <w:gridCol w:w="775"/>
        <w:gridCol w:w="1012"/>
      </w:tblGrid>
      <w:tr w:rsidR="00D24F1A" w:rsidRPr="00D24F1A" w14:paraId="05BD8F34" w14:textId="77777777" w:rsidTr="009E19AB">
        <w:trPr>
          <w:trHeight w:val="270"/>
          <w:jc w:val="center"/>
        </w:trPr>
        <w:tc>
          <w:tcPr>
            <w:tcW w:w="1757" w:type="dxa"/>
            <w:vMerge w:val="restart"/>
            <w:tcBorders>
              <w:top w:val="single" w:sz="4" w:space="0" w:color="FFFFFF"/>
              <w:left w:val="single" w:sz="4" w:space="0" w:color="FFFFFF"/>
              <w:bottom w:val="single" w:sz="4" w:space="0" w:color="FFFFFF"/>
              <w:right w:val="single" w:sz="4" w:space="0" w:color="FFFFFF"/>
            </w:tcBorders>
            <w:shd w:val="clear" w:color="000000" w:fill="80DDD7"/>
            <w:vAlign w:val="center"/>
            <w:hideMark/>
          </w:tcPr>
          <w:p w14:paraId="6DFE98AC"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Actividades</w:t>
            </w:r>
          </w:p>
        </w:tc>
        <w:tc>
          <w:tcPr>
            <w:tcW w:w="4202" w:type="dxa"/>
            <w:gridSpan w:val="5"/>
            <w:tcBorders>
              <w:top w:val="single" w:sz="4" w:space="0" w:color="FFFFFF"/>
              <w:left w:val="nil"/>
              <w:bottom w:val="single" w:sz="4" w:space="0" w:color="FFFFFF"/>
              <w:right w:val="single" w:sz="4" w:space="0" w:color="FFFFFF"/>
            </w:tcBorders>
            <w:shd w:val="clear" w:color="000000" w:fill="80DDD7"/>
            <w:noWrap/>
            <w:vAlign w:val="center"/>
            <w:hideMark/>
          </w:tcPr>
          <w:p w14:paraId="5B33E476"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2025</w:t>
            </w:r>
            <w:r w:rsidRPr="00D24F1A">
              <w:rPr>
                <w:b/>
                <w:bCs/>
                <w:color w:val="000000"/>
                <w:sz w:val="18"/>
                <w:szCs w:val="18"/>
                <w:vertAlign w:val="superscript"/>
                <w:lang w:val="es-MX" w:eastAsia="es-MX"/>
              </w:rPr>
              <w:t>1/</w:t>
            </w:r>
          </w:p>
        </w:tc>
        <w:tc>
          <w:tcPr>
            <w:tcW w:w="2561" w:type="dxa"/>
            <w:gridSpan w:val="3"/>
            <w:tcBorders>
              <w:top w:val="single" w:sz="4" w:space="0" w:color="FFFFFF"/>
              <w:left w:val="nil"/>
              <w:bottom w:val="single" w:sz="4" w:space="0" w:color="FFFFFF"/>
              <w:right w:val="single" w:sz="4" w:space="0" w:color="FFFFFF"/>
            </w:tcBorders>
            <w:shd w:val="clear" w:color="000000" w:fill="80DDD7"/>
            <w:noWrap/>
            <w:vAlign w:val="center"/>
            <w:hideMark/>
          </w:tcPr>
          <w:p w14:paraId="70D064F2"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2026</w:t>
            </w:r>
          </w:p>
        </w:tc>
      </w:tr>
      <w:tr w:rsidR="00D24F1A" w:rsidRPr="00D24F1A" w14:paraId="7FDFF0CB" w14:textId="77777777" w:rsidTr="009E19AB">
        <w:trPr>
          <w:trHeight w:val="255"/>
          <w:jc w:val="center"/>
        </w:trPr>
        <w:tc>
          <w:tcPr>
            <w:tcW w:w="1757" w:type="dxa"/>
            <w:vMerge/>
            <w:tcBorders>
              <w:top w:val="single" w:sz="4" w:space="0" w:color="FFFFFF"/>
              <w:left w:val="single" w:sz="4" w:space="0" w:color="FFFFFF"/>
              <w:bottom w:val="single" w:sz="4" w:space="0" w:color="FFFFFF"/>
              <w:right w:val="single" w:sz="4" w:space="0" w:color="FFFFFF"/>
            </w:tcBorders>
            <w:vAlign w:val="center"/>
            <w:hideMark/>
          </w:tcPr>
          <w:p w14:paraId="542B77F6" w14:textId="77777777" w:rsidR="00D24F1A" w:rsidRPr="00D24F1A" w:rsidRDefault="00D24F1A" w:rsidP="00D24F1A">
            <w:pPr>
              <w:jc w:val="left"/>
              <w:rPr>
                <w:b/>
                <w:bCs/>
                <w:color w:val="000000"/>
                <w:sz w:val="18"/>
                <w:szCs w:val="18"/>
                <w:lang w:val="es-MX" w:eastAsia="es-MX"/>
              </w:rPr>
            </w:pPr>
          </w:p>
        </w:tc>
        <w:tc>
          <w:tcPr>
            <w:tcW w:w="3224" w:type="dxa"/>
            <w:gridSpan w:val="4"/>
            <w:tcBorders>
              <w:top w:val="single" w:sz="4" w:space="0" w:color="FFFFFF"/>
              <w:left w:val="nil"/>
              <w:bottom w:val="single" w:sz="4" w:space="0" w:color="FFFFFF"/>
              <w:right w:val="single" w:sz="4" w:space="0" w:color="FFFFFF"/>
            </w:tcBorders>
            <w:shd w:val="clear" w:color="000000" w:fill="BDEDEA"/>
            <w:noWrap/>
            <w:vAlign w:val="center"/>
            <w:hideMark/>
          </w:tcPr>
          <w:p w14:paraId="22A5E971"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Trimestre</w:t>
            </w:r>
          </w:p>
        </w:tc>
        <w:tc>
          <w:tcPr>
            <w:tcW w:w="978" w:type="dxa"/>
            <w:vMerge w:val="restart"/>
            <w:tcBorders>
              <w:top w:val="nil"/>
              <w:left w:val="single" w:sz="4" w:space="0" w:color="FFFFFF"/>
              <w:bottom w:val="single" w:sz="4" w:space="0" w:color="FFFFFF"/>
              <w:right w:val="single" w:sz="4" w:space="0" w:color="FFFFFF"/>
            </w:tcBorders>
            <w:shd w:val="clear" w:color="000000" w:fill="BDEDEA"/>
            <w:noWrap/>
            <w:vAlign w:val="center"/>
            <w:hideMark/>
          </w:tcPr>
          <w:p w14:paraId="51F95C0E"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Anual</w:t>
            </w:r>
          </w:p>
        </w:tc>
        <w:tc>
          <w:tcPr>
            <w:tcW w:w="1549" w:type="dxa"/>
            <w:gridSpan w:val="2"/>
            <w:tcBorders>
              <w:top w:val="single" w:sz="4" w:space="0" w:color="FFFFFF"/>
              <w:left w:val="nil"/>
              <w:bottom w:val="single" w:sz="4" w:space="0" w:color="FFFFFF"/>
              <w:right w:val="single" w:sz="4" w:space="0" w:color="FFFFFF"/>
            </w:tcBorders>
            <w:shd w:val="clear" w:color="000000" w:fill="BDEDEA"/>
            <w:noWrap/>
            <w:vAlign w:val="center"/>
            <w:hideMark/>
          </w:tcPr>
          <w:p w14:paraId="664D7447"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Trimestre</w:t>
            </w:r>
          </w:p>
        </w:tc>
        <w:tc>
          <w:tcPr>
            <w:tcW w:w="1012" w:type="dxa"/>
            <w:vMerge w:val="restart"/>
            <w:tcBorders>
              <w:top w:val="nil"/>
              <w:left w:val="single" w:sz="4" w:space="0" w:color="FFFFFF"/>
              <w:bottom w:val="single" w:sz="4" w:space="0" w:color="FFFFFF"/>
              <w:right w:val="single" w:sz="4" w:space="0" w:color="FFFFFF"/>
            </w:tcBorders>
            <w:shd w:val="clear" w:color="000000" w:fill="BDEDEA"/>
            <w:noWrap/>
            <w:vAlign w:val="center"/>
            <w:hideMark/>
          </w:tcPr>
          <w:p w14:paraId="4472B6E9"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6 meses</w:t>
            </w:r>
          </w:p>
        </w:tc>
      </w:tr>
      <w:tr w:rsidR="00D24F1A" w:rsidRPr="00D24F1A" w14:paraId="48BF31AB" w14:textId="77777777" w:rsidTr="009E19AB">
        <w:trPr>
          <w:trHeight w:val="270"/>
          <w:jc w:val="center"/>
        </w:trPr>
        <w:tc>
          <w:tcPr>
            <w:tcW w:w="1757" w:type="dxa"/>
            <w:vMerge/>
            <w:tcBorders>
              <w:top w:val="single" w:sz="4" w:space="0" w:color="FFFFFF"/>
              <w:left w:val="single" w:sz="4" w:space="0" w:color="FFFFFF"/>
              <w:bottom w:val="single" w:sz="4" w:space="0" w:color="FFFFFF"/>
              <w:right w:val="single" w:sz="4" w:space="0" w:color="FFFFFF"/>
            </w:tcBorders>
            <w:vAlign w:val="center"/>
            <w:hideMark/>
          </w:tcPr>
          <w:p w14:paraId="4D258804" w14:textId="77777777" w:rsidR="00D24F1A" w:rsidRPr="00D24F1A" w:rsidRDefault="00D24F1A" w:rsidP="00D24F1A">
            <w:pPr>
              <w:jc w:val="left"/>
              <w:rPr>
                <w:b/>
                <w:bCs/>
                <w:color w:val="000000"/>
                <w:sz w:val="18"/>
                <w:szCs w:val="18"/>
                <w:lang w:val="es-MX" w:eastAsia="es-MX"/>
              </w:rPr>
            </w:pPr>
          </w:p>
        </w:tc>
        <w:tc>
          <w:tcPr>
            <w:tcW w:w="806" w:type="dxa"/>
            <w:tcBorders>
              <w:top w:val="nil"/>
              <w:left w:val="nil"/>
              <w:bottom w:val="single" w:sz="4" w:space="0" w:color="FFFFFF"/>
              <w:right w:val="single" w:sz="4" w:space="0" w:color="FFFFFF"/>
            </w:tcBorders>
            <w:shd w:val="clear" w:color="000000" w:fill="BDEDEA"/>
            <w:noWrap/>
            <w:vAlign w:val="center"/>
            <w:hideMark/>
          </w:tcPr>
          <w:p w14:paraId="33DFED6D"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w:t>
            </w:r>
          </w:p>
        </w:tc>
        <w:tc>
          <w:tcPr>
            <w:tcW w:w="806" w:type="dxa"/>
            <w:tcBorders>
              <w:top w:val="nil"/>
              <w:left w:val="nil"/>
              <w:bottom w:val="single" w:sz="4" w:space="0" w:color="FFFFFF"/>
              <w:right w:val="single" w:sz="4" w:space="0" w:color="FFFFFF"/>
            </w:tcBorders>
            <w:shd w:val="clear" w:color="000000" w:fill="BDEDEA"/>
            <w:noWrap/>
            <w:vAlign w:val="center"/>
            <w:hideMark/>
          </w:tcPr>
          <w:p w14:paraId="30A43E9F"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II</w:t>
            </w:r>
          </w:p>
        </w:tc>
        <w:tc>
          <w:tcPr>
            <w:tcW w:w="806" w:type="dxa"/>
            <w:tcBorders>
              <w:top w:val="nil"/>
              <w:left w:val="nil"/>
              <w:bottom w:val="single" w:sz="4" w:space="0" w:color="FFFFFF"/>
              <w:right w:val="single" w:sz="4" w:space="0" w:color="FFFFFF"/>
            </w:tcBorders>
            <w:shd w:val="clear" w:color="000000" w:fill="BDEDEA"/>
            <w:noWrap/>
            <w:vAlign w:val="center"/>
            <w:hideMark/>
          </w:tcPr>
          <w:p w14:paraId="2803334E"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III</w:t>
            </w:r>
          </w:p>
        </w:tc>
        <w:tc>
          <w:tcPr>
            <w:tcW w:w="806" w:type="dxa"/>
            <w:tcBorders>
              <w:top w:val="nil"/>
              <w:left w:val="nil"/>
              <w:bottom w:val="single" w:sz="4" w:space="0" w:color="FFFFFF"/>
              <w:right w:val="single" w:sz="4" w:space="0" w:color="FFFFFF"/>
            </w:tcBorders>
            <w:shd w:val="clear" w:color="000000" w:fill="BDEDEA"/>
            <w:noWrap/>
            <w:vAlign w:val="center"/>
            <w:hideMark/>
          </w:tcPr>
          <w:p w14:paraId="1DD3ED23"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IV</w:t>
            </w:r>
          </w:p>
        </w:tc>
        <w:tc>
          <w:tcPr>
            <w:tcW w:w="978" w:type="dxa"/>
            <w:vMerge/>
            <w:tcBorders>
              <w:top w:val="nil"/>
              <w:left w:val="single" w:sz="4" w:space="0" w:color="FFFFFF"/>
              <w:bottom w:val="single" w:sz="4" w:space="0" w:color="FFFFFF"/>
              <w:right w:val="single" w:sz="4" w:space="0" w:color="FFFFFF"/>
            </w:tcBorders>
            <w:vAlign w:val="center"/>
            <w:hideMark/>
          </w:tcPr>
          <w:p w14:paraId="663D1B39" w14:textId="77777777" w:rsidR="00D24F1A" w:rsidRPr="00D24F1A" w:rsidRDefault="00D24F1A" w:rsidP="00D24F1A">
            <w:pPr>
              <w:jc w:val="left"/>
              <w:rPr>
                <w:b/>
                <w:bCs/>
                <w:color w:val="000000"/>
                <w:sz w:val="18"/>
                <w:szCs w:val="18"/>
                <w:lang w:val="es-MX" w:eastAsia="es-MX"/>
              </w:rPr>
            </w:pPr>
          </w:p>
        </w:tc>
        <w:tc>
          <w:tcPr>
            <w:tcW w:w="774" w:type="dxa"/>
            <w:tcBorders>
              <w:top w:val="nil"/>
              <w:left w:val="nil"/>
              <w:bottom w:val="single" w:sz="4" w:space="0" w:color="FFFFFF"/>
              <w:right w:val="single" w:sz="4" w:space="0" w:color="FFFFFF"/>
            </w:tcBorders>
            <w:shd w:val="clear" w:color="000000" w:fill="BDEDEA"/>
            <w:noWrap/>
            <w:vAlign w:val="center"/>
            <w:hideMark/>
          </w:tcPr>
          <w:p w14:paraId="514A4CCC"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w:t>
            </w:r>
            <w:r w:rsidRPr="00D24F1A">
              <w:rPr>
                <w:b/>
                <w:bCs/>
                <w:color w:val="000000"/>
                <w:sz w:val="18"/>
                <w:szCs w:val="18"/>
                <w:vertAlign w:val="superscript"/>
                <w:lang w:val="es-MX" w:eastAsia="es-MX"/>
              </w:rPr>
              <w:t>2/</w:t>
            </w:r>
          </w:p>
        </w:tc>
        <w:tc>
          <w:tcPr>
            <w:tcW w:w="775" w:type="dxa"/>
            <w:tcBorders>
              <w:top w:val="nil"/>
              <w:left w:val="nil"/>
              <w:bottom w:val="single" w:sz="4" w:space="0" w:color="FFFFFF"/>
              <w:right w:val="single" w:sz="4" w:space="0" w:color="FFFFFF"/>
            </w:tcBorders>
            <w:shd w:val="clear" w:color="000000" w:fill="BDEDEA"/>
            <w:noWrap/>
            <w:vAlign w:val="center"/>
            <w:hideMark/>
          </w:tcPr>
          <w:p w14:paraId="2A7107F3" w14:textId="77777777" w:rsidR="00D24F1A" w:rsidRPr="00D24F1A" w:rsidRDefault="00D24F1A" w:rsidP="00D24F1A">
            <w:pPr>
              <w:jc w:val="center"/>
              <w:rPr>
                <w:b/>
                <w:bCs/>
                <w:color w:val="000000"/>
                <w:sz w:val="18"/>
                <w:szCs w:val="18"/>
                <w:lang w:val="es-MX" w:eastAsia="es-MX"/>
              </w:rPr>
            </w:pPr>
            <w:r w:rsidRPr="00D24F1A">
              <w:rPr>
                <w:b/>
                <w:bCs/>
                <w:color w:val="000000"/>
                <w:sz w:val="18"/>
                <w:szCs w:val="18"/>
                <w:lang w:val="es-MX" w:eastAsia="es-MX"/>
              </w:rPr>
              <w:t>II</w:t>
            </w:r>
            <w:r w:rsidRPr="00D24F1A">
              <w:rPr>
                <w:b/>
                <w:bCs/>
                <w:color w:val="000000"/>
                <w:sz w:val="18"/>
                <w:szCs w:val="18"/>
                <w:vertAlign w:val="superscript"/>
                <w:lang w:val="es-MX" w:eastAsia="es-MX"/>
              </w:rPr>
              <w:t>1/</w:t>
            </w:r>
          </w:p>
        </w:tc>
        <w:tc>
          <w:tcPr>
            <w:tcW w:w="1012" w:type="dxa"/>
            <w:vMerge/>
            <w:tcBorders>
              <w:top w:val="nil"/>
              <w:left w:val="single" w:sz="4" w:space="0" w:color="FFFFFF"/>
              <w:bottom w:val="single" w:sz="4" w:space="0" w:color="FFFFFF"/>
              <w:right w:val="single" w:sz="4" w:space="0" w:color="FFFFFF"/>
            </w:tcBorders>
            <w:vAlign w:val="center"/>
            <w:hideMark/>
          </w:tcPr>
          <w:p w14:paraId="4D4AC6F3" w14:textId="77777777" w:rsidR="00D24F1A" w:rsidRPr="00D24F1A" w:rsidRDefault="00D24F1A" w:rsidP="00D24F1A">
            <w:pPr>
              <w:jc w:val="left"/>
              <w:rPr>
                <w:b/>
                <w:bCs/>
                <w:color w:val="000000"/>
                <w:sz w:val="18"/>
                <w:szCs w:val="18"/>
                <w:lang w:val="es-MX" w:eastAsia="es-MX"/>
              </w:rPr>
            </w:pPr>
          </w:p>
        </w:tc>
      </w:tr>
      <w:tr w:rsidR="00A2197D" w:rsidRPr="00D24F1A" w14:paraId="43FC1129" w14:textId="77777777" w:rsidTr="00192CD7">
        <w:trPr>
          <w:trHeight w:val="360"/>
          <w:jc w:val="center"/>
        </w:trPr>
        <w:tc>
          <w:tcPr>
            <w:tcW w:w="1757" w:type="dxa"/>
            <w:tcBorders>
              <w:top w:val="nil"/>
              <w:left w:val="single" w:sz="4" w:space="0" w:color="FFFFFF"/>
              <w:bottom w:val="single" w:sz="4" w:space="0" w:color="FFFFFF"/>
              <w:right w:val="single" w:sz="4" w:space="0" w:color="FFFFFF"/>
            </w:tcBorders>
            <w:shd w:val="clear" w:color="000000" w:fill="C0C0C0"/>
            <w:noWrap/>
            <w:vAlign w:val="center"/>
            <w:hideMark/>
          </w:tcPr>
          <w:p w14:paraId="69E13B58" w14:textId="77777777" w:rsidR="00A2197D" w:rsidRPr="00D24F1A" w:rsidRDefault="00A2197D" w:rsidP="00A2197D">
            <w:pPr>
              <w:jc w:val="center"/>
              <w:rPr>
                <w:b/>
                <w:bCs/>
                <w:color w:val="000000"/>
                <w:sz w:val="18"/>
                <w:szCs w:val="18"/>
                <w:lang w:val="es-MX" w:eastAsia="es-MX"/>
              </w:rPr>
            </w:pPr>
            <w:r w:rsidRPr="00D24F1A">
              <w:rPr>
                <w:b/>
                <w:bCs/>
                <w:color w:val="000000"/>
                <w:sz w:val="18"/>
                <w:szCs w:val="18"/>
                <w:lang w:val="es-MX" w:eastAsia="es-MX"/>
              </w:rPr>
              <w:t>Total</w:t>
            </w:r>
          </w:p>
        </w:tc>
        <w:tc>
          <w:tcPr>
            <w:tcW w:w="806" w:type="dxa"/>
            <w:tcBorders>
              <w:top w:val="single" w:sz="4" w:space="0" w:color="FFFFFF"/>
              <w:left w:val="single" w:sz="4" w:space="0" w:color="FFFFFF"/>
              <w:bottom w:val="single" w:sz="4" w:space="0" w:color="FFFFFF"/>
              <w:right w:val="single" w:sz="4" w:space="0" w:color="FFFFFF"/>
            </w:tcBorders>
            <w:shd w:val="clear" w:color="000000" w:fill="C0C0C0"/>
            <w:noWrap/>
            <w:vAlign w:val="center"/>
            <w:hideMark/>
          </w:tcPr>
          <w:p w14:paraId="00AE9117" w14:textId="6A0575E2" w:rsidR="00A2197D" w:rsidRPr="00D24F1A" w:rsidRDefault="00A2197D" w:rsidP="00A2197D">
            <w:pPr>
              <w:jc w:val="right"/>
              <w:rPr>
                <w:b/>
                <w:bCs/>
                <w:color w:val="000000"/>
                <w:sz w:val="18"/>
                <w:szCs w:val="18"/>
                <w:lang w:val="es-MX" w:eastAsia="es-MX"/>
              </w:rPr>
            </w:pPr>
            <w:r>
              <w:rPr>
                <w:b/>
                <w:bCs/>
                <w:color w:val="000000"/>
                <w:sz w:val="18"/>
                <w:szCs w:val="18"/>
              </w:rPr>
              <w:t>2.4</w:t>
            </w:r>
          </w:p>
        </w:tc>
        <w:tc>
          <w:tcPr>
            <w:tcW w:w="806" w:type="dxa"/>
            <w:tcBorders>
              <w:top w:val="single" w:sz="4" w:space="0" w:color="FFFFFF"/>
              <w:left w:val="nil"/>
              <w:bottom w:val="single" w:sz="4" w:space="0" w:color="FFFFFF"/>
              <w:right w:val="single" w:sz="4" w:space="0" w:color="FFFFFF"/>
            </w:tcBorders>
            <w:shd w:val="clear" w:color="000000" w:fill="C0C0C0"/>
            <w:noWrap/>
            <w:vAlign w:val="center"/>
            <w:hideMark/>
          </w:tcPr>
          <w:p w14:paraId="4400C4F8" w14:textId="7E2DA27E" w:rsidR="00A2197D" w:rsidRPr="00D24F1A" w:rsidRDefault="00A2197D" w:rsidP="00A2197D">
            <w:pPr>
              <w:jc w:val="right"/>
              <w:rPr>
                <w:b/>
                <w:bCs/>
                <w:color w:val="000000"/>
                <w:sz w:val="18"/>
                <w:szCs w:val="18"/>
                <w:lang w:val="es-MX" w:eastAsia="es-MX"/>
              </w:rPr>
            </w:pPr>
            <w:r>
              <w:rPr>
                <w:b/>
                <w:bCs/>
                <w:color w:val="000000"/>
                <w:sz w:val="18"/>
                <w:szCs w:val="18"/>
              </w:rPr>
              <w:t>0.1</w:t>
            </w:r>
          </w:p>
        </w:tc>
        <w:tc>
          <w:tcPr>
            <w:tcW w:w="806" w:type="dxa"/>
            <w:tcBorders>
              <w:top w:val="single" w:sz="4" w:space="0" w:color="FFFFFF"/>
              <w:left w:val="nil"/>
              <w:bottom w:val="single" w:sz="4" w:space="0" w:color="FFFFFF"/>
              <w:right w:val="single" w:sz="4" w:space="0" w:color="FFFFFF"/>
            </w:tcBorders>
            <w:shd w:val="clear" w:color="000000" w:fill="C0C0C0"/>
            <w:noWrap/>
            <w:vAlign w:val="center"/>
            <w:hideMark/>
          </w:tcPr>
          <w:p w14:paraId="6C913EFA" w14:textId="4EA459B5" w:rsidR="00A2197D" w:rsidRPr="00D24F1A" w:rsidRDefault="00A2197D" w:rsidP="00A2197D">
            <w:pPr>
              <w:jc w:val="right"/>
              <w:rPr>
                <w:b/>
                <w:bCs/>
                <w:color w:val="000000"/>
                <w:sz w:val="18"/>
                <w:szCs w:val="18"/>
                <w:lang w:val="es-MX" w:eastAsia="es-MX"/>
              </w:rPr>
            </w:pPr>
            <w:r>
              <w:rPr>
                <w:b/>
                <w:bCs/>
                <w:color w:val="000000"/>
                <w:sz w:val="18"/>
                <w:szCs w:val="18"/>
              </w:rPr>
              <w:t>1.8</w:t>
            </w:r>
          </w:p>
        </w:tc>
        <w:tc>
          <w:tcPr>
            <w:tcW w:w="806" w:type="dxa"/>
            <w:tcBorders>
              <w:top w:val="single" w:sz="4" w:space="0" w:color="FFFFFF"/>
              <w:left w:val="nil"/>
              <w:bottom w:val="single" w:sz="4" w:space="0" w:color="FFFFFF"/>
              <w:right w:val="single" w:sz="4" w:space="0" w:color="FFFFFF"/>
            </w:tcBorders>
            <w:shd w:val="clear" w:color="000000" w:fill="C0C0C0"/>
            <w:noWrap/>
            <w:vAlign w:val="center"/>
            <w:hideMark/>
          </w:tcPr>
          <w:p w14:paraId="1B29DCCE" w14:textId="6668EBD7" w:rsidR="00A2197D" w:rsidRPr="00D24F1A" w:rsidRDefault="00A2197D" w:rsidP="00A2197D">
            <w:pPr>
              <w:jc w:val="right"/>
              <w:rPr>
                <w:b/>
                <w:bCs/>
                <w:color w:val="000000"/>
                <w:sz w:val="18"/>
                <w:szCs w:val="18"/>
                <w:lang w:val="es-MX" w:eastAsia="es-MX"/>
              </w:rPr>
            </w:pPr>
            <w:r>
              <w:rPr>
                <w:b/>
                <w:bCs/>
                <w:color w:val="000000"/>
                <w:sz w:val="18"/>
                <w:szCs w:val="18"/>
              </w:rPr>
              <w:t>5.1</w:t>
            </w:r>
          </w:p>
        </w:tc>
        <w:tc>
          <w:tcPr>
            <w:tcW w:w="978" w:type="dxa"/>
            <w:tcBorders>
              <w:top w:val="single" w:sz="4" w:space="0" w:color="FFFFFF"/>
              <w:left w:val="nil"/>
              <w:bottom w:val="single" w:sz="4" w:space="0" w:color="FFFFFF"/>
              <w:right w:val="single" w:sz="4" w:space="0" w:color="FFFFFF"/>
            </w:tcBorders>
            <w:shd w:val="clear" w:color="000000" w:fill="C0C0C0"/>
            <w:noWrap/>
            <w:vAlign w:val="center"/>
            <w:hideMark/>
          </w:tcPr>
          <w:p w14:paraId="3008988A" w14:textId="63006B84" w:rsidR="00A2197D" w:rsidRPr="00D24F1A" w:rsidRDefault="00A2197D" w:rsidP="00A2197D">
            <w:pPr>
              <w:jc w:val="right"/>
              <w:rPr>
                <w:b/>
                <w:bCs/>
                <w:color w:val="000000"/>
                <w:sz w:val="18"/>
                <w:szCs w:val="18"/>
                <w:lang w:val="es-MX" w:eastAsia="es-MX"/>
              </w:rPr>
            </w:pPr>
            <w:r>
              <w:rPr>
                <w:b/>
                <w:bCs/>
                <w:color w:val="000000"/>
                <w:sz w:val="18"/>
                <w:szCs w:val="18"/>
              </w:rPr>
              <w:t>2.3</w:t>
            </w:r>
          </w:p>
        </w:tc>
        <w:tc>
          <w:tcPr>
            <w:tcW w:w="774" w:type="dxa"/>
            <w:tcBorders>
              <w:top w:val="single" w:sz="4" w:space="0" w:color="FFFFFF"/>
              <w:left w:val="nil"/>
              <w:bottom w:val="single" w:sz="4" w:space="0" w:color="FFFFFF"/>
              <w:right w:val="single" w:sz="4" w:space="0" w:color="FFFFFF"/>
            </w:tcBorders>
            <w:shd w:val="clear" w:color="000000" w:fill="C0C0C0"/>
            <w:noWrap/>
            <w:vAlign w:val="center"/>
            <w:hideMark/>
          </w:tcPr>
          <w:p w14:paraId="54D0A778" w14:textId="31972B5F" w:rsidR="00A2197D" w:rsidRPr="00D24F1A" w:rsidRDefault="00A2197D" w:rsidP="00A2197D">
            <w:pPr>
              <w:jc w:val="right"/>
              <w:rPr>
                <w:b/>
                <w:bCs/>
                <w:color w:val="000000"/>
                <w:sz w:val="18"/>
                <w:szCs w:val="18"/>
                <w:lang w:val="es-MX" w:eastAsia="es-MX"/>
              </w:rPr>
            </w:pPr>
            <w:r>
              <w:rPr>
                <w:b/>
                <w:bCs/>
                <w:color w:val="000000"/>
                <w:sz w:val="18"/>
                <w:szCs w:val="18"/>
              </w:rPr>
              <w:t>-0.2</w:t>
            </w:r>
          </w:p>
        </w:tc>
        <w:tc>
          <w:tcPr>
            <w:tcW w:w="775" w:type="dxa"/>
            <w:tcBorders>
              <w:top w:val="single" w:sz="4" w:space="0" w:color="FFFFFF"/>
              <w:left w:val="nil"/>
              <w:bottom w:val="single" w:sz="4" w:space="0" w:color="FFFFFF"/>
              <w:right w:val="single" w:sz="4" w:space="0" w:color="FFFFFF"/>
            </w:tcBorders>
            <w:shd w:val="clear" w:color="000000" w:fill="C0C0C0"/>
            <w:noWrap/>
            <w:vAlign w:val="center"/>
            <w:hideMark/>
          </w:tcPr>
          <w:p w14:paraId="63B58F6B" w14:textId="1549960A" w:rsidR="00A2197D" w:rsidRPr="00D24F1A" w:rsidRDefault="00A2197D" w:rsidP="00A2197D">
            <w:pPr>
              <w:jc w:val="right"/>
              <w:rPr>
                <w:b/>
                <w:bCs/>
                <w:color w:val="000000"/>
                <w:sz w:val="18"/>
                <w:szCs w:val="18"/>
                <w:lang w:val="es-MX" w:eastAsia="es-MX"/>
              </w:rPr>
            </w:pPr>
            <w:r>
              <w:rPr>
                <w:b/>
                <w:bCs/>
                <w:color w:val="000000"/>
                <w:sz w:val="18"/>
                <w:szCs w:val="18"/>
              </w:rPr>
              <w:t>2.4</w:t>
            </w:r>
          </w:p>
        </w:tc>
        <w:tc>
          <w:tcPr>
            <w:tcW w:w="1012" w:type="dxa"/>
            <w:tcBorders>
              <w:top w:val="single" w:sz="4" w:space="0" w:color="FFFFFF"/>
              <w:left w:val="nil"/>
              <w:bottom w:val="single" w:sz="4" w:space="0" w:color="FFFFFF"/>
              <w:right w:val="single" w:sz="4" w:space="0" w:color="FFFFFF"/>
            </w:tcBorders>
            <w:shd w:val="clear" w:color="000000" w:fill="C0C0C0"/>
            <w:noWrap/>
            <w:vAlign w:val="center"/>
            <w:hideMark/>
          </w:tcPr>
          <w:p w14:paraId="474BDA21" w14:textId="7FEE69BA" w:rsidR="00A2197D" w:rsidRPr="00D24F1A" w:rsidRDefault="00A2197D" w:rsidP="00A2197D">
            <w:pPr>
              <w:jc w:val="right"/>
              <w:rPr>
                <w:b/>
                <w:bCs/>
                <w:color w:val="000000"/>
                <w:sz w:val="18"/>
                <w:szCs w:val="18"/>
                <w:lang w:val="es-MX" w:eastAsia="es-MX"/>
              </w:rPr>
            </w:pPr>
            <w:r>
              <w:rPr>
                <w:b/>
                <w:bCs/>
                <w:color w:val="000000"/>
                <w:sz w:val="18"/>
                <w:szCs w:val="18"/>
              </w:rPr>
              <w:t>1.1</w:t>
            </w:r>
          </w:p>
        </w:tc>
      </w:tr>
      <w:tr w:rsidR="00A2197D" w:rsidRPr="00D24F1A" w14:paraId="2AAF0DD5" w14:textId="77777777" w:rsidTr="00192CD7">
        <w:trPr>
          <w:trHeight w:val="360"/>
          <w:jc w:val="center"/>
        </w:trPr>
        <w:tc>
          <w:tcPr>
            <w:tcW w:w="1757" w:type="dxa"/>
            <w:tcBorders>
              <w:top w:val="nil"/>
              <w:left w:val="single" w:sz="4" w:space="0" w:color="FFFFFF"/>
              <w:bottom w:val="single" w:sz="4" w:space="0" w:color="FFFFFF"/>
              <w:right w:val="single" w:sz="4" w:space="0" w:color="FFFFFF"/>
            </w:tcBorders>
            <w:noWrap/>
            <w:vAlign w:val="center"/>
            <w:hideMark/>
          </w:tcPr>
          <w:p w14:paraId="382B1E52" w14:textId="77777777" w:rsidR="00A2197D" w:rsidRPr="00D24F1A" w:rsidRDefault="00A2197D" w:rsidP="00A2197D">
            <w:pPr>
              <w:jc w:val="left"/>
              <w:rPr>
                <w:color w:val="000000"/>
                <w:sz w:val="18"/>
                <w:szCs w:val="18"/>
                <w:lang w:val="es-MX" w:eastAsia="es-MX"/>
              </w:rPr>
            </w:pPr>
            <w:r w:rsidRPr="00D24F1A">
              <w:rPr>
                <w:color w:val="000000"/>
                <w:sz w:val="18"/>
                <w:szCs w:val="18"/>
                <w:lang w:val="es-MX" w:eastAsia="es-MX"/>
              </w:rPr>
              <w:t>Primarias</w:t>
            </w:r>
          </w:p>
        </w:tc>
        <w:tc>
          <w:tcPr>
            <w:tcW w:w="806" w:type="dxa"/>
            <w:tcBorders>
              <w:top w:val="nil"/>
              <w:left w:val="single" w:sz="4" w:space="0" w:color="FFFFFF"/>
              <w:bottom w:val="single" w:sz="4" w:space="0" w:color="FFFFFF"/>
              <w:right w:val="single" w:sz="4" w:space="0" w:color="FFFFFF"/>
            </w:tcBorders>
            <w:noWrap/>
            <w:vAlign w:val="center"/>
            <w:hideMark/>
          </w:tcPr>
          <w:p w14:paraId="6937141E" w14:textId="5748CC4C" w:rsidR="00A2197D" w:rsidRPr="00D24F1A" w:rsidRDefault="00A2197D" w:rsidP="00A2197D">
            <w:pPr>
              <w:jc w:val="right"/>
              <w:rPr>
                <w:color w:val="000000"/>
                <w:sz w:val="18"/>
                <w:szCs w:val="18"/>
                <w:lang w:val="es-MX" w:eastAsia="es-MX"/>
              </w:rPr>
            </w:pPr>
            <w:r>
              <w:rPr>
                <w:color w:val="000000"/>
                <w:sz w:val="18"/>
                <w:szCs w:val="18"/>
              </w:rPr>
              <w:t>0.00</w:t>
            </w:r>
          </w:p>
        </w:tc>
        <w:tc>
          <w:tcPr>
            <w:tcW w:w="806" w:type="dxa"/>
            <w:tcBorders>
              <w:top w:val="nil"/>
              <w:left w:val="nil"/>
              <w:bottom w:val="single" w:sz="4" w:space="0" w:color="FFFFFF"/>
              <w:right w:val="single" w:sz="4" w:space="0" w:color="FFFFFF"/>
            </w:tcBorders>
            <w:noWrap/>
            <w:vAlign w:val="center"/>
            <w:hideMark/>
          </w:tcPr>
          <w:p w14:paraId="010BA50F" w14:textId="0A1CBBA8" w:rsidR="00A2197D" w:rsidRPr="00D24F1A" w:rsidRDefault="00A2197D" w:rsidP="00A2197D">
            <w:pPr>
              <w:jc w:val="right"/>
              <w:rPr>
                <w:color w:val="000000"/>
                <w:sz w:val="18"/>
                <w:szCs w:val="18"/>
                <w:lang w:val="es-MX" w:eastAsia="es-MX"/>
              </w:rPr>
            </w:pPr>
            <w:r>
              <w:rPr>
                <w:color w:val="000000"/>
                <w:sz w:val="18"/>
                <w:szCs w:val="18"/>
              </w:rPr>
              <w:t>0.01</w:t>
            </w:r>
          </w:p>
        </w:tc>
        <w:tc>
          <w:tcPr>
            <w:tcW w:w="806" w:type="dxa"/>
            <w:tcBorders>
              <w:top w:val="nil"/>
              <w:left w:val="nil"/>
              <w:bottom w:val="single" w:sz="4" w:space="0" w:color="FFFFFF"/>
              <w:right w:val="single" w:sz="4" w:space="0" w:color="FFFFFF"/>
            </w:tcBorders>
            <w:noWrap/>
            <w:vAlign w:val="center"/>
            <w:hideMark/>
          </w:tcPr>
          <w:p w14:paraId="36C7E1FA" w14:textId="4161CFAD" w:rsidR="00A2197D" w:rsidRPr="00D24F1A" w:rsidRDefault="00A2197D" w:rsidP="00A2197D">
            <w:pPr>
              <w:jc w:val="right"/>
              <w:rPr>
                <w:color w:val="000000"/>
                <w:sz w:val="18"/>
                <w:szCs w:val="18"/>
                <w:lang w:val="es-MX" w:eastAsia="es-MX"/>
              </w:rPr>
            </w:pPr>
            <w:r>
              <w:rPr>
                <w:color w:val="000000"/>
                <w:sz w:val="18"/>
                <w:szCs w:val="18"/>
              </w:rPr>
              <w:t>-0.01</w:t>
            </w:r>
          </w:p>
        </w:tc>
        <w:tc>
          <w:tcPr>
            <w:tcW w:w="806" w:type="dxa"/>
            <w:tcBorders>
              <w:top w:val="nil"/>
              <w:left w:val="nil"/>
              <w:bottom w:val="single" w:sz="4" w:space="0" w:color="FFFFFF"/>
              <w:right w:val="single" w:sz="4" w:space="0" w:color="FFFFFF"/>
            </w:tcBorders>
            <w:noWrap/>
            <w:vAlign w:val="center"/>
            <w:hideMark/>
          </w:tcPr>
          <w:p w14:paraId="2D351022" w14:textId="36C9A067" w:rsidR="00A2197D" w:rsidRPr="00D24F1A" w:rsidRDefault="00A2197D" w:rsidP="00A2197D">
            <w:pPr>
              <w:jc w:val="right"/>
              <w:rPr>
                <w:color w:val="000000"/>
                <w:sz w:val="18"/>
                <w:szCs w:val="18"/>
                <w:lang w:val="es-MX" w:eastAsia="es-MX"/>
              </w:rPr>
            </w:pPr>
            <w:r>
              <w:rPr>
                <w:color w:val="000000"/>
                <w:sz w:val="18"/>
                <w:szCs w:val="18"/>
              </w:rPr>
              <w:t>0.00</w:t>
            </w:r>
          </w:p>
        </w:tc>
        <w:tc>
          <w:tcPr>
            <w:tcW w:w="978" w:type="dxa"/>
            <w:tcBorders>
              <w:top w:val="nil"/>
              <w:left w:val="nil"/>
              <w:bottom w:val="single" w:sz="4" w:space="0" w:color="FFFFFF"/>
              <w:right w:val="single" w:sz="4" w:space="0" w:color="FFFFFF"/>
            </w:tcBorders>
            <w:noWrap/>
            <w:vAlign w:val="center"/>
            <w:hideMark/>
          </w:tcPr>
          <w:p w14:paraId="67B8C543" w14:textId="65AAA5C5" w:rsidR="00A2197D" w:rsidRPr="00D24F1A" w:rsidRDefault="00A2197D" w:rsidP="00A2197D">
            <w:pPr>
              <w:jc w:val="right"/>
              <w:rPr>
                <w:color w:val="000000"/>
                <w:sz w:val="18"/>
                <w:szCs w:val="18"/>
                <w:lang w:val="es-MX" w:eastAsia="es-MX"/>
              </w:rPr>
            </w:pPr>
            <w:r>
              <w:rPr>
                <w:color w:val="000000"/>
                <w:sz w:val="18"/>
                <w:szCs w:val="18"/>
              </w:rPr>
              <w:t>0.00</w:t>
            </w:r>
          </w:p>
        </w:tc>
        <w:tc>
          <w:tcPr>
            <w:tcW w:w="774" w:type="dxa"/>
            <w:tcBorders>
              <w:top w:val="nil"/>
              <w:left w:val="nil"/>
              <w:bottom w:val="single" w:sz="4" w:space="0" w:color="FFFFFF"/>
              <w:right w:val="single" w:sz="4" w:space="0" w:color="FFFFFF"/>
            </w:tcBorders>
            <w:noWrap/>
            <w:vAlign w:val="center"/>
            <w:hideMark/>
          </w:tcPr>
          <w:p w14:paraId="36747E2C" w14:textId="2EB4E874" w:rsidR="00A2197D" w:rsidRPr="00D24F1A" w:rsidRDefault="00A2197D" w:rsidP="00A2197D">
            <w:pPr>
              <w:jc w:val="right"/>
              <w:rPr>
                <w:color w:val="000000"/>
                <w:sz w:val="18"/>
                <w:szCs w:val="18"/>
                <w:lang w:val="es-MX" w:eastAsia="es-MX"/>
              </w:rPr>
            </w:pPr>
            <w:r>
              <w:rPr>
                <w:color w:val="000000"/>
                <w:sz w:val="18"/>
                <w:szCs w:val="18"/>
              </w:rPr>
              <w:t>0.01</w:t>
            </w:r>
          </w:p>
        </w:tc>
        <w:tc>
          <w:tcPr>
            <w:tcW w:w="775" w:type="dxa"/>
            <w:tcBorders>
              <w:top w:val="nil"/>
              <w:left w:val="nil"/>
              <w:bottom w:val="single" w:sz="4" w:space="0" w:color="FFFFFF"/>
              <w:right w:val="single" w:sz="4" w:space="0" w:color="FFFFFF"/>
            </w:tcBorders>
            <w:noWrap/>
            <w:vAlign w:val="center"/>
            <w:hideMark/>
          </w:tcPr>
          <w:p w14:paraId="2E1927DD" w14:textId="428A6527" w:rsidR="00A2197D" w:rsidRPr="00D24F1A" w:rsidRDefault="00A2197D" w:rsidP="00A2197D">
            <w:pPr>
              <w:jc w:val="right"/>
              <w:rPr>
                <w:color w:val="000000"/>
                <w:sz w:val="18"/>
                <w:szCs w:val="18"/>
                <w:lang w:val="es-MX" w:eastAsia="es-MX"/>
              </w:rPr>
            </w:pPr>
            <w:r>
              <w:rPr>
                <w:color w:val="000000"/>
                <w:sz w:val="18"/>
                <w:szCs w:val="18"/>
              </w:rPr>
              <w:t>0.00</w:t>
            </w:r>
          </w:p>
        </w:tc>
        <w:tc>
          <w:tcPr>
            <w:tcW w:w="1012" w:type="dxa"/>
            <w:tcBorders>
              <w:top w:val="nil"/>
              <w:left w:val="nil"/>
              <w:bottom w:val="single" w:sz="4" w:space="0" w:color="FFFFFF"/>
              <w:right w:val="single" w:sz="4" w:space="0" w:color="FFFFFF"/>
            </w:tcBorders>
            <w:noWrap/>
            <w:vAlign w:val="center"/>
            <w:hideMark/>
          </w:tcPr>
          <w:p w14:paraId="161B26E0" w14:textId="7D67166E" w:rsidR="00A2197D" w:rsidRPr="00D24F1A" w:rsidRDefault="00A2197D" w:rsidP="00A2197D">
            <w:pPr>
              <w:jc w:val="right"/>
              <w:rPr>
                <w:color w:val="000000"/>
                <w:sz w:val="18"/>
                <w:szCs w:val="18"/>
                <w:lang w:val="es-MX" w:eastAsia="es-MX"/>
              </w:rPr>
            </w:pPr>
            <w:r>
              <w:rPr>
                <w:color w:val="000000"/>
                <w:sz w:val="18"/>
                <w:szCs w:val="18"/>
              </w:rPr>
              <w:t>0.00</w:t>
            </w:r>
          </w:p>
        </w:tc>
      </w:tr>
      <w:tr w:rsidR="00A2197D" w:rsidRPr="00D24F1A" w14:paraId="5256A8D7" w14:textId="77777777" w:rsidTr="00192CD7">
        <w:trPr>
          <w:trHeight w:val="360"/>
          <w:jc w:val="center"/>
        </w:trPr>
        <w:tc>
          <w:tcPr>
            <w:tcW w:w="1757" w:type="dxa"/>
            <w:tcBorders>
              <w:top w:val="nil"/>
              <w:left w:val="single" w:sz="4" w:space="0" w:color="FFFFFF"/>
              <w:bottom w:val="single" w:sz="4" w:space="0" w:color="FFFFFF"/>
              <w:right w:val="single" w:sz="4" w:space="0" w:color="FFFFFF"/>
            </w:tcBorders>
            <w:shd w:val="clear" w:color="000000" w:fill="F2F2F2"/>
            <w:noWrap/>
            <w:vAlign w:val="center"/>
            <w:hideMark/>
          </w:tcPr>
          <w:p w14:paraId="18B26F89" w14:textId="77777777" w:rsidR="00A2197D" w:rsidRPr="00D24F1A" w:rsidRDefault="00A2197D" w:rsidP="00A2197D">
            <w:pPr>
              <w:jc w:val="left"/>
              <w:rPr>
                <w:color w:val="000000"/>
                <w:sz w:val="18"/>
                <w:szCs w:val="18"/>
                <w:lang w:val="es-MX" w:eastAsia="es-MX"/>
              </w:rPr>
            </w:pPr>
            <w:r w:rsidRPr="00D24F1A">
              <w:rPr>
                <w:color w:val="000000"/>
                <w:sz w:val="18"/>
                <w:szCs w:val="18"/>
                <w:lang w:val="es-MX" w:eastAsia="es-MX"/>
              </w:rPr>
              <w:t>Secundarias</w:t>
            </w:r>
          </w:p>
        </w:tc>
        <w:tc>
          <w:tcPr>
            <w:tcW w:w="806" w:type="dxa"/>
            <w:tcBorders>
              <w:top w:val="nil"/>
              <w:left w:val="single" w:sz="4" w:space="0" w:color="FFFFFF"/>
              <w:bottom w:val="single" w:sz="4" w:space="0" w:color="FFFFFF"/>
              <w:right w:val="single" w:sz="4" w:space="0" w:color="FFFFFF"/>
            </w:tcBorders>
            <w:shd w:val="clear" w:color="000000" w:fill="F2F2F2"/>
            <w:noWrap/>
            <w:vAlign w:val="center"/>
            <w:hideMark/>
          </w:tcPr>
          <w:p w14:paraId="106D955E" w14:textId="4F7F3917" w:rsidR="00A2197D" w:rsidRPr="00D24F1A" w:rsidRDefault="00A2197D" w:rsidP="00A2197D">
            <w:pPr>
              <w:jc w:val="right"/>
              <w:rPr>
                <w:color w:val="000000"/>
                <w:sz w:val="18"/>
                <w:szCs w:val="18"/>
                <w:lang w:val="es-MX" w:eastAsia="es-MX"/>
              </w:rPr>
            </w:pPr>
            <w:r>
              <w:rPr>
                <w:color w:val="000000"/>
                <w:sz w:val="18"/>
                <w:szCs w:val="18"/>
              </w:rPr>
              <w:t>0.91</w:t>
            </w:r>
          </w:p>
        </w:tc>
        <w:tc>
          <w:tcPr>
            <w:tcW w:w="806" w:type="dxa"/>
            <w:tcBorders>
              <w:top w:val="nil"/>
              <w:left w:val="nil"/>
              <w:bottom w:val="single" w:sz="4" w:space="0" w:color="FFFFFF"/>
              <w:right w:val="single" w:sz="4" w:space="0" w:color="FFFFFF"/>
            </w:tcBorders>
            <w:shd w:val="clear" w:color="000000" w:fill="F2F2F2"/>
            <w:noWrap/>
            <w:vAlign w:val="center"/>
            <w:hideMark/>
          </w:tcPr>
          <w:p w14:paraId="5707EC46" w14:textId="3D6B485E" w:rsidR="00A2197D" w:rsidRPr="00D24F1A" w:rsidRDefault="00A2197D" w:rsidP="00A2197D">
            <w:pPr>
              <w:jc w:val="right"/>
              <w:rPr>
                <w:color w:val="000000"/>
                <w:sz w:val="18"/>
                <w:szCs w:val="18"/>
                <w:lang w:val="es-MX" w:eastAsia="es-MX"/>
              </w:rPr>
            </w:pPr>
            <w:r>
              <w:rPr>
                <w:color w:val="000000"/>
                <w:sz w:val="18"/>
                <w:szCs w:val="18"/>
              </w:rPr>
              <w:t>0.43</w:t>
            </w:r>
          </w:p>
        </w:tc>
        <w:tc>
          <w:tcPr>
            <w:tcW w:w="806" w:type="dxa"/>
            <w:tcBorders>
              <w:top w:val="nil"/>
              <w:left w:val="nil"/>
              <w:bottom w:val="single" w:sz="4" w:space="0" w:color="FFFFFF"/>
              <w:right w:val="single" w:sz="4" w:space="0" w:color="FFFFFF"/>
            </w:tcBorders>
            <w:shd w:val="clear" w:color="000000" w:fill="F2F2F2"/>
            <w:noWrap/>
            <w:vAlign w:val="center"/>
            <w:hideMark/>
          </w:tcPr>
          <w:p w14:paraId="66000AF3" w14:textId="1718AAC2" w:rsidR="00A2197D" w:rsidRPr="00D24F1A" w:rsidRDefault="00A2197D" w:rsidP="00A2197D">
            <w:pPr>
              <w:jc w:val="right"/>
              <w:rPr>
                <w:color w:val="000000"/>
                <w:sz w:val="18"/>
                <w:szCs w:val="18"/>
                <w:lang w:val="es-MX" w:eastAsia="es-MX"/>
              </w:rPr>
            </w:pPr>
            <w:r>
              <w:rPr>
                <w:color w:val="000000"/>
                <w:sz w:val="18"/>
                <w:szCs w:val="18"/>
              </w:rPr>
              <w:t>-0.20</w:t>
            </w:r>
          </w:p>
        </w:tc>
        <w:tc>
          <w:tcPr>
            <w:tcW w:w="806" w:type="dxa"/>
            <w:tcBorders>
              <w:top w:val="nil"/>
              <w:left w:val="nil"/>
              <w:bottom w:val="single" w:sz="4" w:space="0" w:color="FFFFFF"/>
              <w:right w:val="single" w:sz="4" w:space="0" w:color="FFFFFF"/>
            </w:tcBorders>
            <w:shd w:val="clear" w:color="000000" w:fill="F2F2F2"/>
            <w:noWrap/>
            <w:vAlign w:val="center"/>
            <w:hideMark/>
          </w:tcPr>
          <w:p w14:paraId="2AB0FE18" w14:textId="5EC57BE9" w:rsidR="00A2197D" w:rsidRPr="00D24F1A" w:rsidRDefault="00A2197D" w:rsidP="00A2197D">
            <w:pPr>
              <w:jc w:val="right"/>
              <w:rPr>
                <w:color w:val="000000"/>
                <w:sz w:val="18"/>
                <w:szCs w:val="18"/>
                <w:lang w:val="es-MX" w:eastAsia="es-MX"/>
              </w:rPr>
            </w:pPr>
            <w:r>
              <w:rPr>
                <w:color w:val="000000"/>
                <w:sz w:val="18"/>
                <w:szCs w:val="18"/>
              </w:rPr>
              <w:t>0.29</w:t>
            </w:r>
          </w:p>
        </w:tc>
        <w:tc>
          <w:tcPr>
            <w:tcW w:w="978" w:type="dxa"/>
            <w:tcBorders>
              <w:top w:val="nil"/>
              <w:left w:val="nil"/>
              <w:bottom w:val="single" w:sz="4" w:space="0" w:color="FFFFFF"/>
              <w:right w:val="single" w:sz="4" w:space="0" w:color="FFFFFF"/>
            </w:tcBorders>
            <w:shd w:val="clear" w:color="000000" w:fill="F2F2F2"/>
            <w:noWrap/>
            <w:vAlign w:val="center"/>
            <w:hideMark/>
          </w:tcPr>
          <w:p w14:paraId="6310B52F" w14:textId="0C2930D3" w:rsidR="00A2197D" w:rsidRPr="00D24F1A" w:rsidRDefault="00A2197D" w:rsidP="00A2197D">
            <w:pPr>
              <w:jc w:val="right"/>
              <w:rPr>
                <w:color w:val="000000"/>
                <w:sz w:val="18"/>
                <w:szCs w:val="18"/>
                <w:lang w:val="es-MX" w:eastAsia="es-MX"/>
              </w:rPr>
            </w:pPr>
            <w:r>
              <w:rPr>
                <w:color w:val="000000"/>
                <w:sz w:val="18"/>
                <w:szCs w:val="18"/>
              </w:rPr>
              <w:t>0.35</w:t>
            </w:r>
          </w:p>
        </w:tc>
        <w:tc>
          <w:tcPr>
            <w:tcW w:w="774" w:type="dxa"/>
            <w:tcBorders>
              <w:top w:val="nil"/>
              <w:left w:val="nil"/>
              <w:bottom w:val="single" w:sz="4" w:space="0" w:color="FFFFFF"/>
              <w:right w:val="single" w:sz="4" w:space="0" w:color="FFFFFF"/>
            </w:tcBorders>
            <w:shd w:val="clear" w:color="000000" w:fill="F2F2F2"/>
            <w:noWrap/>
            <w:vAlign w:val="center"/>
            <w:hideMark/>
          </w:tcPr>
          <w:p w14:paraId="1303BD72" w14:textId="565FD828" w:rsidR="00A2197D" w:rsidRPr="00D24F1A" w:rsidRDefault="00A2197D" w:rsidP="00A2197D">
            <w:pPr>
              <w:jc w:val="right"/>
              <w:rPr>
                <w:color w:val="000000"/>
                <w:sz w:val="18"/>
                <w:szCs w:val="18"/>
                <w:lang w:val="es-MX" w:eastAsia="es-MX"/>
              </w:rPr>
            </w:pPr>
            <w:r>
              <w:rPr>
                <w:color w:val="000000"/>
                <w:sz w:val="18"/>
                <w:szCs w:val="18"/>
              </w:rPr>
              <w:t>-0.38</w:t>
            </w:r>
          </w:p>
        </w:tc>
        <w:tc>
          <w:tcPr>
            <w:tcW w:w="775" w:type="dxa"/>
            <w:tcBorders>
              <w:top w:val="nil"/>
              <w:left w:val="nil"/>
              <w:bottom w:val="single" w:sz="4" w:space="0" w:color="FFFFFF"/>
              <w:right w:val="single" w:sz="4" w:space="0" w:color="FFFFFF"/>
            </w:tcBorders>
            <w:shd w:val="clear" w:color="000000" w:fill="F2F2F2"/>
            <w:noWrap/>
            <w:vAlign w:val="center"/>
            <w:hideMark/>
          </w:tcPr>
          <w:p w14:paraId="11876B13" w14:textId="77CAA90B" w:rsidR="00A2197D" w:rsidRPr="00D24F1A" w:rsidRDefault="00A2197D" w:rsidP="00A2197D">
            <w:pPr>
              <w:jc w:val="right"/>
              <w:rPr>
                <w:color w:val="000000"/>
                <w:sz w:val="18"/>
                <w:szCs w:val="18"/>
                <w:lang w:val="es-MX" w:eastAsia="es-MX"/>
              </w:rPr>
            </w:pPr>
            <w:r>
              <w:rPr>
                <w:color w:val="000000"/>
                <w:sz w:val="18"/>
                <w:szCs w:val="18"/>
              </w:rPr>
              <w:t>0.05</w:t>
            </w:r>
          </w:p>
        </w:tc>
        <w:tc>
          <w:tcPr>
            <w:tcW w:w="1012" w:type="dxa"/>
            <w:tcBorders>
              <w:top w:val="nil"/>
              <w:left w:val="nil"/>
              <w:bottom w:val="single" w:sz="4" w:space="0" w:color="FFFFFF"/>
              <w:right w:val="single" w:sz="4" w:space="0" w:color="FFFFFF"/>
            </w:tcBorders>
            <w:shd w:val="clear" w:color="000000" w:fill="F2F2F2"/>
            <w:noWrap/>
            <w:vAlign w:val="center"/>
            <w:hideMark/>
          </w:tcPr>
          <w:p w14:paraId="13237546" w14:textId="5FFFB47F" w:rsidR="00A2197D" w:rsidRPr="00D24F1A" w:rsidRDefault="00A2197D" w:rsidP="00A2197D">
            <w:pPr>
              <w:jc w:val="right"/>
              <w:rPr>
                <w:color w:val="000000"/>
                <w:sz w:val="18"/>
                <w:szCs w:val="18"/>
                <w:lang w:val="es-MX" w:eastAsia="es-MX"/>
              </w:rPr>
            </w:pPr>
            <w:r>
              <w:rPr>
                <w:color w:val="000000"/>
                <w:sz w:val="18"/>
                <w:szCs w:val="18"/>
              </w:rPr>
              <w:t>-0.17</w:t>
            </w:r>
          </w:p>
        </w:tc>
      </w:tr>
      <w:tr w:rsidR="00A2197D" w:rsidRPr="00D24F1A" w14:paraId="5F9228FD" w14:textId="77777777" w:rsidTr="00192CD7">
        <w:trPr>
          <w:trHeight w:val="360"/>
          <w:jc w:val="center"/>
        </w:trPr>
        <w:tc>
          <w:tcPr>
            <w:tcW w:w="1757" w:type="dxa"/>
            <w:tcBorders>
              <w:top w:val="nil"/>
              <w:left w:val="nil"/>
              <w:bottom w:val="single" w:sz="8" w:space="0" w:color="C0C0C0"/>
              <w:right w:val="single" w:sz="4" w:space="0" w:color="FFFFFF"/>
            </w:tcBorders>
            <w:noWrap/>
            <w:vAlign w:val="center"/>
            <w:hideMark/>
          </w:tcPr>
          <w:p w14:paraId="6198129A" w14:textId="77777777" w:rsidR="00A2197D" w:rsidRPr="00D24F1A" w:rsidRDefault="00A2197D" w:rsidP="00A2197D">
            <w:pPr>
              <w:jc w:val="left"/>
              <w:rPr>
                <w:color w:val="000000"/>
                <w:sz w:val="18"/>
                <w:szCs w:val="18"/>
                <w:lang w:val="es-MX" w:eastAsia="es-MX"/>
              </w:rPr>
            </w:pPr>
            <w:r w:rsidRPr="00D24F1A">
              <w:rPr>
                <w:color w:val="000000"/>
                <w:sz w:val="18"/>
                <w:szCs w:val="18"/>
                <w:lang w:val="es-MX" w:eastAsia="es-MX"/>
              </w:rPr>
              <w:t>Terciarias</w:t>
            </w:r>
          </w:p>
        </w:tc>
        <w:tc>
          <w:tcPr>
            <w:tcW w:w="806" w:type="dxa"/>
            <w:tcBorders>
              <w:top w:val="nil"/>
              <w:left w:val="single" w:sz="4" w:space="0" w:color="FFFFFF"/>
              <w:bottom w:val="single" w:sz="8" w:space="0" w:color="C0C0C0"/>
              <w:right w:val="single" w:sz="4" w:space="0" w:color="FFFFFF"/>
            </w:tcBorders>
            <w:noWrap/>
            <w:vAlign w:val="center"/>
            <w:hideMark/>
          </w:tcPr>
          <w:p w14:paraId="220E7743" w14:textId="27DA96B5" w:rsidR="00A2197D" w:rsidRPr="00D24F1A" w:rsidRDefault="00A2197D" w:rsidP="00A2197D">
            <w:pPr>
              <w:jc w:val="right"/>
              <w:rPr>
                <w:color w:val="000000"/>
                <w:sz w:val="18"/>
                <w:szCs w:val="18"/>
                <w:lang w:val="es-MX" w:eastAsia="es-MX"/>
              </w:rPr>
            </w:pPr>
            <w:r>
              <w:rPr>
                <w:color w:val="000000"/>
                <w:sz w:val="18"/>
                <w:szCs w:val="18"/>
              </w:rPr>
              <w:t>1.45</w:t>
            </w:r>
          </w:p>
        </w:tc>
        <w:tc>
          <w:tcPr>
            <w:tcW w:w="806" w:type="dxa"/>
            <w:tcBorders>
              <w:top w:val="nil"/>
              <w:left w:val="nil"/>
              <w:bottom w:val="single" w:sz="8" w:space="0" w:color="C0C0C0"/>
              <w:right w:val="single" w:sz="4" w:space="0" w:color="FFFFFF"/>
            </w:tcBorders>
            <w:noWrap/>
            <w:vAlign w:val="center"/>
            <w:hideMark/>
          </w:tcPr>
          <w:p w14:paraId="20020C99" w14:textId="77C70FE5" w:rsidR="00A2197D" w:rsidRPr="00D24F1A" w:rsidRDefault="00A2197D" w:rsidP="00A2197D">
            <w:pPr>
              <w:jc w:val="right"/>
              <w:rPr>
                <w:color w:val="000000"/>
                <w:sz w:val="18"/>
                <w:szCs w:val="18"/>
                <w:lang w:val="es-MX" w:eastAsia="es-MX"/>
              </w:rPr>
            </w:pPr>
            <w:r>
              <w:rPr>
                <w:color w:val="000000"/>
                <w:sz w:val="18"/>
                <w:szCs w:val="18"/>
              </w:rPr>
              <w:t>-0.36</w:t>
            </w:r>
          </w:p>
        </w:tc>
        <w:tc>
          <w:tcPr>
            <w:tcW w:w="806" w:type="dxa"/>
            <w:tcBorders>
              <w:top w:val="nil"/>
              <w:left w:val="nil"/>
              <w:bottom w:val="single" w:sz="8" w:space="0" w:color="C0C0C0"/>
              <w:right w:val="single" w:sz="4" w:space="0" w:color="FFFFFF"/>
            </w:tcBorders>
            <w:noWrap/>
            <w:vAlign w:val="center"/>
            <w:hideMark/>
          </w:tcPr>
          <w:p w14:paraId="09AA1976" w14:textId="32B8F390" w:rsidR="00A2197D" w:rsidRPr="00D24F1A" w:rsidRDefault="00A2197D" w:rsidP="00A2197D">
            <w:pPr>
              <w:jc w:val="right"/>
              <w:rPr>
                <w:color w:val="000000"/>
                <w:sz w:val="18"/>
                <w:szCs w:val="18"/>
                <w:lang w:val="es-MX" w:eastAsia="es-MX"/>
              </w:rPr>
            </w:pPr>
            <w:r>
              <w:rPr>
                <w:color w:val="000000"/>
                <w:sz w:val="18"/>
                <w:szCs w:val="18"/>
              </w:rPr>
              <w:t>2.05</w:t>
            </w:r>
          </w:p>
        </w:tc>
        <w:tc>
          <w:tcPr>
            <w:tcW w:w="806" w:type="dxa"/>
            <w:tcBorders>
              <w:top w:val="nil"/>
              <w:left w:val="nil"/>
              <w:bottom w:val="single" w:sz="8" w:space="0" w:color="C0C0C0"/>
              <w:right w:val="single" w:sz="4" w:space="0" w:color="FFFFFF"/>
            </w:tcBorders>
            <w:noWrap/>
            <w:vAlign w:val="center"/>
            <w:hideMark/>
          </w:tcPr>
          <w:p w14:paraId="5D9F691B" w14:textId="3B1F7207" w:rsidR="00A2197D" w:rsidRPr="00D24F1A" w:rsidRDefault="00A2197D" w:rsidP="00A2197D">
            <w:pPr>
              <w:jc w:val="right"/>
              <w:rPr>
                <w:color w:val="000000"/>
                <w:sz w:val="18"/>
                <w:szCs w:val="18"/>
                <w:lang w:val="es-MX" w:eastAsia="es-MX"/>
              </w:rPr>
            </w:pPr>
            <w:r>
              <w:rPr>
                <w:color w:val="000000"/>
                <w:sz w:val="18"/>
                <w:szCs w:val="18"/>
              </w:rPr>
              <w:t>4.80</w:t>
            </w:r>
          </w:p>
        </w:tc>
        <w:tc>
          <w:tcPr>
            <w:tcW w:w="978" w:type="dxa"/>
            <w:tcBorders>
              <w:top w:val="nil"/>
              <w:left w:val="nil"/>
              <w:bottom w:val="single" w:sz="8" w:space="0" w:color="C0C0C0"/>
              <w:right w:val="single" w:sz="4" w:space="0" w:color="FFFFFF"/>
            </w:tcBorders>
            <w:noWrap/>
            <w:vAlign w:val="center"/>
            <w:hideMark/>
          </w:tcPr>
          <w:p w14:paraId="47901536" w14:textId="2D802FCC" w:rsidR="00A2197D" w:rsidRPr="00D24F1A" w:rsidRDefault="00A2197D" w:rsidP="00A2197D">
            <w:pPr>
              <w:jc w:val="right"/>
              <w:rPr>
                <w:color w:val="000000"/>
                <w:sz w:val="18"/>
                <w:szCs w:val="18"/>
                <w:lang w:val="es-MX" w:eastAsia="es-MX"/>
              </w:rPr>
            </w:pPr>
            <w:r>
              <w:rPr>
                <w:color w:val="000000"/>
                <w:sz w:val="18"/>
                <w:szCs w:val="18"/>
              </w:rPr>
              <w:t>1.97</w:t>
            </w:r>
          </w:p>
        </w:tc>
        <w:tc>
          <w:tcPr>
            <w:tcW w:w="774" w:type="dxa"/>
            <w:tcBorders>
              <w:top w:val="nil"/>
              <w:left w:val="nil"/>
              <w:bottom w:val="single" w:sz="8" w:space="0" w:color="C0C0C0"/>
              <w:right w:val="single" w:sz="4" w:space="0" w:color="FFFFFF"/>
            </w:tcBorders>
            <w:noWrap/>
            <w:vAlign w:val="center"/>
            <w:hideMark/>
          </w:tcPr>
          <w:p w14:paraId="7D8AA1BD" w14:textId="55656DA9" w:rsidR="00A2197D" w:rsidRPr="00D24F1A" w:rsidRDefault="00A2197D" w:rsidP="00A2197D">
            <w:pPr>
              <w:jc w:val="right"/>
              <w:rPr>
                <w:color w:val="000000"/>
                <w:sz w:val="18"/>
                <w:szCs w:val="18"/>
                <w:lang w:val="es-MX" w:eastAsia="es-MX"/>
              </w:rPr>
            </w:pPr>
            <w:r>
              <w:rPr>
                <w:color w:val="000000"/>
                <w:sz w:val="18"/>
                <w:szCs w:val="18"/>
              </w:rPr>
              <w:t>0.21</w:t>
            </w:r>
          </w:p>
        </w:tc>
        <w:tc>
          <w:tcPr>
            <w:tcW w:w="775" w:type="dxa"/>
            <w:tcBorders>
              <w:top w:val="nil"/>
              <w:left w:val="nil"/>
              <w:bottom w:val="single" w:sz="8" w:space="0" w:color="C0C0C0"/>
              <w:right w:val="single" w:sz="4" w:space="0" w:color="FFFFFF"/>
            </w:tcBorders>
            <w:noWrap/>
            <w:vAlign w:val="center"/>
            <w:hideMark/>
          </w:tcPr>
          <w:p w14:paraId="4A6BC9CB" w14:textId="6572A9CF" w:rsidR="00A2197D" w:rsidRPr="00D24F1A" w:rsidRDefault="00A2197D" w:rsidP="00A2197D">
            <w:pPr>
              <w:jc w:val="right"/>
              <w:rPr>
                <w:color w:val="000000"/>
                <w:sz w:val="18"/>
                <w:szCs w:val="18"/>
                <w:lang w:val="es-MX" w:eastAsia="es-MX"/>
              </w:rPr>
            </w:pPr>
            <w:r>
              <w:rPr>
                <w:color w:val="000000"/>
                <w:sz w:val="18"/>
                <w:szCs w:val="18"/>
              </w:rPr>
              <w:t>2.33</w:t>
            </w:r>
          </w:p>
        </w:tc>
        <w:tc>
          <w:tcPr>
            <w:tcW w:w="1012" w:type="dxa"/>
            <w:tcBorders>
              <w:top w:val="nil"/>
              <w:left w:val="nil"/>
              <w:bottom w:val="single" w:sz="8" w:space="0" w:color="C0C0C0"/>
              <w:right w:val="single" w:sz="4" w:space="0" w:color="FFFFFF"/>
            </w:tcBorders>
            <w:noWrap/>
            <w:vAlign w:val="center"/>
            <w:hideMark/>
          </w:tcPr>
          <w:p w14:paraId="24294D96" w14:textId="65AF9997" w:rsidR="00A2197D" w:rsidRPr="00D24F1A" w:rsidRDefault="00A2197D" w:rsidP="00A2197D">
            <w:pPr>
              <w:jc w:val="right"/>
              <w:rPr>
                <w:color w:val="000000"/>
                <w:sz w:val="18"/>
                <w:szCs w:val="18"/>
                <w:lang w:val="es-MX" w:eastAsia="es-MX"/>
              </w:rPr>
            </w:pPr>
            <w:r>
              <w:rPr>
                <w:color w:val="000000"/>
                <w:sz w:val="18"/>
                <w:szCs w:val="18"/>
              </w:rPr>
              <w:t>1.29</w:t>
            </w:r>
          </w:p>
        </w:tc>
      </w:tr>
    </w:tbl>
    <w:p w14:paraId="4C048D94" w14:textId="2F617D10" w:rsidR="0016723A" w:rsidRPr="0016723A" w:rsidRDefault="0016723A" w:rsidP="009E19AB">
      <w:pPr>
        <w:ind w:left="709"/>
        <w:rPr>
          <w:color w:val="4D565E"/>
          <w:sz w:val="16"/>
          <w:szCs w:val="16"/>
          <w:lang w:val="es-ES" w:eastAsia="es-MX"/>
        </w:rPr>
      </w:pPr>
      <w:r w:rsidRPr="0065528B">
        <w:rPr>
          <w:color w:val="4D565E"/>
          <w:sz w:val="16"/>
          <w:szCs w:val="16"/>
          <w:lang w:val="es-ES" w:eastAsia="es-MX"/>
        </w:rPr>
        <w:t>Nota:</w:t>
      </w:r>
      <w:r w:rsidRPr="0016723A">
        <w:rPr>
          <w:color w:val="4D565E"/>
          <w:sz w:val="16"/>
          <w:szCs w:val="16"/>
          <w:lang w:val="es-ES" w:eastAsia="es-MX"/>
        </w:rPr>
        <w:tab/>
      </w:r>
      <w:r>
        <w:rPr>
          <w:color w:val="4D565E"/>
          <w:sz w:val="16"/>
          <w:szCs w:val="16"/>
          <w:lang w:val="es-ES" w:eastAsia="es-MX"/>
        </w:rPr>
        <w:t xml:space="preserve"> </w:t>
      </w:r>
      <w:r w:rsidRPr="0065528B">
        <w:rPr>
          <w:color w:val="4D565E"/>
          <w:sz w:val="16"/>
          <w:szCs w:val="16"/>
          <w:lang w:val="es-ES" w:eastAsia="es-MX"/>
        </w:rPr>
        <w:t>La suma de los parciales puede no coincidir con el total debido al redondeo.</w:t>
      </w:r>
    </w:p>
    <w:p w14:paraId="6FF52B54" w14:textId="6F2DD300" w:rsidR="009E19AB" w:rsidRDefault="009E19AB" w:rsidP="009E19AB">
      <w:pPr>
        <w:ind w:left="709"/>
        <w:rPr>
          <w:color w:val="4D565E"/>
          <w:sz w:val="16"/>
          <w:szCs w:val="16"/>
          <w:lang w:val="es-ES" w:eastAsia="es-MX"/>
        </w:rPr>
      </w:pPr>
      <w:r w:rsidRPr="009E19AB">
        <w:rPr>
          <w:color w:val="4D565E"/>
          <w:sz w:val="16"/>
          <w:szCs w:val="16"/>
          <w:vertAlign w:val="superscript"/>
          <w:lang w:val="es-ES" w:eastAsia="es-MX"/>
        </w:rPr>
        <w:t>1/</w:t>
      </w:r>
      <w:r>
        <w:rPr>
          <w:color w:val="4D565E"/>
          <w:sz w:val="16"/>
          <w:szCs w:val="16"/>
          <w:lang w:val="es-ES" w:eastAsia="es-MX"/>
        </w:rPr>
        <w:t xml:space="preserve"> </w:t>
      </w:r>
      <w:r>
        <w:rPr>
          <w:color w:val="4D565E"/>
          <w:sz w:val="16"/>
          <w:szCs w:val="16"/>
          <w:lang w:val="es-ES" w:eastAsia="es-MX"/>
        </w:rPr>
        <w:tab/>
        <w:t xml:space="preserve"> Cifras preliminares.</w:t>
      </w:r>
    </w:p>
    <w:p w14:paraId="2B8C327F" w14:textId="77777777" w:rsidR="009E19AB" w:rsidRPr="0065528B" w:rsidRDefault="009E19AB" w:rsidP="009E19AB">
      <w:pPr>
        <w:ind w:left="709"/>
        <w:rPr>
          <w:color w:val="4D565E"/>
          <w:sz w:val="16"/>
          <w:szCs w:val="16"/>
          <w:lang w:val="es-ES" w:eastAsia="es-MX"/>
        </w:rPr>
      </w:pPr>
      <w:r w:rsidRPr="009E19AB">
        <w:rPr>
          <w:color w:val="4D565E"/>
          <w:sz w:val="16"/>
          <w:szCs w:val="16"/>
          <w:vertAlign w:val="superscript"/>
          <w:lang w:val="es-ES" w:eastAsia="es-MX"/>
        </w:rPr>
        <w:t>2/</w:t>
      </w:r>
      <w:r>
        <w:rPr>
          <w:color w:val="4D565E"/>
          <w:sz w:val="16"/>
          <w:szCs w:val="16"/>
          <w:lang w:val="es-ES" w:eastAsia="es-MX"/>
        </w:rPr>
        <w:t xml:space="preserve"> </w:t>
      </w:r>
      <w:r>
        <w:rPr>
          <w:color w:val="4D565E"/>
          <w:sz w:val="16"/>
          <w:szCs w:val="16"/>
          <w:lang w:val="es-ES" w:eastAsia="es-MX"/>
        </w:rPr>
        <w:tab/>
        <w:t xml:space="preserve"> Cifras revisadas.</w:t>
      </w:r>
    </w:p>
    <w:p w14:paraId="3C7A0B14" w14:textId="77777777" w:rsidR="009E19AB" w:rsidRDefault="009E19AB" w:rsidP="009E19AB">
      <w:pPr>
        <w:ind w:left="709"/>
        <w:rPr>
          <w:color w:val="4D565E"/>
          <w:sz w:val="16"/>
          <w:szCs w:val="16"/>
          <w:lang w:val="es-ES" w:eastAsia="es-MX"/>
        </w:rPr>
      </w:pPr>
      <w:r w:rsidRPr="0065528B">
        <w:rPr>
          <w:color w:val="4D565E"/>
          <w:sz w:val="16"/>
          <w:szCs w:val="16"/>
          <w:lang w:val="es-ES" w:eastAsia="es-MX"/>
        </w:rPr>
        <w:t>Fuente:</w:t>
      </w:r>
      <w:r w:rsidRPr="0065528B">
        <w:rPr>
          <w:sz w:val="16"/>
          <w:szCs w:val="16"/>
        </w:rPr>
        <w:tab/>
      </w:r>
      <w:r>
        <w:rPr>
          <w:sz w:val="16"/>
          <w:szCs w:val="16"/>
        </w:rPr>
        <w:t xml:space="preserve"> </w:t>
      </w:r>
      <w:r w:rsidRPr="0065528B">
        <w:rPr>
          <w:smallCaps/>
          <w:color w:val="4D565E"/>
          <w:sz w:val="16"/>
          <w:szCs w:val="16"/>
          <w:lang w:val="es-ES" w:eastAsia="es-MX"/>
        </w:rPr>
        <w:t xml:space="preserve">inegi. </w:t>
      </w:r>
      <w:r w:rsidRPr="0065528B">
        <w:rPr>
          <w:color w:val="4D565E"/>
          <w:sz w:val="16"/>
          <w:szCs w:val="16"/>
          <w:lang w:val="es-ES" w:eastAsia="es-MX"/>
        </w:rPr>
        <w:t>Indicador Trimestral de la Actividad Económica Estatal</w:t>
      </w:r>
      <w:r w:rsidRPr="0065528B">
        <w:rPr>
          <w:smallCaps/>
          <w:color w:val="4D565E"/>
          <w:sz w:val="16"/>
          <w:szCs w:val="16"/>
          <w:lang w:val="es-ES" w:eastAsia="es-MX"/>
        </w:rPr>
        <w:t xml:space="preserve"> (itaee)</w:t>
      </w:r>
      <w:r w:rsidRPr="0065528B">
        <w:rPr>
          <w:color w:val="4D565E"/>
          <w:sz w:val="16"/>
          <w:szCs w:val="16"/>
          <w:lang w:val="es-ES" w:eastAsia="es-MX"/>
        </w:rPr>
        <w:t>, 2025 y 2026.</w:t>
      </w:r>
    </w:p>
    <w:p w14:paraId="4DE58979" w14:textId="77777777" w:rsidR="008766DD" w:rsidRPr="00000D42" w:rsidRDefault="00DC6861" w:rsidP="007A26B6">
      <w:pPr>
        <w:ind w:left="1276" w:hanging="709"/>
        <w:rPr>
          <w:lang w:eastAsia="es-MX"/>
        </w:rPr>
      </w:pPr>
      <w:r w:rsidRPr="00C62C6E">
        <w:rPr>
          <w:b/>
          <w:smallCaps/>
        </w:rPr>
        <w:br w:type="page"/>
      </w:r>
    </w:p>
    <w:p w14:paraId="2C6EA4CE" w14:textId="20FDD5EA" w:rsidR="008766DD" w:rsidRPr="00021E62" w:rsidRDefault="00900054" w:rsidP="00B86741">
      <w:pPr>
        <w:ind w:left="567"/>
        <w:rPr>
          <w:rFonts w:ascii="Arial Negrita" w:hAnsi="Arial Negrita"/>
          <w:b/>
        </w:rPr>
      </w:pPr>
      <w:r w:rsidRPr="00021E62">
        <w:rPr>
          <w:rFonts w:ascii="Arial Negrita" w:hAnsi="Arial Negrita"/>
          <w:b/>
        </w:rPr>
        <w:lastRenderedPageBreak/>
        <w:t>A</w:t>
      </w:r>
      <w:r w:rsidR="008766DD" w:rsidRPr="00021E62">
        <w:rPr>
          <w:rFonts w:ascii="Arial Negrita" w:hAnsi="Arial Negrita"/>
          <w:b/>
        </w:rPr>
        <w:t>ctividades primarias</w:t>
      </w:r>
    </w:p>
    <w:p w14:paraId="2BB541E3" w14:textId="77777777" w:rsidR="008766DD" w:rsidRPr="00C62C6E" w:rsidRDefault="008766DD" w:rsidP="008766DD">
      <w:pPr>
        <w:rPr>
          <w:lang w:eastAsia="es-MX"/>
        </w:rPr>
      </w:pPr>
    </w:p>
    <w:p w14:paraId="13A9E191" w14:textId="08B2A7D0" w:rsidR="00BF3159" w:rsidRPr="00BF3159" w:rsidRDefault="00BF3159" w:rsidP="00BF3159">
      <w:pPr>
        <w:rPr>
          <w:lang w:val="es-MX" w:eastAsia="es-MX"/>
        </w:rPr>
      </w:pPr>
      <w:r w:rsidRPr="00BF3159">
        <w:rPr>
          <w:lang w:val="es-MX" w:eastAsia="es-MX"/>
        </w:rPr>
        <w:t xml:space="preserve">Las actividades primarias, vinculadas con el aprovechamiento directo de los recursos naturales, comprenden la </w:t>
      </w:r>
      <w:r w:rsidR="009B2DFA">
        <w:rPr>
          <w:lang w:val="es-MX" w:eastAsia="es-MX"/>
        </w:rPr>
        <w:t>A</w:t>
      </w:r>
      <w:r w:rsidRPr="00BF3159">
        <w:rPr>
          <w:lang w:val="es-MX" w:eastAsia="es-MX"/>
        </w:rPr>
        <w:t xml:space="preserve">gricultura, la cría y explotación de animales, el aprovechamiento forestal, la pesca y la caza. Durante el segundo trimestre de 2026, este sector registró </w:t>
      </w:r>
      <w:r w:rsidR="00A5671A" w:rsidRPr="00A5671A">
        <w:rPr>
          <w:lang w:val="es-MX" w:eastAsia="es-MX"/>
        </w:rPr>
        <w:t xml:space="preserve">una caída anual de 10.8 por ciento. Con ello, </w:t>
      </w:r>
      <w:r w:rsidR="00A5671A" w:rsidRPr="00796E8B">
        <w:rPr>
          <w:i/>
          <w:iCs/>
          <w:lang w:val="es-MX" w:eastAsia="es-MX"/>
        </w:rPr>
        <w:t>Ciudad de México</w:t>
      </w:r>
      <w:r w:rsidR="00A5671A" w:rsidRPr="00A5671A">
        <w:rPr>
          <w:lang w:val="es-MX" w:eastAsia="es-MX"/>
        </w:rPr>
        <w:t xml:space="preserve"> se ubicó en el lugar 28 a nivel nacional (ver gráfica 2).</w:t>
      </w:r>
    </w:p>
    <w:p w14:paraId="0F40E974" w14:textId="77777777" w:rsidR="008766DD" w:rsidRDefault="008766DD" w:rsidP="008766DD">
      <w:pPr>
        <w:rPr>
          <w:lang w:eastAsia="es-MX"/>
        </w:rPr>
      </w:pPr>
    </w:p>
    <w:p w14:paraId="02E183C7" w14:textId="77777777" w:rsidR="0028435E" w:rsidRPr="00021E62" w:rsidRDefault="0028435E" w:rsidP="0028435E">
      <w:pPr>
        <w:ind w:left="458" w:right="459"/>
        <w:jc w:val="center"/>
        <w:rPr>
          <w:bCs/>
          <w:color w:val="003057"/>
          <w:sz w:val="20"/>
          <w:szCs w:val="20"/>
        </w:rPr>
      </w:pPr>
      <w:r w:rsidRPr="00021E62">
        <w:rPr>
          <w:bCs/>
          <w:color w:val="003057"/>
          <w:sz w:val="20"/>
          <w:szCs w:val="20"/>
        </w:rPr>
        <w:t>Gráfica 2</w:t>
      </w:r>
    </w:p>
    <w:p w14:paraId="14848671" w14:textId="51745E9D" w:rsidR="00576035" w:rsidRDefault="00780CC2" w:rsidP="0028435E">
      <w:pPr>
        <w:ind w:left="458" w:right="459"/>
        <w:jc w:val="center"/>
        <w:rPr>
          <w:b/>
          <w:color w:val="003057"/>
          <w:sz w:val="22"/>
          <w:szCs w:val="22"/>
        </w:rPr>
      </w:pPr>
      <w:r>
        <w:rPr>
          <w:b/>
          <w:color w:val="003057"/>
          <w:sz w:val="22"/>
          <w:szCs w:val="22"/>
        </w:rPr>
        <w:t>Comparativo de la v</w:t>
      </w:r>
      <w:r w:rsidR="00C1538B">
        <w:rPr>
          <w:b/>
          <w:color w:val="003057"/>
          <w:sz w:val="22"/>
          <w:szCs w:val="22"/>
        </w:rPr>
        <w:t>ariación</w:t>
      </w:r>
      <w:r w:rsidR="00021E62">
        <w:rPr>
          <w:b/>
          <w:color w:val="003057"/>
          <w:sz w:val="22"/>
          <w:szCs w:val="22"/>
        </w:rPr>
        <w:t xml:space="preserve"> anual</w:t>
      </w:r>
      <w:r w:rsidR="00C1538B">
        <w:rPr>
          <w:b/>
          <w:color w:val="003057"/>
          <w:sz w:val="22"/>
          <w:szCs w:val="22"/>
        </w:rPr>
        <w:t xml:space="preserve"> del </w:t>
      </w:r>
      <w:r w:rsidR="00576035" w:rsidRPr="00576035">
        <w:rPr>
          <w:b/>
          <w:color w:val="003057"/>
          <w:sz w:val="22"/>
          <w:szCs w:val="22"/>
        </w:rPr>
        <w:t>Indicador Trimestral de la Actividad Económica Estatal de</w:t>
      </w:r>
      <w:r w:rsidR="009D7CFF">
        <w:rPr>
          <w:b/>
          <w:color w:val="003057"/>
          <w:sz w:val="22"/>
          <w:szCs w:val="22"/>
        </w:rPr>
        <w:t xml:space="preserve"> </w:t>
      </w:r>
      <w:r w:rsidR="00B82CC0">
        <w:rPr>
          <w:b/>
          <w:color w:val="003057"/>
          <w:sz w:val="22"/>
          <w:szCs w:val="22"/>
        </w:rPr>
        <w:t>Ciudad de México</w:t>
      </w:r>
      <w:r w:rsidR="007507D9">
        <w:rPr>
          <w:b/>
          <w:color w:val="003057"/>
          <w:sz w:val="22"/>
          <w:szCs w:val="22"/>
        </w:rPr>
        <w:t xml:space="preserve"> con otras entidades federativas, </w:t>
      </w:r>
      <w:r w:rsidR="00576035" w:rsidRPr="00576035">
        <w:rPr>
          <w:b/>
          <w:color w:val="003057"/>
          <w:sz w:val="22"/>
          <w:szCs w:val="22"/>
        </w:rPr>
        <w:t>actividades primarias</w:t>
      </w:r>
    </w:p>
    <w:p w14:paraId="4846B60D" w14:textId="184DCE69" w:rsidR="0028435E" w:rsidRPr="00103B2F" w:rsidRDefault="00C03384" w:rsidP="0028435E">
      <w:pPr>
        <w:ind w:left="458" w:right="459"/>
        <w:jc w:val="center"/>
        <w:rPr>
          <w:bCs/>
          <w:color w:val="27251F"/>
          <w:sz w:val="20"/>
          <w:lang w:eastAsia="es-MX"/>
        </w:rPr>
      </w:pPr>
      <w:r>
        <w:rPr>
          <w:bCs/>
          <w:color w:val="27251F"/>
          <w:sz w:val="20"/>
          <w:lang w:eastAsia="es-MX"/>
        </w:rPr>
        <w:t>segundo</w:t>
      </w:r>
      <w:r w:rsidR="004D2B3F">
        <w:rPr>
          <w:bCs/>
          <w:color w:val="27251F"/>
          <w:sz w:val="20"/>
          <w:lang w:eastAsia="es-MX"/>
        </w:rPr>
        <w:t xml:space="preserve"> </w:t>
      </w:r>
      <w:r w:rsidR="003805E1">
        <w:rPr>
          <w:bCs/>
          <w:color w:val="27251F"/>
          <w:sz w:val="20"/>
          <w:lang w:eastAsia="es-MX"/>
        </w:rPr>
        <w:t>trimestre de 202</w:t>
      </w:r>
      <w:r w:rsidR="001569B1">
        <w:rPr>
          <w:bCs/>
          <w:color w:val="27251F"/>
          <w:sz w:val="20"/>
          <w:lang w:eastAsia="es-MX"/>
        </w:rPr>
        <w:t>6</w:t>
      </w:r>
      <w:r w:rsidR="00892A00" w:rsidRPr="004C6EEB">
        <w:rPr>
          <w:color w:val="000000"/>
          <w:sz w:val="20"/>
          <w:szCs w:val="20"/>
          <w:vertAlign w:val="superscript"/>
          <w:lang w:val="es-MX" w:eastAsia="es-MX"/>
        </w:rPr>
        <w:t>1</w:t>
      </w:r>
      <w:r w:rsidR="00892A00">
        <w:rPr>
          <w:color w:val="000000"/>
          <w:sz w:val="20"/>
          <w:szCs w:val="20"/>
          <w:vertAlign w:val="superscript"/>
          <w:lang w:val="es-MX" w:eastAsia="es-MX"/>
        </w:rPr>
        <w:t>/</w:t>
      </w:r>
    </w:p>
    <w:p w14:paraId="28CD8067" w14:textId="05885D5E" w:rsidR="0028435E" w:rsidRDefault="0028435E" w:rsidP="00180475">
      <w:pPr>
        <w:jc w:val="center"/>
        <w:rPr>
          <w:lang w:eastAsia="es-MX"/>
        </w:rPr>
      </w:pPr>
      <w:r w:rsidRPr="00103B2F">
        <w:rPr>
          <w:bCs/>
          <w:color w:val="27251F"/>
          <w:sz w:val="18"/>
          <w:szCs w:val="18"/>
          <w:lang w:eastAsia="es-MX"/>
        </w:rPr>
        <w:t>(</w:t>
      </w:r>
      <w:r w:rsidR="00F36D3F">
        <w:rPr>
          <w:bCs/>
          <w:color w:val="27251F"/>
          <w:sz w:val="18"/>
          <w:szCs w:val="18"/>
          <w:lang w:eastAsia="es-MX"/>
        </w:rPr>
        <w:t>porcentaje</w:t>
      </w:r>
      <w:r w:rsidRPr="00103B2F">
        <w:rPr>
          <w:bCs/>
          <w:color w:val="27251F"/>
          <w:sz w:val="18"/>
          <w:szCs w:val="18"/>
          <w:lang w:eastAsia="es-MX"/>
        </w:rPr>
        <w:t>)</w:t>
      </w:r>
    </w:p>
    <w:p w14:paraId="4AA5B256" w14:textId="6BD3DDF8" w:rsidR="008766DD" w:rsidRPr="00C62C6E" w:rsidRDefault="00F05AD1" w:rsidP="00B64780">
      <w:pPr>
        <w:jc w:val="center"/>
        <w:rPr>
          <w:b/>
          <w:sz w:val="16"/>
          <w:szCs w:val="16"/>
          <w:lang w:eastAsia="es-MX"/>
        </w:rPr>
      </w:pPr>
      <w:r>
        <w:rPr>
          <w:noProof/>
        </w:rPr>
        <w:drawing>
          <wp:inline distT="0" distB="0" distL="0" distR="0" wp14:anchorId="39F76177" wp14:editId="6262DB22">
            <wp:extent cx="4138343" cy="5436030"/>
            <wp:effectExtent l="0" t="0" r="0" b="0"/>
            <wp:docPr id="639637489" name="Gráfico 1">
              <a:extLst xmlns:a="http://schemas.openxmlformats.org/drawingml/2006/main">
                <a:ext uri="{FF2B5EF4-FFF2-40B4-BE49-F238E27FC236}">
                  <a16:creationId xmlns:a16="http://schemas.microsoft.com/office/drawing/2014/main" id="{E5720C3E-6A1F-9639-3CBB-A0542F1498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EA55385" w14:textId="77777777" w:rsidR="00583D9F" w:rsidRDefault="00583D9F" w:rsidP="00583D9F">
      <w:pPr>
        <w:tabs>
          <w:tab w:val="left" w:pos="7655"/>
        </w:tabs>
        <w:ind w:left="2268" w:right="1752" w:hanging="567"/>
        <w:rPr>
          <w:color w:val="4D565E"/>
          <w:sz w:val="16"/>
          <w:szCs w:val="16"/>
          <w:lang w:eastAsia="es-MX"/>
        </w:rPr>
      </w:pPr>
      <w:r w:rsidRPr="00400FDA">
        <w:rPr>
          <w:color w:val="4D565E"/>
          <w:sz w:val="16"/>
          <w:szCs w:val="16"/>
          <w:vertAlign w:val="superscript"/>
          <w:lang w:eastAsia="es-MX"/>
        </w:rPr>
        <w:t>1/</w:t>
      </w:r>
      <w:r>
        <w:rPr>
          <w:color w:val="4D565E"/>
          <w:sz w:val="16"/>
          <w:szCs w:val="16"/>
          <w:lang w:eastAsia="es-MX"/>
        </w:rPr>
        <w:tab/>
      </w:r>
      <w:r w:rsidRPr="00103B2F">
        <w:rPr>
          <w:color w:val="4D565E"/>
          <w:sz w:val="16"/>
          <w:szCs w:val="16"/>
          <w:lang w:eastAsia="es-MX"/>
        </w:rPr>
        <w:t xml:space="preserve">Cifras </w:t>
      </w:r>
      <w:r>
        <w:rPr>
          <w:color w:val="4D565E"/>
          <w:sz w:val="16"/>
          <w:szCs w:val="16"/>
          <w:lang w:eastAsia="es-MX"/>
        </w:rPr>
        <w:t>preliminares.</w:t>
      </w:r>
    </w:p>
    <w:p w14:paraId="5A9A7872" w14:textId="513AC10C" w:rsidR="00FE32FF" w:rsidRDefault="00583D9F" w:rsidP="00CC186A">
      <w:pPr>
        <w:tabs>
          <w:tab w:val="left" w:pos="7655"/>
        </w:tabs>
        <w:ind w:left="2268" w:right="1752" w:hanging="567"/>
        <w:rPr>
          <w:lang w:eastAsia="es-MX"/>
        </w:rPr>
      </w:pPr>
      <w:r w:rsidRPr="12B4AF78">
        <w:rPr>
          <w:color w:val="4D565E"/>
          <w:sz w:val="16"/>
          <w:szCs w:val="16"/>
          <w:lang w:val="es-ES" w:eastAsia="es-MX"/>
        </w:rPr>
        <w:t>Fuente:</w:t>
      </w:r>
      <w:r>
        <w:tab/>
      </w:r>
      <w:r w:rsidRPr="12B4AF78">
        <w:rPr>
          <w:smallCaps/>
          <w:color w:val="4D565E"/>
          <w:sz w:val="16"/>
          <w:szCs w:val="16"/>
          <w:lang w:val="es-ES" w:eastAsia="es-MX"/>
        </w:rPr>
        <w:t xml:space="preserve">inegi. </w:t>
      </w:r>
      <w:r w:rsidRPr="12B4AF78">
        <w:rPr>
          <w:color w:val="4D565E"/>
          <w:sz w:val="16"/>
          <w:szCs w:val="16"/>
          <w:lang w:val="es-ES" w:eastAsia="es-MX"/>
        </w:rPr>
        <w:t>Indicador Trimestral de la Actividad Económica Estatal</w:t>
      </w:r>
      <w:r w:rsidRPr="12B4AF78">
        <w:rPr>
          <w:smallCaps/>
          <w:color w:val="4D565E"/>
          <w:sz w:val="16"/>
          <w:szCs w:val="16"/>
          <w:lang w:val="es-ES" w:eastAsia="es-MX"/>
        </w:rPr>
        <w:t xml:space="preserve"> (itaee)</w:t>
      </w:r>
      <w:r w:rsidRPr="12B4AF78">
        <w:rPr>
          <w:color w:val="4D565E"/>
          <w:sz w:val="16"/>
          <w:szCs w:val="16"/>
          <w:lang w:val="es-ES" w:eastAsia="es-MX"/>
        </w:rPr>
        <w:t xml:space="preserve">, </w:t>
      </w:r>
      <w:r w:rsidR="00554E6A">
        <w:rPr>
          <w:color w:val="4D565E"/>
          <w:sz w:val="16"/>
          <w:szCs w:val="16"/>
          <w:lang w:val="es-ES" w:eastAsia="es-MX"/>
        </w:rPr>
        <w:t>segundo</w:t>
      </w:r>
      <w:r w:rsidR="004D2B3F" w:rsidRPr="12B4AF78">
        <w:rPr>
          <w:color w:val="4D565E"/>
          <w:sz w:val="16"/>
          <w:szCs w:val="16"/>
          <w:lang w:val="es-ES" w:eastAsia="es-MX"/>
        </w:rPr>
        <w:t xml:space="preserve"> </w:t>
      </w:r>
      <w:r w:rsidRPr="12B4AF78">
        <w:rPr>
          <w:color w:val="4D565E"/>
          <w:sz w:val="16"/>
          <w:szCs w:val="16"/>
          <w:lang w:val="es-ES" w:eastAsia="es-MX"/>
        </w:rPr>
        <w:t>trimestre</w:t>
      </w:r>
      <w:r w:rsidRPr="002E32B3">
        <w:rPr>
          <w:color w:val="4D565E"/>
          <w:sz w:val="16"/>
          <w:szCs w:val="16"/>
          <w:lang w:val="es-ES" w:eastAsia="es-MX"/>
        </w:rPr>
        <w:t xml:space="preserve"> de </w:t>
      </w:r>
      <w:r w:rsidRPr="12B4AF78">
        <w:rPr>
          <w:color w:val="4D565E"/>
          <w:sz w:val="16"/>
          <w:szCs w:val="16"/>
          <w:lang w:val="es-ES" w:eastAsia="es-MX"/>
        </w:rPr>
        <w:t>202</w:t>
      </w:r>
      <w:r w:rsidR="003A7E2C">
        <w:rPr>
          <w:color w:val="4D565E"/>
          <w:sz w:val="16"/>
          <w:szCs w:val="16"/>
          <w:lang w:val="es-ES" w:eastAsia="es-MX"/>
        </w:rPr>
        <w:t>6</w:t>
      </w:r>
      <w:r w:rsidR="004A4133">
        <w:rPr>
          <w:color w:val="4D565E"/>
          <w:sz w:val="16"/>
          <w:szCs w:val="16"/>
          <w:lang w:val="es-ES" w:eastAsia="es-MX"/>
        </w:rPr>
        <w:t>.</w:t>
      </w:r>
      <w:r w:rsidR="00FE32FF">
        <w:rPr>
          <w:lang w:eastAsia="es-MX"/>
        </w:rPr>
        <w:br w:type="page"/>
      </w:r>
    </w:p>
    <w:p w14:paraId="64109524" w14:textId="2CFE3150" w:rsidR="008766DD" w:rsidRPr="00021E62" w:rsidRDefault="00900054" w:rsidP="00B86741">
      <w:pPr>
        <w:ind w:left="567"/>
        <w:rPr>
          <w:rFonts w:ascii="Arial Negrita" w:hAnsi="Arial Negrita"/>
          <w:b/>
        </w:rPr>
      </w:pPr>
      <w:r w:rsidRPr="00021E62">
        <w:rPr>
          <w:rFonts w:ascii="Arial Negrita" w:hAnsi="Arial Negrita"/>
          <w:b/>
        </w:rPr>
        <w:lastRenderedPageBreak/>
        <w:t>A</w:t>
      </w:r>
      <w:r w:rsidR="008766DD" w:rsidRPr="00021E62">
        <w:rPr>
          <w:rFonts w:ascii="Arial Negrita" w:hAnsi="Arial Negrita"/>
          <w:b/>
        </w:rPr>
        <w:t>ctividades secundarias</w:t>
      </w:r>
    </w:p>
    <w:p w14:paraId="6B367951" w14:textId="77777777" w:rsidR="008766DD" w:rsidRPr="00C62C6E" w:rsidRDefault="008766DD" w:rsidP="008766DD">
      <w:pPr>
        <w:rPr>
          <w:lang w:eastAsia="es-MX"/>
        </w:rPr>
      </w:pPr>
    </w:p>
    <w:p w14:paraId="23D90034" w14:textId="785E7F3A" w:rsidR="008766DD" w:rsidRPr="00C62C6E" w:rsidRDefault="00BF3159" w:rsidP="008766DD">
      <w:pPr>
        <w:autoSpaceDE w:val="0"/>
        <w:autoSpaceDN w:val="0"/>
        <w:adjustRightInd w:val="0"/>
        <w:rPr>
          <w:lang w:eastAsia="es-MX"/>
        </w:rPr>
      </w:pPr>
      <w:r w:rsidRPr="00BF3159">
        <w:rPr>
          <w:lang w:eastAsia="es-MX"/>
        </w:rPr>
        <w:t>Las actividades secundarias incluyen la transformación de bienes y productos en otros nuevos o diferentes. Comprenden los sectores Minería; Generación, transmisión, distribución y comercialización de energía eléctrica, suministro de agua y de gas natural por ductos al consumidor final; Construcción e Industrias manufactureras</w:t>
      </w:r>
      <w:r w:rsidR="00B12D62" w:rsidRPr="00B76340">
        <w:rPr>
          <w:lang w:eastAsia="es-MX"/>
        </w:rPr>
        <w:t>.</w:t>
      </w:r>
      <w:r w:rsidR="002266A8">
        <w:rPr>
          <w:lang w:eastAsia="es-MX"/>
        </w:rPr>
        <w:t xml:space="preserve"> </w:t>
      </w:r>
      <w:r w:rsidR="00A5671A" w:rsidRPr="00A5671A">
        <w:rPr>
          <w:lang w:eastAsia="es-MX"/>
        </w:rPr>
        <w:t>El incremento de 0.5</w:t>
      </w:r>
      <w:r w:rsidR="00235290">
        <w:rPr>
          <w:lang w:eastAsia="es-MX"/>
        </w:rPr>
        <w:t> %</w:t>
      </w:r>
      <w:r w:rsidR="00A5671A" w:rsidRPr="00A5671A">
        <w:rPr>
          <w:lang w:eastAsia="es-MX"/>
        </w:rPr>
        <w:t xml:space="preserve"> en estas actividades ubicó a </w:t>
      </w:r>
      <w:r w:rsidR="00A5671A" w:rsidRPr="00796E8B">
        <w:rPr>
          <w:i/>
          <w:iCs/>
          <w:lang w:eastAsia="es-MX"/>
        </w:rPr>
        <w:t>Ciudad de México</w:t>
      </w:r>
      <w:r w:rsidR="00A5671A" w:rsidRPr="00A5671A">
        <w:rPr>
          <w:lang w:eastAsia="es-MX"/>
        </w:rPr>
        <w:t xml:space="preserve"> en el lugar 19 entre las 32 entidades federativas </w:t>
      </w:r>
      <w:r w:rsidR="00F05AD1">
        <w:rPr>
          <w:lang w:eastAsia="es-MX"/>
        </w:rPr>
        <w:br/>
      </w:r>
      <w:r w:rsidR="00A5671A" w:rsidRPr="00A5671A">
        <w:rPr>
          <w:lang w:eastAsia="es-MX"/>
        </w:rPr>
        <w:t>(ver gráfica 3).</w:t>
      </w:r>
    </w:p>
    <w:p w14:paraId="326F0670" w14:textId="77777777" w:rsidR="0028435E" w:rsidRPr="00021E62" w:rsidRDefault="0028435E" w:rsidP="0028435E">
      <w:pPr>
        <w:ind w:left="600" w:right="455"/>
        <w:jc w:val="center"/>
        <w:rPr>
          <w:bCs/>
          <w:color w:val="003057"/>
          <w:sz w:val="20"/>
          <w:szCs w:val="20"/>
        </w:rPr>
      </w:pPr>
      <w:r w:rsidRPr="00021E62">
        <w:rPr>
          <w:bCs/>
          <w:color w:val="003057"/>
          <w:sz w:val="20"/>
          <w:szCs w:val="20"/>
        </w:rPr>
        <w:t>Gráfica 3</w:t>
      </w:r>
    </w:p>
    <w:p w14:paraId="77588742" w14:textId="5C43DE3D" w:rsidR="009B6237" w:rsidRDefault="009B6237" w:rsidP="00AE08D9">
      <w:pPr>
        <w:ind w:left="284" w:right="335"/>
        <w:jc w:val="center"/>
        <w:rPr>
          <w:b/>
          <w:color w:val="003057"/>
          <w:sz w:val="22"/>
          <w:szCs w:val="22"/>
        </w:rPr>
      </w:pPr>
      <w:r>
        <w:rPr>
          <w:b/>
          <w:color w:val="003057"/>
          <w:sz w:val="22"/>
          <w:szCs w:val="22"/>
        </w:rPr>
        <w:t xml:space="preserve">Comparativo de la variación anual del </w:t>
      </w:r>
      <w:r w:rsidRPr="00576035">
        <w:rPr>
          <w:b/>
          <w:color w:val="003057"/>
          <w:sz w:val="22"/>
          <w:szCs w:val="22"/>
        </w:rPr>
        <w:t xml:space="preserve">Indicador Trimestral de la Actividad Económica Estatal de </w:t>
      </w:r>
      <w:r w:rsidR="00B82CC0">
        <w:rPr>
          <w:b/>
          <w:color w:val="003057"/>
          <w:sz w:val="22"/>
          <w:szCs w:val="22"/>
        </w:rPr>
        <w:t>Ciudad de México</w:t>
      </w:r>
      <w:r>
        <w:rPr>
          <w:b/>
          <w:color w:val="003057"/>
          <w:sz w:val="22"/>
          <w:szCs w:val="22"/>
        </w:rPr>
        <w:t xml:space="preserve"> con otras entidades federativas, </w:t>
      </w:r>
      <w:r w:rsidRPr="00576035">
        <w:rPr>
          <w:b/>
          <w:color w:val="003057"/>
          <w:sz w:val="22"/>
          <w:szCs w:val="22"/>
        </w:rPr>
        <w:t xml:space="preserve">actividades </w:t>
      </w:r>
      <w:r>
        <w:rPr>
          <w:b/>
          <w:color w:val="003057"/>
          <w:sz w:val="22"/>
          <w:szCs w:val="22"/>
        </w:rPr>
        <w:t>secundarias</w:t>
      </w:r>
    </w:p>
    <w:p w14:paraId="611B2FCC" w14:textId="105AAF0E" w:rsidR="0028435E" w:rsidRPr="00103B2F" w:rsidRDefault="00C03384" w:rsidP="00576035">
      <w:pPr>
        <w:ind w:left="600" w:right="596"/>
        <w:jc w:val="center"/>
        <w:rPr>
          <w:bCs/>
          <w:color w:val="27251F"/>
          <w:sz w:val="20"/>
          <w:lang w:eastAsia="es-MX"/>
        </w:rPr>
      </w:pPr>
      <w:r>
        <w:rPr>
          <w:bCs/>
          <w:color w:val="27251F"/>
          <w:sz w:val="20"/>
          <w:lang w:eastAsia="es-MX"/>
        </w:rPr>
        <w:t>segundo</w:t>
      </w:r>
      <w:r w:rsidR="004D2B3F">
        <w:rPr>
          <w:bCs/>
          <w:color w:val="27251F"/>
          <w:sz w:val="20"/>
          <w:lang w:eastAsia="es-MX"/>
        </w:rPr>
        <w:t xml:space="preserve"> </w:t>
      </w:r>
      <w:r w:rsidR="003805E1">
        <w:rPr>
          <w:bCs/>
          <w:color w:val="27251F"/>
          <w:sz w:val="20"/>
          <w:lang w:eastAsia="es-MX"/>
        </w:rPr>
        <w:t>trimestre de 202</w:t>
      </w:r>
      <w:r w:rsidR="00C37B45">
        <w:rPr>
          <w:bCs/>
          <w:color w:val="27251F"/>
          <w:sz w:val="20"/>
          <w:lang w:eastAsia="es-MX"/>
        </w:rPr>
        <w:t>6</w:t>
      </w:r>
      <w:r w:rsidR="00892A00" w:rsidRPr="004C6EEB">
        <w:rPr>
          <w:color w:val="000000"/>
          <w:sz w:val="20"/>
          <w:szCs w:val="20"/>
          <w:vertAlign w:val="superscript"/>
          <w:lang w:val="es-MX" w:eastAsia="es-MX"/>
        </w:rPr>
        <w:t>1</w:t>
      </w:r>
      <w:r w:rsidR="00892A00">
        <w:rPr>
          <w:color w:val="000000"/>
          <w:sz w:val="20"/>
          <w:szCs w:val="20"/>
          <w:vertAlign w:val="superscript"/>
          <w:lang w:val="es-MX" w:eastAsia="es-MX"/>
        </w:rPr>
        <w:t>/</w:t>
      </w:r>
    </w:p>
    <w:p w14:paraId="49F1C9BD" w14:textId="283BDA25" w:rsidR="0028435E" w:rsidRPr="00C62C6E" w:rsidRDefault="0028435E" w:rsidP="00021E62">
      <w:pPr>
        <w:ind w:left="680" w:hanging="680"/>
        <w:jc w:val="center"/>
        <w:rPr>
          <w:lang w:eastAsia="es-MX"/>
        </w:rPr>
      </w:pPr>
      <w:r w:rsidRPr="00103B2F">
        <w:rPr>
          <w:bCs/>
          <w:color w:val="27251F"/>
          <w:sz w:val="18"/>
          <w:szCs w:val="18"/>
          <w:lang w:eastAsia="es-MX"/>
        </w:rPr>
        <w:t>(</w:t>
      </w:r>
      <w:r w:rsidR="00C87F44">
        <w:rPr>
          <w:bCs/>
          <w:color w:val="27251F"/>
          <w:sz w:val="18"/>
          <w:szCs w:val="18"/>
          <w:lang w:eastAsia="es-MX"/>
        </w:rPr>
        <w:t>porcent</w:t>
      </w:r>
      <w:r w:rsidR="00A5125F">
        <w:rPr>
          <w:bCs/>
          <w:color w:val="27251F"/>
          <w:sz w:val="18"/>
          <w:szCs w:val="18"/>
          <w:lang w:eastAsia="es-MX"/>
        </w:rPr>
        <w:t>aje</w:t>
      </w:r>
      <w:r w:rsidRPr="00103B2F">
        <w:rPr>
          <w:bCs/>
          <w:color w:val="27251F"/>
          <w:sz w:val="18"/>
          <w:szCs w:val="18"/>
          <w:lang w:eastAsia="es-MX"/>
        </w:rPr>
        <w:t>)</w:t>
      </w:r>
    </w:p>
    <w:p w14:paraId="47F76CD6" w14:textId="3EF7D823" w:rsidR="008766DD" w:rsidRPr="00C62C6E" w:rsidRDefault="00F05AD1" w:rsidP="008766DD">
      <w:pPr>
        <w:jc w:val="center"/>
        <w:rPr>
          <w:b/>
          <w:sz w:val="16"/>
          <w:szCs w:val="16"/>
          <w:lang w:eastAsia="es-MX"/>
        </w:rPr>
      </w:pPr>
      <w:r>
        <w:rPr>
          <w:noProof/>
        </w:rPr>
        <w:drawing>
          <wp:inline distT="0" distB="0" distL="0" distR="0" wp14:anchorId="452B95F3" wp14:editId="34245FF3">
            <wp:extent cx="4140000" cy="5436030"/>
            <wp:effectExtent l="0" t="0" r="0" b="0"/>
            <wp:docPr id="749063449" name="Gráfico 1">
              <a:extLst xmlns:a="http://schemas.openxmlformats.org/drawingml/2006/main">
                <a:ext uri="{FF2B5EF4-FFF2-40B4-BE49-F238E27FC236}">
                  <a16:creationId xmlns:a16="http://schemas.microsoft.com/office/drawing/2014/main" id="{FB5C5805-4139-BF60-9373-CBFA524ED6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11827AB" w14:textId="77777777" w:rsidR="00CC186A" w:rsidRDefault="00CC186A" w:rsidP="00CC186A">
      <w:pPr>
        <w:tabs>
          <w:tab w:val="left" w:pos="7655"/>
        </w:tabs>
        <w:ind w:left="2268" w:right="1752" w:hanging="567"/>
        <w:rPr>
          <w:color w:val="4D565E"/>
          <w:sz w:val="16"/>
          <w:szCs w:val="16"/>
          <w:lang w:eastAsia="es-MX"/>
        </w:rPr>
      </w:pPr>
      <w:r w:rsidRPr="00400FDA">
        <w:rPr>
          <w:color w:val="4D565E"/>
          <w:sz w:val="16"/>
          <w:szCs w:val="16"/>
          <w:vertAlign w:val="superscript"/>
          <w:lang w:eastAsia="es-MX"/>
        </w:rPr>
        <w:t>1/</w:t>
      </w:r>
      <w:r>
        <w:rPr>
          <w:color w:val="4D565E"/>
          <w:sz w:val="16"/>
          <w:szCs w:val="16"/>
          <w:lang w:eastAsia="es-MX"/>
        </w:rPr>
        <w:tab/>
      </w:r>
      <w:r w:rsidRPr="00103B2F">
        <w:rPr>
          <w:color w:val="4D565E"/>
          <w:sz w:val="16"/>
          <w:szCs w:val="16"/>
          <w:lang w:eastAsia="es-MX"/>
        </w:rPr>
        <w:t xml:space="preserve">Cifras </w:t>
      </w:r>
      <w:r>
        <w:rPr>
          <w:color w:val="4D565E"/>
          <w:sz w:val="16"/>
          <w:szCs w:val="16"/>
          <w:lang w:eastAsia="es-MX"/>
        </w:rPr>
        <w:t>preliminares.</w:t>
      </w:r>
    </w:p>
    <w:p w14:paraId="41497F4F" w14:textId="7290E962" w:rsidR="00CC186A" w:rsidRDefault="00CC186A" w:rsidP="00CC186A">
      <w:pPr>
        <w:tabs>
          <w:tab w:val="left" w:pos="7655"/>
        </w:tabs>
        <w:ind w:left="2268" w:right="1752" w:hanging="567"/>
        <w:rPr>
          <w:color w:val="4D565E"/>
          <w:sz w:val="16"/>
          <w:szCs w:val="16"/>
          <w:lang w:val="es-ES" w:eastAsia="es-MX"/>
        </w:rPr>
      </w:pPr>
      <w:r w:rsidRPr="12B4AF78">
        <w:rPr>
          <w:color w:val="4D565E"/>
          <w:sz w:val="16"/>
          <w:szCs w:val="16"/>
          <w:lang w:val="es-ES" w:eastAsia="es-MX"/>
        </w:rPr>
        <w:t>Fuente:</w:t>
      </w:r>
      <w:r>
        <w:tab/>
      </w:r>
      <w:r w:rsidRPr="12B4AF78">
        <w:rPr>
          <w:smallCaps/>
          <w:color w:val="4D565E"/>
          <w:sz w:val="16"/>
          <w:szCs w:val="16"/>
          <w:lang w:val="es-ES" w:eastAsia="es-MX"/>
        </w:rPr>
        <w:t xml:space="preserve">inegi. </w:t>
      </w:r>
      <w:r w:rsidRPr="12B4AF78">
        <w:rPr>
          <w:color w:val="4D565E"/>
          <w:sz w:val="16"/>
          <w:szCs w:val="16"/>
          <w:lang w:val="es-ES" w:eastAsia="es-MX"/>
        </w:rPr>
        <w:t>Indicador Trimestral de la Actividad Económica Estatal</w:t>
      </w:r>
      <w:r w:rsidRPr="12B4AF78">
        <w:rPr>
          <w:smallCaps/>
          <w:color w:val="4D565E"/>
          <w:sz w:val="16"/>
          <w:szCs w:val="16"/>
          <w:lang w:val="es-ES" w:eastAsia="es-MX"/>
        </w:rPr>
        <w:t xml:space="preserve"> (itaee)</w:t>
      </w:r>
      <w:r w:rsidRPr="12B4AF78">
        <w:rPr>
          <w:color w:val="4D565E"/>
          <w:sz w:val="16"/>
          <w:szCs w:val="16"/>
          <w:lang w:val="es-ES" w:eastAsia="es-MX"/>
        </w:rPr>
        <w:t xml:space="preserve">, </w:t>
      </w:r>
      <w:r w:rsidR="009F52CE">
        <w:rPr>
          <w:color w:val="4D565E"/>
          <w:sz w:val="16"/>
          <w:szCs w:val="16"/>
          <w:lang w:val="es-ES" w:eastAsia="es-MX"/>
        </w:rPr>
        <w:t>segundo</w:t>
      </w:r>
      <w:r w:rsidRPr="12B4AF78">
        <w:rPr>
          <w:color w:val="4D565E"/>
          <w:sz w:val="16"/>
          <w:szCs w:val="16"/>
          <w:lang w:val="es-ES" w:eastAsia="es-MX"/>
        </w:rPr>
        <w:t xml:space="preserve"> trimestre de 202</w:t>
      </w:r>
      <w:r>
        <w:rPr>
          <w:color w:val="4D565E"/>
          <w:sz w:val="16"/>
          <w:szCs w:val="16"/>
          <w:lang w:val="es-ES" w:eastAsia="es-MX"/>
        </w:rPr>
        <w:t>6.</w:t>
      </w:r>
      <w:r>
        <w:rPr>
          <w:color w:val="4D565E"/>
          <w:sz w:val="16"/>
          <w:szCs w:val="16"/>
          <w:lang w:val="es-ES" w:eastAsia="es-MX"/>
        </w:rPr>
        <w:br w:type="page"/>
      </w:r>
    </w:p>
    <w:p w14:paraId="1E3CC257" w14:textId="730BA64A" w:rsidR="00B7203E" w:rsidRPr="009E6C75" w:rsidRDefault="00900054" w:rsidP="00262720">
      <w:pPr>
        <w:tabs>
          <w:tab w:val="left" w:pos="7655"/>
        </w:tabs>
        <w:ind w:left="567" w:right="1610"/>
        <w:rPr>
          <w:rFonts w:ascii="Arial Negrita" w:hAnsi="Arial Negrita"/>
          <w:b/>
        </w:rPr>
      </w:pPr>
      <w:r w:rsidRPr="009E6C75">
        <w:rPr>
          <w:rFonts w:ascii="Arial Negrita" w:hAnsi="Arial Negrita"/>
          <w:b/>
        </w:rPr>
        <w:lastRenderedPageBreak/>
        <w:t>A</w:t>
      </w:r>
      <w:r w:rsidR="00B7203E" w:rsidRPr="009E6C75">
        <w:rPr>
          <w:rFonts w:ascii="Arial Negrita" w:hAnsi="Arial Negrita"/>
          <w:b/>
        </w:rPr>
        <w:t>ctividades terciarias</w:t>
      </w:r>
    </w:p>
    <w:p w14:paraId="1BF83BBB" w14:textId="77777777" w:rsidR="00B7203E" w:rsidRPr="00F73A21" w:rsidRDefault="00B7203E" w:rsidP="009311F5">
      <w:pPr>
        <w:contextualSpacing/>
        <w:rPr>
          <w:smallCaps/>
        </w:rPr>
      </w:pPr>
    </w:p>
    <w:p w14:paraId="12AE02DD" w14:textId="32B1A1E7" w:rsidR="00F11175" w:rsidRDefault="00A158B3" w:rsidP="00262720">
      <w:pPr>
        <w:rPr>
          <w:lang w:eastAsia="es-MX"/>
        </w:rPr>
      </w:pPr>
      <w:r w:rsidRPr="00A158B3">
        <w:rPr>
          <w:lang w:eastAsia="es-MX"/>
        </w:rPr>
        <w:t xml:space="preserve">Las actividades terciarias corresponden al comercio y a la prestación de servicios que apoyan la actividad económica y satisfacen necesidades de la población. Incluyen, además, los servicios de educación, salud, administración pública y defensa proporcionados por el </w:t>
      </w:r>
      <w:r>
        <w:rPr>
          <w:lang w:eastAsia="es-MX"/>
        </w:rPr>
        <w:t>g</w:t>
      </w:r>
      <w:r w:rsidRPr="00A158B3">
        <w:rPr>
          <w:lang w:eastAsia="es-MX"/>
        </w:rPr>
        <w:t>obierno</w:t>
      </w:r>
      <w:r>
        <w:rPr>
          <w:lang w:eastAsia="es-MX"/>
        </w:rPr>
        <w:t>. E</w:t>
      </w:r>
      <w:r w:rsidR="000A1655" w:rsidRPr="000A1655">
        <w:rPr>
          <w:lang w:eastAsia="es-MX"/>
        </w:rPr>
        <w:t xml:space="preserve">n el </w:t>
      </w:r>
      <w:r w:rsidR="00554E6A">
        <w:rPr>
          <w:lang w:eastAsia="es-MX"/>
        </w:rPr>
        <w:t>segundo</w:t>
      </w:r>
      <w:r w:rsidR="000A1655" w:rsidRPr="000A1655">
        <w:rPr>
          <w:lang w:eastAsia="es-MX"/>
        </w:rPr>
        <w:t xml:space="preserve"> trimestre de 2026,</w:t>
      </w:r>
      <w:r w:rsidR="000A1655" w:rsidRPr="00F05AD1">
        <w:rPr>
          <w:lang w:eastAsia="es-MX"/>
        </w:rPr>
        <w:t xml:space="preserve"> </w:t>
      </w:r>
      <w:r w:rsidR="00A5671A" w:rsidRPr="00A5671A">
        <w:rPr>
          <w:i/>
          <w:iCs/>
          <w:lang w:eastAsia="es-MX"/>
        </w:rPr>
        <w:t>Ciudad de México</w:t>
      </w:r>
      <w:r w:rsidR="00A5671A" w:rsidRPr="00F05AD1">
        <w:rPr>
          <w:lang w:eastAsia="es-MX"/>
        </w:rPr>
        <w:t xml:space="preserve"> registró una variación anual de 2.6</w:t>
      </w:r>
      <w:r w:rsidR="00235290">
        <w:rPr>
          <w:lang w:eastAsia="es-MX"/>
        </w:rPr>
        <w:t> %</w:t>
      </w:r>
      <w:r w:rsidR="00A5671A" w:rsidRPr="00F05AD1">
        <w:rPr>
          <w:lang w:eastAsia="es-MX"/>
        </w:rPr>
        <w:t xml:space="preserve"> en dichas actividades. De esta manera, se ubicó en el lugar 17 a nivel nacional </w:t>
      </w:r>
      <w:r w:rsidR="00F05AD1">
        <w:rPr>
          <w:lang w:eastAsia="es-MX"/>
        </w:rPr>
        <w:br/>
      </w:r>
      <w:r w:rsidR="00A5671A" w:rsidRPr="00F05AD1">
        <w:rPr>
          <w:lang w:eastAsia="es-MX"/>
        </w:rPr>
        <w:t>(ver gráfica 4).</w:t>
      </w:r>
    </w:p>
    <w:p w14:paraId="5C4990B6" w14:textId="77777777" w:rsidR="0028435E" w:rsidRPr="009E6C75" w:rsidRDefault="0028435E" w:rsidP="00262720">
      <w:pPr>
        <w:ind w:left="600" w:right="51"/>
        <w:jc w:val="center"/>
        <w:rPr>
          <w:bCs/>
          <w:color w:val="003057"/>
          <w:sz w:val="20"/>
          <w:szCs w:val="20"/>
        </w:rPr>
      </w:pPr>
      <w:r w:rsidRPr="009E6C75">
        <w:rPr>
          <w:bCs/>
          <w:color w:val="003057"/>
          <w:sz w:val="20"/>
          <w:szCs w:val="20"/>
        </w:rPr>
        <w:t>Gráfica 4</w:t>
      </w:r>
    </w:p>
    <w:p w14:paraId="59218B6D" w14:textId="639CE94B" w:rsidR="009B6237" w:rsidRDefault="009B6237" w:rsidP="009B6237">
      <w:pPr>
        <w:ind w:left="458" w:right="459"/>
        <w:jc w:val="center"/>
        <w:rPr>
          <w:b/>
          <w:color w:val="003057"/>
          <w:sz w:val="22"/>
          <w:szCs w:val="22"/>
        </w:rPr>
      </w:pPr>
      <w:r>
        <w:rPr>
          <w:b/>
          <w:color w:val="003057"/>
          <w:sz w:val="22"/>
          <w:szCs w:val="22"/>
        </w:rPr>
        <w:t xml:space="preserve">Comparativo de la variación anual del </w:t>
      </w:r>
      <w:r w:rsidRPr="00576035">
        <w:rPr>
          <w:b/>
          <w:color w:val="003057"/>
          <w:sz w:val="22"/>
          <w:szCs w:val="22"/>
        </w:rPr>
        <w:t xml:space="preserve">Indicador Trimestral de la Actividad Económica Estatal de </w:t>
      </w:r>
      <w:r w:rsidR="00B82CC0">
        <w:rPr>
          <w:b/>
          <w:color w:val="003057"/>
          <w:sz w:val="22"/>
          <w:szCs w:val="22"/>
        </w:rPr>
        <w:t>Ciudad de México</w:t>
      </w:r>
      <w:r>
        <w:rPr>
          <w:b/>
          <w:color w:val="003057"/>
          <w:sz w:val="22"/>
          <w:szCs w:val="22"/>
        </w:rPr>
        <w:t xml:space="preserve"> con otras entidades federativas, </w:t>
      </w:r>
      <w:r w:rsidRPr="00576035">
        <w:rPr>
          <w:b/>
          <w:color w:val="003057"/>
          <w:sz w:val="22"/>
          <w:szCs w:val="22"/>
        </w:rPr>
        <w:t xml:space="preserve">actividades </w:t>
      </w:r>
      <w:r>
        <w:rPr>
          <w:b/>
          <w:color w:val="003057"/>
          <w:sz w:val="22"/>
          <w:szCs w:val="22"/>
        </w:rPr>
        <w:t>terciarias</w:t>
      </w:r>
    </w:p>
    <w:p w14:paraId="21C46370" w14:textId="10DF41EE" w:rsidR="0028435E" w:rsidRPr="00103B2F" w:rsidRDefault="009F52CE" w:rsidP="0028435E">
      <w:pPr>
        <w:ind w:left="600" w:right="600"/>
        <w:jc w:val="center"/>
        <w:rPr>
          <w:bCs/>
          <w:color w:val="27251F"/>
          <w:sz w:val="20"/>
          <w:lang w:eastAsia="es-MX"/>
        </w:rPr>
      </w:pPr>
      <w:r>
        <w:rPr>
          <w:bCs/>
          <w:color w:val="27251F"/>
          <w:sz w:val="20"/>
          <w:lang w:eastAsia="es-MX"/>
        </w:rPr>
        <w:t>segundo</w:t>
      </w:r>
      <w:r w:rsidR="004D2B3F">
        <w:rPr>
          <w:bCs/>
          <w:color w:val="27251F"/>
          <w:sz w:val="20"/>
          <w:lang w:eastAsia="es-MX"/>
        </w:rPr>
        <w:t xml:space="preserve"> </w:t>
      </w:r>
      <w:r w:rsidR="003805E1">
        <w:rPr>
          <w:bCs/>
          <w:color w:val="27251F"/>
          <w:sz w:val="20"/>
          <w:lang w:eastAsia="es-MX"/>
        </w:rPr>
        <w:t>trimestre de 202</w:t>
      </w:r>
      <w:r w:rsidR="003A7E2C">
        <w:rPr>
          <w:bCs/>
          <w:color w:val="27251F"/>
          <w:sz w:val="20"/>
          <w:lang w:eastAsia="es-MX"/>
        </w:rPr>
        <w:t>6</w:t>
      </w:r>
      <w:r w:rsidR="00812EBA" w:rsidRPr="004C6EEB">
        <w:rPr>
          <w:color w:val="000000"/>
          <w:sz w:val="20"/>
          <w:szCs w:val="20"/>
          <w:vertAlign w:val="superscript"/>
          <w:lang w:val="es-MX" w:eastAsia="es-MX"/>
        </w:rPr>
        <w:t>1</w:t>
      </w:r>
      <w:r w:rsidR="00812EBA">
        <w:rPr>
          <w:color w:val="000000"/>
          <w:sz w:val="20"/>
          <w:szCs w:val="20"/>
          <w:vertAlign w:val="superscript"/>
          <w:lang w:val="es-MX" w:eastAsia="es-MX"/>
        </w:rPr>
        <w:t>/</w:t>
      </w:r>
    </w:p>
    <w:p w14:paraId="73DAD76E" w14:textId="0A59D937" w:rsidR="0028435E" w:rsidRDefault="0028435E" w:rsidP="00180475">
      <w:pPr>
        <w:jc w:val="center"/>
        <w:rPr>
          <w:lang w:eastAsia="es-MX"/>
        </w:rPr>
      </w:pPr>
      <w:r w:rsidRPr="00103B2F">
        <w:rPr>
          <w:bCs/>
          <w:color w:val="27251F"/>
          <w:sz w:val="18"/>
          <w:szCs w:val="18"/>
          <w:lang w:eastAsia="es-MX"/>
        </w:rPr>
        <w:t>(</w:t>
      </w:r>
      <w:r w:rsidR="00C87F44">
        <w:rPr>
          <w:bCs/>
          <w:color w:val="27251F"/>
          <w:sz w:val="18"/>
          <w:szCs w:val="18"/>
          <w:lang w:eastAsia="es-MX"/>
        </w:rPr>
        <w:t>porcent</w:t>
      </w:r>
      <w:r w:rsidR="007B29F7">
        <w:rPr>
          <w:bCs/>
          <w:color w:val="27251F"/>
          <w:sz w:val="18"/>
          <w:szCs w:val="18"/>
          <w:lang w:eastAsia="es-MX"/>
        </w:rPr>
        <w:t>aje</w:t>
      </w:r>
      <w:r w:rsidRPr="00103B2F">
        <w:rPr>
          <w:bCs/>
          <w:color w:val="27251F"/>
          <w:sz w:val="18"/>
          <w:szCs w:val="18"/>
          <w:lang w:eastAsia="es-MX"/>
        </w:rPr>
        <w:t>)</w:t>
      </w:r>
    </w:p>
    <w:p w14:paraId="0D042A42" w14:textId="041456DF" w:rsidR="00EC3926" w:rsidRPr="00C62C6E" w:rsidRDefault="00F05AD1" w:rsidP="00246724">
      <w:pPr>
        <w:ind w:left="2268" w:right="2177" w:hanging="850"/>
        <w:jc w:val="left"/>
        <w:rPr>
          <w:b/>
          <w:sz w:val="16"/>
          <w:szCs w:val="16"/>
          <w:lang w:eastAsia="es-MX"/>
        </w:rPr>
      </w:pPr>
      <w:r>
        <w:rPr>
          <w:noProof/>
        </w:rPr>
        <w:drawing>
          <wp:inline distT="0" distB="0" distL="0" distR="0" wp14:anchorId="1B5559B8" wp14:editId="345F9DDE">
            <wp:extent cx="4138343" cy="5436030"/>
            <wp:effectExtent l="0" t="0" r="0" b="0"/>
            <wp:docPr id="1788956943" name="Gráfico 1">
              <a:extLst xmlns:a="http://schemas.openxmlformats.org/drawingml/2006/main">
                <a:ext uri="{FF2B5EF4-FFF2-40B4-BE49-F238E27FC236}">
                  <a16:creationId xmlns:a16="http://schemas.microsoft.com/office/drawing/2014/main" id="{11B33846-BCE0-6FF9-0CAC-28CA9BBA3C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F8AFC8A" w14:textId="77777777" w:rsidR="00CC186A" w:rsidRDefault="00CC186A" w:rsidP="00CC186A">
      <w:pPr>
        <w:tabs>
          <w:tab w:val="left" w:pos="7655"/>
        </w:tabs>
        <w:ind w:left="2268" w:right="1752" w:hanging="567"/>
        <w:rPr>
          <w:color w:val="4D565E"/>
          <w:sz w:val="16"/>
          <w:szCs w:val="16"/>
          <w:lang w:eastAsia="es-MX"/>
        </w:rPr>
      </w:pPr>
      <w:r w:rsidRPr="00400FDA">
        <w:rPr>
          <w:color w:val="4D565E"/>
          <w:sz w:val="16"/>
          <w:szCs w:val="16"/>
          <w:vertAlign w:val="superscript"/>
          <w:lang w:eastAsia="es-MX"/>
        </w:rPr>
        <w:t>1/</w:t>
      </w:r>
      <w:r>
        <w:rPr>
          <w:color w:val="4D565E"/>
          <w:sz w:val="16"/>
          <w:szCs w:val="16"/>
          <w:lang w:eastAsia="es-MX"/>
        </w:rPr>
        <w:tab/>
      </w:r>
      <w:r w:rsidRPr="00103B2F">
        <w:rPr>
          <w:color w:val="4D565E"/>
          <w:sz w:val="16"/>
          <w:szCs w:val="16"/>
          <w:lang w:eastAsia="es-MX"/>
        </w:rPr>
        <w:t xml:space="preserve">Cifras </w:t>
      </w:r>
      <w:r>
        <w:rPr>
          <w:color w:val="4D565E"/>
          <w:sz w:val="16"/>
          <w:szCs w:val="16"/>
          <w:lang w:eastAsia="es-MX"/>
        </w:rPr>
        <w:t>preliminares.</w:t>
      </w:r>
    </w:p>
    <w:p w14:paraId="65665C1A" w14:textId="3E695D4E" w:rsidR="003823B4" w:rsidRDefault="00CC186A" w:rsidP="00CC186A">
      <w:pPr>
        <w:tabs>
          <w:tab w:val="left" w:pos="7655"/>
        </w:tabs>
        <w:ind w:left="2268" w:right="1752" w:hanging="567"/>
        <w:rPr>
          <w:color w:val="4D565E"/>
          <w:sz w:val="16"/>
          <w:szCs w:val="16"/>
          <w:lang w:val="es-ES" w:eastAsia="es-MX"/>
        </w:rPr>
      </w:pPr>
      <w:r w:rsidRPr="12B4AF78">
        <w:rPr>
          <w:color w:val="4D565E"/>
          <w:sz w:val="16"/>
          <w:szCs w:val="16"/>
          <w:lang w:val="es-ES" w:eastAsia="es-MX"/>
        </w:rPr>
        <w:t>Fuente:</w:t>
      </w:r>
      <w:r>
        <w:tab/>
      </w:r>
      <w:r w:rsidRPr="12B4AF78">
        <w:rPr>
          <w:smallCaps/>
          <w:color w:val="4D565E"/>
          <w:sz w:val="16"/>
          <w:szCs w:val="16"/>
          <w:lang w:val="es-ES" w:eastAsia="es-MX"/>
        </w:rPr>
        <w:t xml:space="preserve">inegi. </w:t>
      </w:r>
      <w:r w:rsidRPr="12B4AF78">
        <w:rPr>
          <w:color w:val="4D565E"/>
          <w:sz w:val="16"/>
          <w:szCs w:val="16"/>
          <w:lang w:val="es-ES" w:eastAsia="es-MX"/>
        </w:rPr>
        <w:t>Indicador Trimestral de la Actividad Económica Estatal</w:t>
      </w:r>
      <w:r w:rsidRPr="12B4AF78">
        <w:rPr>
          <w:smallCaps/>
          <w:color w:val="4D565E"/>
          <w:sz w:val="16"/>
          <w:szCs w:val="16"/>
          <w:lang w:val="es-ES" w:eastAsia="es-MX"/>
        </w:rPr>
        <w:t xml:space="preserve"> (itaee)</w:t>
      </w:r>
      <w:r w:rsidRPr="12B4AF78">
        <w:rPr>
          <w:color w:val="4D565E"/>
          <w:sz w:val="16"/>
          <w:szCs w:val="16"/>
          <w:lang w:val="es-ES" w:eastAsia="es-MX"/>
        </w:rPr>
        <w:t xml:space="preserve">, </w:t>
      </w:r>
      <w:r w:rsidR="009F52CE">
        <w:rPr>
          <w:color w:val="4D565E"/>
          <w:sz w:val="16"/>
          <w:szCs w:val="16"/>
          <w:lang w:val="es-ES" w:eastAsia="es-MX"/>
        </w:rPr>
        <w:t>segundo</w:t>
      </w:r>
      <w:r w:rsidRPr="12B4AF78">
        <w:rPr>
          <w:color w:val="4D565E"/>
          <w:sz w:val="16"/>
          <w:szCs w:val="16"/>
          <w:lang w:val="es-ES" w:eastAsia="es-MX"/>
        </w:rPr>
        <w:t xml:space="preserve"> trimestre de 202</w:t>
      </w:r>
      <w:r>
        <w:rPr>
          <w:color w:val="4D565E"/>
          <w:sz w:val="16"/>
          <w:szCs w:val="16"/>
          <w:lang w:val="es-ES" w:eastAsia="es-MX"/>
        </w:rPr>
        <w:t>6.</w:t>
      </w:r>
      <w:r w:rsidR="003823B4" w:rsidRPr="12B4AF78">
        <w:rPr>
          <w:color w:val="4D565E"/>
          <w:sz w:val="16"/>
          <w:szCs w:val="16"/>
          <w:lang w:val="es-ES" w:eastAsia="es-MX"/>
        </w:rPr>
        <w:br w:type="page"/>
      </w:r>
    </w:p>
    <w:p w14:paraId="43E1F260" w14:textId="77777777" w:rsidR="003823B4" w:rsidRPr="003823B4" w:rsidRDefault="003823B4" w:rsidP="003823B4"/>
    <w:p w14:paraId="0A9D72FD" w14:textId="15AEBBF0" w:rsidR="00DF1A5F" w:rsidRDefault="00A5671A" w:rsidP="00B7203E">
      <w:r w:rsidRPr="00A5671A">
        <w:t>Finalmente, en el segundo trimestre de 2026, debido al aumento de 2.4</w:t>
      </w:r>
      <w:r w:rsidR="00235290">
        <w:t> %</w:t>
      </w:r>
      <w:r w:rsidRPr="00A5671A">
        <w:t xml:space="preserve"> en el total de la actividad económica,</w:t>
      </w:r>
      <w:r w:rsidR="009B2DFA">
        <w:t xml:space="preserve"> </w:t>
      </w:r>
      <w:r w:rsidRPr="00796E8B">
        <w:rPr>
          <w:i/>
          <w:iCs/>
        </w:rPr>
        <w:t>Ciudad de México</w:t>
      </w:r>
      <w:r w:rsidRPr="00A5671A">
        <w:t xml:space="preserve"> se situó en el lugar 15 y contribuyó con </w:t>
      </w:r>
      <w:r w:rsidR="00CF0054">
        <w:br/>
      </w:r>
      <w:r w:rsidRPr="00A5671A">
        <w:t>0.37 puntos porcentuales a la variación nacional (ver gráfica 5).</w:t>
      </w:r>
    </w:p>
    <w:p w14:paraId="00F79A8D" w14:textId="77777777" w:rsidR="00A5671A" w:rsidRDefault="00A5671A" w:rsidP="00B7203E"/>
    <w:p w14:paraId="5267F80F" w14:textId="6018360F" w:rsidR="00252770" w:rsidRPr="00612140" w:rsidRDefault="00DF1A5F" w:rsidP="00DF1A5F">
      <w:pPr>
        <w:ind w:right="23"/>
        <w:jc w:val="center"/>
        <w:rPr>
          <w:bCs/>
          <w:color w:val="003057"/>
          <w:sz w:val="20"/>
          <w:szCs w:val="20"/>
        </w:rPr>
      </w:pPr>
      <w:r w:rsidRPr="00612140">
        <w:rPr>
          <w:bCs/>
          <w:color w:val="003057"/>
          <w:sz w:val="20"/>
          <w:szCs w:val="20"/>
        </w:rPr>
        <w:t>Gráfica 5</w:t>
      </w:r>
    </w:p>
    <w:p w14:paraId="0117FA04" w14:textId="77777777" w:rsidR="00AE08D9" w:rsidRDefault="00BA3E3F" w:rsidP="00DF1A5F">
      <w:pPr>
        <w:ind w:right="23"/>
        <w:jc w:val="center"/>
        <w:rPr>
          <w:b/>
          <w:color w:val="003057"/>
          <w:sz w:val="22"/>
          <w:szCs w:val="22"/>
        </w:rPr>
      </w:pPr>
      <w:r>
        <w:rPr>
          <w:b/>
          <w:color w:val="003057"/>
          <w:sz w:val="22"/>
          <w:szCs w:val="22"/>
        </w:rPr>
        <w:t>Comparativo del</w:t>
      </w:r>
      <w:r w:rsidR="006918A2">
        <w:rPr>
          <w:b/>
          <w:color w:val="003057"/>
          <w:sz w:val="22"/>
          <w:szCs w:val="22"/>
        </w:rPr>
        <w:t xml:space="preserve"> </w:t>
      </w:r>
      <w:r w:rsidR="00252770" w:rsidRPr="003B47B7">
        <w:rPr>
          <w:b/>
          <w:color w:val="003057"/>
          <w:sz w:val="22"/>
          <w:szCs w:val="22"/>
        </w:rPr>
        <w:t>I</w:t>
      </w:r>
      <w:r w:rsidR="00252770">
        <w:rPr>
          <w:b/>
          <w:color w:val="003057"/>
          <w:sz w:val="22"/>
          <w:szCs w:val="22"/>
        </w:rPr>
        <w:t>ndicador</w:t>
      </w:r>
      <w:r w:rsidR="00A540F1">
        <w:rPr>
          <w:b/>
          <w:color w:val="003057"/>
          <w:sz w:val="22"/>
          <w:szCs w:val="22"/>
        </w:rPr>
        <w:t xml:space="preserve"> </w:t>
      </w:r>
      <w:r w:rsidR="00252770">
        <w:rPr>
          <w:b/>
          <w:color w:val="003057"/>
          <w:sz w:val="22"/>
          <w:szCs w:val="22"/>
        </w:rPr>
        <w:t>Trimestral de la Actividad Económica Estatal</w:t>
      </w:r>
      <w:r w:rsidR="009E4A16">
        <w:rPr>
          <w:b/>
          <w:color w:val="003057"/>
          <w:sz w:val="22"/>
          <w:szCs w:val="22"/>
        </w:rPr>
        <w:t xml:space="preserve"> de</w:t>
      </w:r>
    </w:p>
    <w:p w14:paraId="2A48B3BF" w14:textId="6B6CA9EC" w:rsidR="00003D9B" w:rsidRPr="00DF1A5F" w:rsidRDefault="00B82CC0" w:rsidP="00DF1A5F">
      <w:pPr>
        <w:ind w:right="23"/>
        <w:jc w:val="center"/>
        <w:rPr>
          <w:b/>
          <w:color w:val="003057"/>
          <w:sz w:val="22"/>
          <w:szCs w:val="22"/>
        </w:rPr>
      </w:pPr>
      <w:r>
        <w:rPr>
          <w:b/>
          <w:color w:val="003057"/>
          <w:sz w:val="22"/>
          <w:szCs w:val="22"/>
        </w:rPr>
        <w:t>Ciudad de México</w:t>
      </w:r>
      <w:r w:rsidR="00AE08D9">
        <w:rPr>
          <w:b/>
          <w:color w:val="003057"/>
          <w:sz w:val="22"/>
          <w:szCs w:val="22"/>
        </w:rPr>
        <w:t xml:space="preserve"> </w:t>
      </w:r>
      <w:r w:rsidR="009E4A16">
        <w:rPr>
          <w:b/>
          <w:color w:val="003057"/>
          <w:sz w:val="22"/>
          <w:szCs w:val="22"/>
        </w:rPr>
        <w:t>con otras entidades federativas</w:t>
      </w:r>
    </w:p>
    <w:p w14:paraId="1BD574D9" w14:textId="03530D71" w:rsidR="00003D9B" w:rsidRDefault="0036097F" w:rsidP="00003D9B">
      <w:pPr>
        <w:jc w:val="center"/>
        <w:rPr>
          <w:color w:val="000000"/>
          <w:sz w:val="20"/>
          <w:szCs w:val="20"/>
          <w:vertAlign w:val="superscript"/>
          <w:lang w:val="es-MX" w:eastAsia="es-MX"/>
        </w:rPr>
      </w:pPr>
      <w:r>
        <w:rPr>
          <w:bCs/>
          <w:color w:val="27251F"/>
          <w:sz w:val="20"/>
          <w:lang w:eastAsia="es-MX"/>
        </w:rPr>
        <w:t>segundo</w:t>
      </w:r>
      <w:r w:rsidR="00833C67">
        <w:rPr>
          <w:bCs/>
          <w:color w:val="27251F"/>
          <w:sz w:val="20"/>
          <w:lang w:eastAsia="es-MX"/>
        </w:rPr>
        <w:t xml:space="preserve"> </w:t>
      </w:r>
      <w:r w:rsidR="003805E1">
        <w:rPr>
          <w:bCs/>
          <w:color w:val="27251F"/>
          <w:sz w:val="20"/>
          <w:lang w:eastAsia="es-MX"/>
        </w:rPr>
        <w:t>trimestre de 202</w:t>
      </w:r>
      <w:r w:rsidR="00321017">
        <w:rPr>
          <w:bCs/>
          <w:color w:val="27251F"/>
          <w:sz w:val="20"/>
          <w:lang w:eastAsia="es-MX"/>
        </w:rPr>
        <w:t>6</w:t>
      </w:r>
      <w:r w:rsidR="00812EBA" w:rsidRPr="004C6EEB">
        <w:rPr>
          <w:color w:val="000000"/>
          <w:sz w:val="20"/>
          <w:szCs w:val="20"/>
          <w:vertAlign w:val="superscript"/>
          <w:lang w:val="es-MX" w:eastAsia="es-MX"/>
        </w:rPr>
        <w:t>1</w:t>
      </w:r>
      <w:r w:rsidR="00812EBA">
        <w:rPr>
          <w:color w:val="000000"/>
          <w:sz w:val="20"/>
          <w:szCs w:val="20"/>
          <w:vertAlign w:val="superscript"/>
          <w:lang w:val="es-MX" w:eastAsia="es-MX"/>
        </w:rPr>
        <w:t>/</w:t>
      </w:r>
    </w:p>
    <w:tbl>
      <w:tblPr>
        <w:tblW w:w="9781" w:type="dxa"/>
        <w:jc w:val="center"/>
        <w:tblLook w:val="04A0" w:firstRow="1" w:lastRow="0" w:firstColumn="1" w:lastColumn="0" w:noHBand="0" w:noVBand="1"/>
      </w:tblPr>
      <w:tblGrid>
        <w:gridCol w:w="4962"/>
        <w:gridCol w:w="4819"/>
      </w:tblGrid>
      <w:tr w:rsidR="007F4B8D" w:rsidRPr="00C62C6E" w14:paraId="4D1F1F6D" w14:textId="77777777" w:rsidTr="00EE5266">
        <w:trPr>
          <w:jc w:val="center"/>
        </w:trPr>
        <w:tc>
          <w:tcPr>
            <w:tcW w:w="4962" w:type="dxa"/>
          </w:tcPr>
          <w:p w14:paraId="5C3C9672" w14:textId="2A0D5402" w:rsidR="00B7203E" w:rsidRPr="003A1177" w:rsidRDefault="00B7203E" w:rsidP="00201467">
            <w:pPr>
              <w:ind w:left="-504"/>
              <w:jc w:val="center"/>
              <w:rPr>
                <w:bCs/>
                <w:color w:val="27251F"/>
                <w:sz w:val="20"/>
                <w:lang w:eastAsia="es-MX"/>
              </w:rPr>
            </w:pPr>
            <w:r w:rsidRPr="003A1177">
              <w:rPr>
                <w:bCs/>
                <w:color w:val="27251F"/>
                <w:sz w:val="18"/>
                <w:szCs w:val="18"/>
                <w:lang w:eastAsia="es-MX"/>
              </w:rPr>
              <w:t xml:space="preserve">(variación porcentual </w:t>
            </w:r>
            <w:r w:rsidR="00612140">
              <w:rPr>
                <w:bCs/>
                <w:color w:val="27251F"/>
                <w:sz w:val="18"/>
                <w:szCs w:val="18"/>
                <w:lang w:eastAsia="es-MX"/>
              </w:rPr>
              <w:t>anual</w:t>
            </w:r>
            <w:r w:rsidRPr="003A1177">
              <w:rPr>
                <w:bCs/>
                <w:color w:val="27251F"/>
                <w:sz w:val="18"/>
                <w:szCs w:val="18"/>
                <w:lang w:eastAsia="es-MX"/>
              </w:rPr>
              <w:t>)</w:t>
            </w:r>
          </w:p>
        </w:tc>
        <w:tc>
          <w:tcPr>
            <w:tcW w:w="4819" w:type="dxa"/>
            <w:vAlign w:val="center"/>
          </w:tcPr>
          <w:p w14:paraId="2AC47090" w14:textId="05C386E0" w:rsidR="00B7203E" w:rsidRPr="00C62C6E" w:rsidRDefault="00B7203E" w:rsidP="00E22B5D">
            <w:pPr>
              <w:ind w:left="-504" w:right="-247"/>
              <w:jc w:val="center"/>
              <w:rPr>
                <w:sz w:val="18"/>
                <w:szCs w:val="18"/>
                <w:lang w:eastAsia="es-MX"/>
              </w:rPr>
            </w:pPr>
            <w:r w:rsidRPr="003A1177">
              <w:rPr>
                <w:bCs/>
                <w:color w:val="27251F"/>
                <w:sz w:val="18"/>
                <w:szCs w:val="18"/>
                <w:lang w:eastAsia="es-MX"/>
              </w:rPr>
              <w:t xml:space="preserve">(contribución porcentual a la variación </w:t>
            </w:r>
            <w:r w:rsidR="00003D9B" w:rsidRPr="00003D9B">
              <w:rPr>
                <w:bCs/>
                <w:color w:val="27251F"/>
                <w:sz w:val="18"/>
                <w:szCs w:val="18"/>
                <w:lang w:eastAsia="es-MX"/>
              </w:rPr>
              <w:t>nacional</w:t>
            </w:r>
            <w:r w:rsidR="00612140">
              <w:rPr>
                <w:bCs/>
                <w:color w:val="27251F"/>
                <w:sz w:val="18"/>
                <w:szCs w:val="18"/>
                <w:lang w:eastAsia="es-MX"/>
              </w:rPr>
              <w:t xml:space="preserve"> anual</w:t>
            </w:r>
            <w:r w:rsidRPr="003A1177">
              <w:rPr>
                <w:bCs/>
                <w:color w:val="27251F"/>
                <w:sz w:val="18"/>
                <w:szCs w:val="18"/>
                <w:lang w:eastAsia="es-MX"/>
              </w:rPr>
              <w:t>)</w:t>
            </w:r>
          </w:p>
        </w:tc>
      </w:tr>
    </w:tbl>
    <w:tbl>
      <w:tblPr>
        <w:tblStyle w:val="Tablaconcuadrcula"/>
        <w:tblW w:w="9786"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4876"/>
        <w:gridCol w:w="4910"/>
      </w:tblGrid>
      <w:tr w:rsidR="008235E9" w14:paraId="28550591" w14:textId="77777777" w:rsidTr="00CF0054">
        <w:trPr>
          <w:trHeight w:val="8563"/>
        </w:trPr>
        <w:tc>
          <w:tcPr>
            <w:tcW w:w="4876" w:type="dxa"/>
          </w:tcPr>
          <w:p w14:paraId="484B0D40" w14:textId="19FC199B" w:rsidR="00447E54" w:rsidRDefault="00CF0054" w:rsidP="00B7203E">
            <w:pPr>
              <w:jc w:val="center"/>
            </w:pPr>
            <w:r>
              <w:rPr>
                <w:noProof/>
              </w:rPr>
              <w:drawing>
                <wp:inline distT="0" distB="0" distL="0" distR="0" wp14:anchorId="776F1810" wp14:editId="7BFB05F6">
                  <wp:extent cx="2880000" cy="5400000"/>
                  <wp:effectExtent l="0" t="0" r="0" b="0"/>
                  <wp:docPr id="132001179" name="Gráfico 1">
                    <a:extLst xmlns:a="http://schemas.openxmlformats.org/drawingml/2006/main">
                      <a:ext uri="{FF2B5EF4-FFF2-40B4-BE49-F238E27FC236}">
                        <a16:creationId xmlns:a16="http://schemas.microsoft.com/office/drawing/2014/main" id="{00000000-0008-0000-0C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4910" w:type="dxa"/>
          </w:tcPr>
          <w:p w14:paraId="02483CE6" w14:textId="5272EDD9" w:rsidR="00447E54" w:rsidRDefault="00CF0054" w:rsidP="00900054">
            <w:pPr>
              <w:ind w:right="210"/>
              <w:jc w:val="center"/>
            </w:pPr>
            <w:r>
              <w:rPr>
                <w:noProof/>
              </w:rPr>
              <w:drawing>
                <wp:inline distT="0" distB="0" distL="0" distR="0" wp14:anchorId="1E1B8529" wp14:editId="20D03BE1">
                  <wp:extent cx="2880000" cy="5400000"/>
                  <wp:effectExtent l="0" t="0" r="0" b="0"/>
                  <wp:docPr id="1059386016" name="Gráfico 1">
                    <a:extLst xmlns:a="http://schemas.openxmlformats.org/drawingml/2006/main">
                      <a:ext uri="{FF2B5EF4-FFF2-40B4-BE49-F238E27FC236}">
                        <a16:creationId xmlns:a16="http://schemas.microsoft.com/office/drawing/2014/main" id="{00000000-0008-0000-0C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bl>
    <w:p w14:paraId="779A7F9A" w14:textId="3702E979" w:rsidR="000C38E4" w:rsidRPr="00C52B13" w:rsidRDefault="000C38E4" w:rsidP="00612140">
      <w:pPr>
        <w:ind w:left="851" w:hanging="567"/>
        <w:rPr>
          <w:color w:val="4D565E"/>
          <w:sz w:val="16"/>
          <w:szCs w:val="16"/>
          <w:lang w:eastAsia="es-MX"/>
        </w:rPr>
      </w:pPr>
      <w:r w:rsidRPr="0065528B">
        <w:rPr>
          <w:color w:val="4D565E"/>
          <w:sz w:val="16"/>
          <w:szCs w:val="16"/>
          <w:lang w:val="es-ES" w:eastAsia="es-MX"/>
        </w:rPr>
        <w:t>Nota:</w:t>
      </w:r>
      <w:r w:rsidRPr="0065528B">
        <w:rPr>
          <w:color w:val="4D565E"/>
          <w:sz w:val="16"/>
          <w:szCs w:val="16"/>
        </w:rPr>
        <w:tab/>
      </w:r>
      <w:r w:rsidRPr="0065528B">
        <w:rPr>
          <w:color w:val="4D565E"/>
          <w:sz w:val="16"/>
          <w:szCs w:val="16"/>
          <w:lang w:val="es-ES" w:eastAsia="es-MX"/>
        </w:rPr>
        <w:t>La suma de los parciales puede no coincidir con el total debido al redondeo.</w:t>
      </w:r>
    </w:p>
    <w:p w14:paraId="0C9AAB16" w14:textId="7CD0F6D7" w:rsidR="00812EBA" w:rsidRDefault="00B7203E" w:rsidP="00612140">
      <w:pPr>
        <w:ind w:left="851" w:hanging="567"/>
        <w:rPr>
          <w:color w:val="4D565E"/>
          <w:sz w:val="16"/>
          <w:szCs w:val="16"/>
          <w:lang w:eastAsia="es-MX"/>
        </w:rPr>
      </w:pPr>
      <w:r w:rsidRPr="009F6FCF">
        <w:rPr>
          <w:color w:val="4D565E"/>
          <w:sz w:val="16"/>
          <w:szCs w:val="16"/>
          <w:vertAlign w:val="superscript"/>
          <w:lang w:eastAsia="es-MX"/>
        </w:rPr>
        <w:t>1/</w:t>
      </w:r>
      <w:r w:rsidR="001360FB">
        <w:rPr>
          <w:color w:val="4D565E"/>
          <w:sz w:val="16"/>
          <w:szCs w:val="16"/>
          <w:lang w:eastAsia="es-MX"/>
        </w:rPr>
        <w:tab/>
      </w:r>
      <w:r w:rsidR="00812EBA" w:rsidRPr="00103B2F">
        <w:rPr>
          <w:color w:val="4D565E"/>
          <w:sz w:val="16"/>
          <w:szCs w:val="16"/>
          <w:lang w:eastAsia="es-MX"/>
        </w:rPr>
        <w:t xml:space="preserve">Cifras </w:t>
      </w:r>
      <w:r w:rsidR="00812EBA">
        <w:rPr>
          <w:color w:val="4D565E"/>
          <w:sz w:val="16"/>
          <w:szCs w:val="16"/>
          <w:lang w:eastAsia="es-MX"/>
        </w:rPr>
        <w:t>preliminares.</w:t>
      </w:r>
    </w:p>
    <w:p w14:paraId="0D8D9DD0" w14:textId="5E48F3B6" w:rsidR="001D32B9" w:rsidRDefault="00B7203E" w:rsidP="12B4AF78">
      <w:pPr>
        <w:ind w:left="851" w:hanging="567"/>
        <w:rPr>
          <w:color w:val="4D565E"/>
          <w:sz w:val="16"/>
          <w:szCs w:val="16"/>
          <w:lang w:val="es-ES" w:eastAsia="es-MX"/>
        </w:rPr>
      </w:pPr>
      <w:r w:rsidRPr="12B4AF78">
        <w:rPr>
          <w:color w:val="4D565E"/>
          <w:sz w:val="16"/>
          <w:szCs w:val="16"/>
          <w:lang w:val="es-ES" w:eastAsia="es-MX"/>
        </w:rPr>
        <w:t>Fuente:</w:t>
      </w:r>
      <w:r>
        <w:tab/>
      </w:r>
      <w:r w:rsidRPr="12B4AF78">
        <w:rPr>
          <w:smallCaps/>
          <w:color w:val="4D565E"/>
          <w:sz w:val="16"/>
          <w:szCs w:val="16"/>
          <w:lang w:val="es-ES" w:eastAsia="es-MX"/>
        </w:rPr>
        <w:t xml:space="preserve">inegi. </w:t>
      </w:r>
      <w:r w:rsidRPr="12B4AF78">
        <w:rPr>
          <w:color w:val="4D565E"/>
          <w:sz w:val="16"/>
          <w:szCs w:val="16"/>
          <w:lang w:val="es-ES" w:eastAsia="es-MX"/>
        </w:rPr>
        <w:t>Indicador Trimestral de la Actividad Económica Estatal</w:t>
      </w:r>
      <w:r w:rsidRPr="12B4AF78">
        <w:rPr>
          <w:smallCaps/>
          <w:color w:val="4D565E"/>
          <w:sz w:val="16"/>
          <w:szCs w:val="16"/>
          <w:lang w:val="es-ES" w:eastAsia="es-MX"/>
        </w:rPr>
        <w:t xml:space="preserve"> (itaee)</w:t>
      </w:r>
      <w:r w:rsidRPr="12B4AF78">
        <w:rPr>
          <w:color w:val="4D565E"/>
          <w:sz w:val="16"/>
          <w:szCs w:val="16"/>
          <w:lang w:val="es-ES" w:eastAsia="es-MX"/>
        </w:rPr>
        <w:t xml:space="preserve">, </w:t>
      </w:r>
      <w:r w:rsidR="009F52CE">
        <w:rPr>
          <w:color w:val="4D565E"/>
          <w:sz w:val="16"/>
          <w:szCs w:val="16"/>
          <w:lang w:val="es-ES" w:eastAsia="es-MX"/>
        </w:rPr>
        <w:t>segundo</w:t>
      </w:r>
      <w:r w:rsidR="004D2B3F" w:rsidRPr="12B4AF78">
        <w:rPr>
          <w:color w:val="4D565E"/>
          <w:sz w:val="16"/>
          <w:szCs w:val="16"/>
          <w:lang w:val="es-ES" w:eastAsia="es-MX"/>
        </w:rPr>
        <w:t xml:space="preserve"> </w:t>
      </w:r>
      <w:r w:rsidR="00833C67" w:rsidRPr="12B4AF78">
        <w:rPr>
          <w:color w:val="4D565E"/>
          <w:sz w:val="16"/>
          <w:szCs w:val="16"/>
          <w:lang w:val="es-ES" w:eastAsia="es-MX"/>
        </w:rPr>
        <w:t>trimestre</w:t>
      </w:r>
      <w:r w:rsidRPr="12B4AF78">
        <w:rPr>
          <w:color w:val="4D565E"/>
          <w:sz w:val="16"/>
          <w:szCs w:val="16"/>
          <w:lang w:val="es-ES" w:eastAsia="es-MX"/>
        </w:rPr>
        <w:t xml:space="preserve"> de 202</w:t>
      </w:r>
      <w:r w:rsidR="00D253DF">
        <w:rPr>
          <w:color w:val="4D565E"/>
          <w:sz w:val="16"/>
          <w:szCs w:val="16"/>
          <w:lang w:val="es-ES" w:eastAsia="es-MX"/>
        </w:rPr>
        <w:t>6</w:t>
      </w:r>
      <w:r w:rsidRPr="12B4AF78">
        <w:rPr>
          <w:color w:val="4D565E"/>
          <w:sz w:val="16"/>
          <w:szCs w:val="16"/>
          <w:lang w:val="es-ES" w:eastAsia="es-MX"/>
        </w:rPr>
        <w:t>.</w:t>
      </w:r>
      <w:bookmarkEnd w:id="0"/>
    </w:p>
    <w:p w14:paraId="2FBA7B0A" w14:textId="77777777" w:rsidR="001D32B9" w:rsidRDefault="001D32B9">
      <w:pPr>
        <w:jc w:val="left"/>
        <w:rPr>
          <w:color w:val="4D565E"/>
          <w:sz w:val="16"/>
          <w:szCs w:val="16"/>
          <w:lang w:val="es-ES" w:eastAsia="es-MX"/>
        </w:rPr>
      </w:pPr>
      <w:r>
        <w:rPr>
          <w:color w:val="4D565E"/>
          <w:sz w:val="16"/>
          <w:szCs w:val="16"/>
          <w:lang w:val="es-ES" w:eastAsia="es-MX"/>
        </w:rPr>
        <w:br w:type="page"/>
      </w:r>
    </w:p>
    <w:p w14:paraId="200EF405" w14:textId="77777777" w:rsidR="001D32B9" w:rsidRPr="00A330B4" w:rsidRDefault="001D32B9" w:rsidP="00345EE9">
      <w:pPr>
        <w:pStyle w:val="Prrafodelista"/>
        <w:tabs>
          <w:tab w:val="left" w:pos="7939"/>
        </w:tabs>
        <w:ind w:left="0" w:right="51"/>
        <w:jc w:val="center"/>
        <w:rPr>
          <w:rFonts w:ascii="Arial Negrita" w:hAnsi="Arial Negrita"/>
          <w:b/>
          <w:bCs/>
          <w:smallCaps/>
          <w:sz w:val="26"/>
          <w:szCs w:val="26"/>
          <w:lang w:val="es-ES"/>
        </w:rPr>
      </w:pPr>
      <w:r w:rsidRPr="12B4AF78">
        <w:rPr>
          <w:rFonts w:ascii="Arial Negrita" w:hAnsi="Arial Negrita"/>
          <w:b/>
          <w:bCs/>
          <w:smallCaps/>
          <w:sz w:val="26"/>
          <w:szCs w:val="26"/>
          <w:lang w:val="es-ES"/>
        </w:rPr>
        <w:lastRenderedPageBreak/>
        <w:t xml:space="preserve">ii. </w:t>
      </w:r>
      <w:r>
        <w:rPr>
          <w:rFonts w:ascii="Arial Negrita" w:hAnsi="Arial Negrita"/>
          <w:b/>
          <w:bCs/>
          <w:smallCaps/>
          <w:sz w:val="26"/>
          <w:szCs w:val="26"/>
          <w:lang w:val="es-ES"/>
        </w:rPr>
        <w:t>actividad económica</w:t>
      </w:r>
      <w:r w:rsidRPr="12B4AF78">
        <w:rPr>
          <w:rFonts w:ascii="Arial Negrita" w:hAnsi="Arial Negrita"/>
          <w:b/>
          <w:bCs/>
          <w:smallCaps/>
          <w:sz w:val="26"/>
          <w:szCs w:val="26"/>
          <w:lang w:val="es-ES"/>
        </w:rPr>
        <w:t xml:space="preserve"> regional (centro)</w:t>
      </w:r>
      <w:r w:rsidRPr="12B4AF78">
        <w:rPr>
          <w:rFonts w:ascii="Arial Negrita" w:hAnsi="Arial Negrita"/>
          <w:b/>
          <w:bCs/>
          <w:smallCaps/>
          <w:color w:val="000000"/>
          <w:sz w:val="26"/>
          <w:szCs w:val="26"/>
          <w:vertAlign w:val="superscript"/>
          <w:lang w:val="es-ES"/>
        </w:rPr>
        <w:footnoteReference w:id="2"/>
      </w:r>
    </w:p>
    <w:p w14:paraId="78B41EEF" w14:textId="77777777" w:rsidR="001D32B9" w:rsidRPr="00A330B4" w:rsidRDefault="001D32B9" w:rsidP="001D32B9">
      <w:pPr>
        <w:tabs>
          <w:tab w:val="num" w:pos="1843"/>
          <w:tab w:val="left" w:pos="7939"/>
        </w:tabs>
        <w:ind w:right="51"/>
      </w:pPr>
    </w:p>
    <w:p w14:paraId="31139CBA" w14:textId="70413B6B" w:rsidR="001D32B9" w:rsidRDefault="001D32B9" w:rsidP="001D32B9">
      <w:pPr>
        <w:rPr>
          <w:lang w:val="es-ES"/>
        </w:rPr>
      </w:pPr>
      <w:r w:rsidRPr="00201F6A">
        <w:rPr>
          <w:lang w:val="es-ES"/>
        </w:rPr>
        <w:t xml:space="preserve">Ciudad de México y el estado de México </w:t>
      </w:r>
      <w:r w:rsidRPr="00DB755B">
        <w:rPr>
          <w:lang w:val="es-ES"/>
        </w:rPr>
        <w:t xml:space="preserve">conforman la </w:t>
      </w:r>
      <w:r w:rsidRPr="00A46EBA">
        <w:rPr>
          <w:i/>
          <w:iCs/>
          <w:lang w:val="es-ES"/>
        </w:rPr>
        <w:t>región</w:t>
      </w:r>
      <w:r w:rsidRPr="00DB755B">
        <w:rPr>
          <w:lang w:val="es-ES"/>
        </w:rPr>
        <w:t xml:space="preserve"> </w:t>
      </w:r>
      <w:r w:rsidRPr="00A46EBA">
        <w:rPr>
          <w:i/>
          <w:iCs/>
          <w:lang w:val="es-ES"/>
        </w:rPr>
        <w:t>centro</w:t>
      </w:r>
      <w:r w:rsidRPr="00DB755B">
        <w:rPr>
          <w:lang w:val="es-ES"/>
        </w:rPr>
        <w:t xml:space="preserve"> del país.</w:t>
      </w:r>
      <w:r>
        <w:rPr>
          <w:lang w:val="es-ES"/>
        </w:rPr>
        <w:t xml:space="preserve"> En el segundo trimestre de 2026, la actividad económica en esta región representó 24.9</w:t>
      </w:r>
      <w:r w:rsidR="00235290">
        <w:rPr>
          <w:lang w:val="es-MX"/>
        </w:rPr>
        <w:t> %</w:t>
      </w:r>
      <w:r>
        <w:rPr>
          <w:lang w:val="es-ES"/>
        </w:rPr>
        <w:t xml:space="preserve"> del total del país y sumó 0.71 puntos porcentuales a la variación nacional (ver cuadro 3).</w:t>
      </w:r>
    </w:p>
    <w:p w14:paraId="5870669B" w14:textId="77777777" w:rsidR="001D32B9" w:rsidRDefault="001D32B9" w:rsidP="001D32B9">
      <w:pPr>
        <w:rPr>
          <w:lang w:val="es-ES"/>
        </w:rPr>
      </w:pPr>
    </w:p>
    <w:p w14:paraId="6B1D3CBF" w14:textId="77777777" w:rsidR="001D32B9" w:rsidRPr="00612140" w:rsidRDefault="001D32B9" w:rsidP="001D32B9">
      <w:pPr>
        <w:jc w:val="center"/>
        <w:rPr>
          <w:color w:val="003057"/>
          <w:sz w:val="20"/>
          <w:szCs w:val="20"/>
          <w:lang w:eastAsia="es-MX"/>
        </w:rPr>
      </w:pPr>
      <w:r w:rsidRPr="00612140">
        <w:rPr>
          <w:color w:val="003057"/>
          <w:sz w:val="20"/>
          <w:szCs w:val="20"/>
          <w:lang w:eastAsia="es-MX"/>
        </w:rPr>
        <w:t>Cuadro 3</w:t>
      </w:r>
    </w:p>
    <w:p w14:paraId="5BB04F91" w14:textId="77777777" w:rsidR="001D32B9" w:rsidRPr="00A330B4" w:rsidRDefault="001D32B9" w:rsidP="001D32B9">
      <w:pPr>
        <w:jc w:val="center"/>
        <w:rPr>
          <w:b/>
          <w:bCs/>
          <w:color w:val="003057"/>
          <w:sz w:val="22"/>
          <w:szCs w:val="22"/>
          <w:lang w:eastAsia="es-MX"/>
        </w:rPr>
      </w:pPr>
      <w:r>
        <w:rPr>
          <w:b/>
          <w:bCs/>
          <w:color w:val="003057"/>
          <w:sz w:val="22"/>
          <w:szCs w:val="22"/>
          <w:lang w:eastAsia="es-MX"/>
        </w:rPr>
        <w:t>Participación y contribución a la actividad económica del país, según r</w:t>
      </w:r>
      <w:r w:rsidRPr="00A330B4">
        <w:rPr>
          <w:b/>
          <w:bCs/>
          <w:color w:val="003057"/>
          <w:sz w:val="22"/>
          <w:szCs w:val="22"/>
          <w:lang w:eastAsia="es-MX"/>
        </w:rPr>
        <w:t>egi</w:t>
      </w:r>
      <w:r>
        <w:rPr>
          <w:b/>
          <w:bCs/>
          <w:color w:val="003057"/>
          <w:sz w:val="22"/>
          <w:szCs w:val="22"/>
          <w:lang w:eastAsia="es-MX"/>
        </w:rPr>
        <w:t>ón</w:t>
      </w:r>
    </w:p>
    <w:p w14:paraId="15E941F9" w14:textId="77777777" w:rsidR="001D32B9" w:rsidRPr="00A330B4" w:rsidRDefault="001D32B9" w:rsidP="001D32B9">
      <w:pPr>
        <w:jc w:val="center"/>
        <w:rPr>
          <w:bCs/>
          <w:color w:val="27251F"/>
          <w:sz w:val="20"/>
          <w:lang w:eastAsia="es-MX"/>
        </w:rPr>
      </w:pPr>
      <w:r>
        <w:rPr>
          <w:bCs/>
          <w:color w:val="27251F"/>
          <w:sz w:val="20"/>
          <w:lang w:eastAsia="es-MX"/>
        </w:rPr>
        <w:t>segundo trimestre de</w:t>
      </w:r>
      <w:r w:rsidRPr="00A330B4">
        <w:rPr>
          <w:bCs/>
          <w:color w:val="27251F"/>
          <w:sz w:val="20"/>
          <w:lang w:eastAsia="es-MX"/>
        </w:rPr>
        <w:t xml:space="preserve"> 202</w:t>
      </w:r>
      <w:r>
        <w:rPr>
          <w:bCs/>
          <w:color w:val="27251F"/>
          <w:sz w:val="20"/>
          <w:lang w:eastAsia="es-MX"/>
        </w:rPr>
        <w:t>6</w:t>
      </w:r>
      <w:r w:rsidRPr="004C6EEB">
        <w:rPr>
          <w:color w:val="000000"/>
          <w:sz w:val="20"/>
          <w:szCs w:val="20"/>
          <w:vertAlign w:val="superscript"/>
          <w:lang w:val="es-MX" w:eastAsia="es-MX"/>
        </w:rPr>
        <w:t>1</w:t>
      </w:r>
      <w:r>
        <w:rPr>
          <w:color w:val="000000"/>
          <w:sz w:val="20"/>
          <w:szCs w:val="20"/>
          <w:vertAlign w:val="superscript"/>
          <w:lang w:val="es-MX" w:eastAsia="es-MX"/>
        </w:rPr>
        <w:t>/</w:t>
      </w:r>
    </w:p>
    <w:p w14:paraId="3094AE32" w14:textId="77777777" w:rsidR="001D32B9" w:rsidRPr="00A330B4" w:rsidRDefault="001D32B9" w:rsidP="001D32B9">
      <w:pPr>
        <w:jc w:val="center"/>
        <w:rPr>
          <w:bCs/>
          <w:color w:val="27251F"/>
          <w:sz w:val="18"/>
          <w:szCs w:val="18"/>
          <w:lang w:eastAsia="es-MX"/>
        </w:rPr>
      </w:pPr>
      <w:r w:rsidRPr="00A330B4">
        <w:rPr>
          <w:bCs/>
          <w:color w:val="27251F"/>
          <w:sz w:val="18"/>
          <w:szCs w:val="18"/>
          <w:lang w:eastAsia="es-MX"/>
        </w:rPr>
        <w:t>(</w:t>
      </w:r>
      <w:r>
        <w:rPr>
          <w:bCs/>
          <w:color w:val="27251F"/>
          <w:sz w:val="18"/>
          <w:szCs w:val="18"/>
          <w:lang w:eastAsia="es-MX"/>
        </w:rPr>
        <w:t>porcentaje</w:t>
      </w:r>
      <w:r w:rsidRPr="00A330B4">
        <w:rPr>
          <w:bCs/>
          <w:color w:val="27251F"/>
          <w:sz w:val="18"/>
          <w:szCs w:val="18"/>
          <w:lang w:eastAsia="es-MX"/>
        </w:rPr>
        <w:t>)</w:t>
      </w:r>
    </w:p>
    <w:tbl>
      <w:tblPr>
        <w:tblW w:w="8212" w:type="dxa"/>
        <w:jc w:val="center"/>
        <w:tblLayout w:type="fixed"/>
        <w:tblCellMar>
          <w:left w:w="70" w:type="dxa"/>
          <w:right w:w="70" w:type="dxa"/>
        </w:tblCellMar>
        <w:tblLook w:val="04A0" w:firstRow="1" w:lastRow="0" w:firstColumn="1" w:lastColumn="0" w:noHBand="0" w:noVBand="1"/>
      </w:tblPr>
      <w:tblGrid>
        <w:gridCol w:w="3534"/>
        <w:gridCol w:w="2215"/>
        <w:gridCol w:w="2463"/>
      </w:tblGrid>
      <w:tr w:rsidR="001D32B9" w:rsidRPr="00480757" w14:paraId="2900C322" w14:textId="77777777" w:rsidTr="000A2C72">
        <w:trPr>
          <w:trHeight w:val="435"/>
          <w:jc w:val="center"/>
        </w:trPr>
        <w:tc>
          <w:tcPr>
            <w:tcW w:w="3534" w:type="dxa"/>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52EB8B9B" w14:textId="77777777" w:rsidR="001D32B9" w:rsidRPr="00A46EBA" w:rsidRDefault="001D32B9" w:rsidP="000A2C72">
            <w:pPr>
              <w:jc w:val="center"/>
              <w:rPr>
                <w:b/>
                <w:bCs/>
                <w:color w:val="000000"/>
                <w:sz w:val="18"/>
                <w:szCs w:val="18"/>
                <w:lang w:val="es-MX" w:eastAsia="es-MX"/>
              </w:rPr>
            </w:pPr>
            <w:r w:rsidRPr="00A46EBA">
              <w:rPr>
                <w:b/>
                <w:bCs/>
                <w:color w:val="000000"/>
                <w:sz w:val="18"/>
                <w:szCs w:val="18"/>
              </w:rPr>
              <w:t>Región</w:t>
            </w:r>
          </w:p>
        </w:tc>
        <w:tc>
          <w:tcPr>
            <w:tcW w:w="2215" w:type="dxa"/>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3157922D" w14:textId="77777777" w:rsidR="001D32B9" w:rsidRPr="00480757" w:rsidRDefault="001D32B9" w:rsidP="000A2C72">
            <w:pPr>
              <w:jc w:val="center"/>
              <w:rPr>
                <w:b/>
                <w:bCs/>
                <w:color w:val="000000"/>
                <w:sz w:val="20"/>
                <w:szCs w:val="20"/>
                <w:lang w:val="es-MX" w:eastAsia="es-MX"/>
              </w:rPr>
            </w:pPr>
            <w:r>
              <w:rPr>
                <w:b/>
                <w:bCs/>
                <w:color w:val="000000"/>
                <w:sz w:val="18"/>
                <w:szCs w:val="18"/>
              </w:rPr>
              <w:t>Participación 2026-II</w:t>
            </w:r>
          </w:p>
        </w:tc>
        <w:tc>
          <w:tcPr>
            <w:tcW w:w="2463" w:type="dxa"/>
            <w:tcBorders>
              <w:top w:val="single" w:sz="8" w:space="0" w:color="FFFFFF"/>
              <w:left w:val="nil"/>
              <w:bottom w:val="single" w:sz="8" w:space="0" w:color="FFFFFF"/>
              <w:right w:val="single" w:sz="8" w:space="0" w:color="FFFFFF"/>
            </w:tcBorders>
            <w:shd w:val="clear" w:color="000000" w:fill="80DDD7"/>
            <w:noWrap/>
            <w:vAlign w:val="center"/>
            <w:hideMark/>
          </w:tcPr>
          <w:p w14:paraId="078F8C29" w14:textId="77777777" w:rsidR="001D32B9" w:rsidRPr="00480757" w:rsidRDefault="001D32B9" w:rsidP="000A2C72">
            <w:pPr>
              <w:jc w:val="center"/>
              <w:rPr>
                <w:b/>
                <w:bCs/>
                <w:color w:val="000000"/>
                <w:sz w:val="20"/>
                <w:szCs w:val="20"/>
                <w:lang w:val="es-MX" w:eastAsia="es-MX"/>
              </w:rPr>
            </w:pPr>
            <w:r>
              <w:rPr>
                <w:b/>
                <w:bCs/>
                <w:color w:val="000000"/>
                <w:sz w:val="18"/>
                <w:szCs w:val="18"/>
              </w:rPr>
              <w:t>Contribución 2026-II</w:t>
            </w:r>
          </w:p>
        </w:tc>
      </w:tr>
      <w:tr w:rsidR="001D32B9" w:rsidRPr="00480757" w14:paraId="1F9F84F3" w14:textId="77777777" w:rsidTr="000A2C72">
        <w:trPr>
          <w:trHeight w:val="315"/>
          <w:jc w:val="center"/>
        </w:trPr>
        <w:tc>
          <w:tcPr>
            <w:tcW w:w="3534" w:type="dxa"/>
            <w:tcBorders>
              <w:top w:val="nil"/>
              <w:left w:val="single" w:sz="8" w:space="0" w:color="FFFFFF"/>
              <w:bottom w:val="single" w:sz="8" w:space="0" w:color="FFFFFF"/>
              <w:right w:val="single" w:sz="8" w:space="0" w:color="FFFFFF"/>
            </w:tcBorders>
            <w:shd w:val="clear" w:color="000000" w:fill="C0C0C0"/>
            <w:noWrap/>
            <w:vAlign w:val="center"/>
            <w:hideMark/>
          </w:tcPr>
          <w:p w14:paraId="1D4AB8B5" w14:textId="77777777" w:rsidR="001D32B9" w:rsidRPr="00A46EBA" w:rsidRDefault="001D32B9" w:rsidP="000A2C72">
            <w:pPr>
              <w:jc w:val="center"/>
              <w:rPr>
                <w:b/>
                <w:bCs/>
                <w:color w:val="000000"/>
                <w:sz w:val="18"/>
                <w:szCs w:val="18"/>
                <w:lang w:val="es-MX" w:eastAsia="es-MX"/>
              </w:rPr>
            </w:pPr>
            <w:r w:rsidRPr="00A46EBA">
              <w:rPr>
                <w:b/>
                <w:bCs/>
                <w:color w:val="000000"/>
                <w:sz w:val="18"/>
                <w:szCs w:val="18"/>
              </w:rPr>
              <w:t>Estados Unidos Mexicanos</w:t>
            </w:r>
          </w:p>
        </w:tc>
        <w:tc>
          <w:tcPr>
            <w:tcW w:w="2215" w:type="dxa"/>
            <w:tcBorders>
              <w:top w:val="single" w:sz="8" w:space="0" w:color="FFFFFF"/>
              <w:left w:val="single" w:sz="8" w:space="0" w:color="FFFFFF"/>
              <w:bottom w:val="single" w:sz="8" w:space="0" w:color="FFFFFF"/>
              <w:right w:val="single" w:sz="8" w:space="0" w:color="FFFFFF"/>
            </w:tcBorders>
            <w:shd w:val="clear" w:color="000000" w:fill="C0C0C0"/>
            <w:vAlign w:val="center"/>
            <w:hideMark/>
          </w:tcPr>
          <w:p w14:paraId="569CCAEC" w14:textId="77777777" w:rsidR="001D32B9" w:rsidRPr="00480757" w:rsidRDefault="001D32B9" w:rsidP="000A2C72">
            <w:pPr>
              <w:jc w:val="center"/>
              <w:rPr>
                <w:b/>
                <w:bCs/>
                <w:color w:val="000000"/>
                <w:sz w:val="20"/>
                <w:szCs w:val="20"/>
                <w:lang w:val="es-MX" w:eastAsia="es-MX"/>
              </w:rPr>
            </w:pPr>
            <w:r>
              <w:rPr>
                <w:b/>
                <w:bCs/>
                <w:color w:val="000000"/>
                <w:sz w:val="18"/>
                <w:szCs w:val="18"/>
              </w:rPr>
              <w:t>100.0</w:t>
            </w:r>
          </w:p>
        </w:tc>
        <w:tc>
          <w:tcPr>
            <w:tcW w:w="2463" w:type="dxa"/>
            <w:tcBorders>
              <w:top w:val="single" w:sz="8" w:space="0" w:color="FFFFFF"/>
              <w:left w:val="nil"/>
              <w:bottom w:val="single" w:sz="8" w:space="0" w:color="FFFFFF"/>
              <w:right w:val="single" w:sz="8" w:space="0" w:color="FFFFFF"/>
            </w:tcBorders>
            <w:shd w:val="clear" w:color="000000" w:fill="C0C0C0"/>
            <w:vAlign w:val="center"/>
            <w:hideMark/>
          </w:tcPr>
          <w:p w14:paraId="5821B166" w14:textId="77777777" w:rsidR="001D32B9" w:rsidRPr="00480757" w:rsidRDefault="001D32B9" w:rsidP="000A2C72">
            <w:pPr>
              <w:ind w:right="88"/>
              <w:jc w:val="center"/>
              <w:rPr>
                <w:b/>
                <w:bCs/>
                <w:color w:val="000000"/>
                <w:sz w:val="20"/>
                <w:szCs w:val="20"/>
                <w:lang w:val="es-MX" w:eastAsia="es-MX"/>
              </w:rPr>
            </w:pPr>
            <w:r>
              <w:rPr>
                <w:b/>
                <w:bCs/>
                <w:color w:val="000000"/>
                <w:sz w:val="18"/>
                <w:szCs w:val="18"/>
              </w:rPr>
              <w:t>2.0</w:t>
            </w:r>
          </w:p>
        </w:tc>
      </w:tr>
      <w:tr w:rsidR="001D32B9" w:rsidRPr="00480757" w14:paraId="45303258" w14:textId="77777777" w:rsidTr="000A2C72">
        <w:trPr>
          <w:trHeight w:val="315"/>
          <w:jc w:val="center"/>
        </w:trPr>
        <w:tc>
          <w:tcPr>
            <w:tcW w:w="3534" w:type="dxa"/>
            <w:tcBorders>
              <w:top w:val="nil"/>
              <w:left w:val="single" w:sz="8" w:space="0" w:color="FFFFFF"/>
              <w:bottom w:val="single" w:sz="8" w:space="0" w:color="FFFFFF"/>
              <w:right w:val="single" w:sz="8" w:space="0" w:color="FFFFFF"/>
            </w:tcBorders>
            <w:noWrap/>
            <w:vAlign w:val="center"/>
            <w:hideMark/>
          </w:tcPr>
          <w:p w14:paraId="45BC3186" w14:textId="77777777" w:rsidR="001D32B9" w:rsidRPr="00BD657E" w:rsidRDefault="001D32B9" w:rsidP="000A2C72">
            <w:pPr>
              <w:jc w:val="left"/>
              <w:rPr>
                <w:color w:val="000000"/>
                <w:sz w:val="18"/>
                <w:szCs w:val="18"/>
                <w:lang w:val="es-MX" w:eastAsia="es-MX"/>
              </w:rPr>
            </w:pPr>
            <w:r>
              <w:rPr>
                <w:color w:val="000000"/>
                <w:sz w:val="18"/>
                <w:szCs w:val="18"/>
              </w:rPr>
              <w:t>N</w:t>
            </w:r>
            <w:r w:rsidRPr="00BD657E">
              <w:rPr>
                <w:color w:val="000000"/>
                <w:sz w:val="18"/>
                <w:szCs w:val="18"/>
              </w:rPr>
              <w:t>orte</w:t>
            </w:r>
          </w:p>
        </w:tc>
        <w:tc>
          <w:tcPr>
            <w:tcW w:w="2215" w:type="dxa"/>
            <w:tcBorders>
              <w:top w:val="nil"/>
              <w:left w:val="single" w:sz="8" w:space="0" w:color="FFFFFF"/>
              <w:bottom w:val="single" w:sz="8" w:space="0" w:color="FFFFFF"/>
              <w:right w:val="single" w:sz="8" w:space="0" w:color="FFFFFF"/>
            </w:tcBorders>
            <w:vAlign w:val="center"/>
            <w:hideMark/>
          </w:tcPr>
          <w:p w14:paraId="5FC4B3F3" w14:textId="77777777" w:rsidR="001D32B9" w:rsidRPr="00BD657E" w:rsidRDefault="001D32B9" w:rsidP="000A2C72">
            <w:pPr>
              <w:jc w:val="center"/>
              <w:rPr>
                <w:color w:val="000000"/>
                <w:sz w:val="18"/>
                <w:szCs w:val="18"/>
                <w:lang w:val="es-MX" w:eastAsia="es-MX"/>
              </w:rPr>
            </w:pPr>
            <w:r>
              <w:rPr>
                <w:color w:val="000000"/>
                <w:sz w:val="18"/>
                <w:szCs w:val="18"/>
              </w:rPr>
              <w:t>28.1</w:t>
            </w:r>
          </w:p>
        </w:tc>
        <w:tc>
          <w:tcPr>
            <w:tcW w:w="2463" w:type="dxa"/>
            <w:tcBorders>
              <w:top w:val="nil"/>
              <w:left w:val="nil"/>
              <w:bottom w:val="single" w:sz="8" w:space="0" w:color="FFFFFF"/>
              <w:right w:val="single" w:sz="8" w:space="0" w:color="FFFFFF"/>
            </w:tcBorders>
            <w:noWrap/>
            <w:vAlign w:val="center"/>
            <w:hideMark/>
          </w:tcPr>
          <w:p w14:paraId="18385C0E" w14:textId="77777777" w:rsidR="001D32B9" w:rsidRPr="00BD657E" w:rsidRDefault="001D32B9" w:rsidP="000A2C72">
            <w:pPr>
              <w:jc w:val="center"/>
              <w:rPr>
                <w:color w:val="000000"/>
                <w:sz w:val="18"/>
                <w:szCs w:val="18"/>
                <w:lang w:val="es-MX" w:eastAsia="es-MX"/>
              </w:rPr>
            </w:pPr>
            <w:r>
              <w:rPr>
                <w:color w:val="000000"/>
                <w:sz w:val="18"/>
                <w:szCs w:val="18"/>
              </w:rPr>
              <w:t>0.48</w:t>
            </w:r>
          </w:p>
        </w:tc>
      </w:tr>
      <w:tr w:rsidR="001D32B9" w:rsidRPr="00480757" w14:paraId="374E98A2" w14:textId="77777777" w:rsidTr="000A2C72">
        <w:trPr>
          <w:trHeight w:val="315"/>
          <w:jc w:val="center"/>
        </w:trPr>
        <w:tc>
          <w:tcPr>
            <w:tcW w:w="3534" w:type="dxa"/>
            <w:tcBorders>
              <w:top w:val="nil"/>
              <w:left w:val="single" w:sz="8" w:space="0" w:color="FFFFFF"/>
              <w:bottom w:val="single" w:sz="8" w:space="0" w:color="FFFFFF"/>
              <w:right w:val="single" w:sz="8" w:space="0" w:color="FFFFFF"/>
            </w:tcBorders>
            <w:shd w:val="clear" w:color="000000" w:fill="F2F2F2"/>
            <w:noWrap/>
            <w:vAlign w:val="center"/>
            <w:hideMark/>
          </w:tcPr>
          <w:p w14:paraId="650828B7" w14:textId="77777777" w:rsidR="001D32B9" w:rsidRPr="00BD657E" w:rsidRDefault="001D32B9" w:rsidP="000A2C72">
            <w:pPr>
              <w:jc w:val="left"/>
              <w:rPr>
                <w:color w:val="000000"/>
                <w:sz w:val="18"/>
                <w:szCs w:val="18"/>
                <w:lang w:val="es-MX" w:eastAsia="es-MX"/>
              </w:rPr>
            </w:pPr>
            <w:r>
              <w:rPr>
                <w:color w:val="000000"/>
                <w:sz w:val="18"/>
                <w:szCs w:val="18"/>
              </w:rPr>
              <w:t>C</w:t>
            </w:r>
            <w:r w:rsidRPr="00BD657E">
              <w:rPr>
                <w:color w:val="000000"/>
                <w:sz w:val="18"/>
                <w:szCs w:val="18"/>
              </w:rPr>
              <w:t>entro-</w:t>
            </w:r>
            <w:r>
              <w:rPr>
                <w:color w:val="000000"/>
                <w:sz w:val="18"/>
                <w:szCs w:val="18"/>
              </w:rPr>
              <w:t>n</w:t>
            </w:r>
            <w:r w:rsidRPr="00BD657E">
              <w:rPr>
                <w:color w:val="000000"/>
                <w:sz w:val="18"/>
                <w:szCs w:val="18"/>
              </w:rPr>
              <w:t>orte</w:t>
            </w:r>
          </w:p>
        </w:tc>
        <w:tc>
          <w:tcPr>
            <w:tcW w:w="2215" w:type="dxa"/>
            <w:tcBorders>
              <w:top w:val="nil"/>
              <w:left w:val="single" w:sz="8" w:space="0" w:color="FFFFFF"/>
              <w:bottom w:val="single" w:sz="8" w:space="0" w:color="FFFFFF"/>
              <w:right w:val="single" w:sz="8" w:space="0" w:color="FFFFFF"/>
            </w:tcBorders>
            <w:shd w:val="clear" w:color="000000" w:fill="F2F2F2"/>
            <w:vAlign w:val="center"/>
            <w:hideMark/>
          </w:tcPr>
          <w:p w14:paraId="050EF104" w14:textId="77777777" w:rsidR="001D32B9" w:rsidRPr="00BD657E" w:rsidRDefault="001D32B9" w:rsidP="000A2C72">
            <w:pPr>
              <w:jc w:val="center"/>
              <w:rPr>
                <w:color w:val="000000"/>
                <w:sz w:val="18"/>
                <w:szCs w:val="18"/>
                <w:lang w:val="es-MX" w:eastAsia="es-MX"/>
              </w:rPr>
            </w:pPr>
            <w:r>
              <w:rPr>
                <w:color w:val="000000"/>
                <w:sz w:val="18"/>
                <w:szCs w:val="18"/>
              </w:rPr>
              <w:t>19.0</w:t>
            </w:r>
          </w:p>
        </w:tc>
        <w:tc>
          <w:tcPr>
            <w:tcW w:w="2463" w:type="dxa"/>
            <w:tcBorders>
              <w:top w:val="nil"/>
              <w:left w:val="nil"/>
              <w:bottom w:val="single" w:sz="8" w:space="0" w:color="FFFFFF"/>
              <w:right w:val="single" w:sz="8" w:space="0" w:color="FFFFFF"/>
            </w:tcBorders>
            <w:shd w:val="clear" w:color="000000" w:fill="F2F2F2"/>
            <w:noWrap/>
            <w:vAlign w:val="center"/>
            <w:hideMark/>
          </w:tcPr>
          <w:p w14:paraId="2940D596" w14:textId="77777777" w:rsidR="001D32B9" w:rsidRPr="00BD657E" w:rsidRDefault="001D32B9" w:rsidP="000A2C72">
            <w:pPr>
              <w:jc w:val="center"/>
              <w:rPr>
                <w:color w:val="000000"/>
                <w:sz w:val="18"/>
                <w:szCs w:val="18"/>
                <w:lang w:val="es-MX" w:eastAsia="es-MX"/>
              </w:rPr>
            </w:pPr>
            <w:r>
              <w:rPr>
                <w:color w:val="000000"/>
                <w:sz w:val="18"/>
                <w:szCs w:val="18"/>
              </w:rPr>
              <w:t>0.29</w:t>
            </w:r>
          </w:p>
        </w:tc>
      </w:tr>
      <w:tr w:rsidR="001D32B9" w:rsidRPr="00480757" w14:paraId="550955C4" w14:textId="77777777" w:rsidTr="000A2C72">
        <w:trPr>
          <w:trHeight w:val="315"/>
          <w:jc w:val="center"/>
        </w:trPr>
        <w:tc>
          <w:tcPr>
            <w:tcW w:w="3534" w:type="dxa"/>
            <w:tcBorders>
              <w:top w:val="nil"/>
              <w:left w:val="single" w:sz="8" w:space="0" w:color="FFFFFF"/>
              <w:bottom w:val="single" w:sz="8" w:space="0" w:color="FFFFFF"/>
              <w:right w:val="single" w:sz="8" w:space="0" w:color="FFFFFF"/>
            </w:tcBorders>
            <w:noWrap/>
            <w:vAlign w:val="center"/>
            <w:hideMark/>
          </w:tcPr>
          <w:p w14:paraId="5D426115" w14:textId="77777777" w:rsidR="001D32B9" w:rsidRPr="00BD657E" w:rsidRDefault="001D32B9" w:rsidP="000A2C72">
            <w:pPr>
              <w:jc w:val="left"/>
              <w:rPr>
                <w:color w:val="000000"/>
                <w:sz w:val="18"/>
                <w:szCs w:val="18"/>
                <w:lang w:val="es-MX" w:eastAsia="es-MX"/>
              </w:rPr>
            </w:pPr>
            <w:r>
              <w:rPr>
                <w:color w:val="000000"/>
                <w:sz w:val="18"/>
                <w:szCs w:val="18"/>
              </w:rPr>
              <w:t>C</w:t>
            </w:r>
            <w:r w:rsidRPr="00BD657E">
              <w:rPr>
                <w:color w:val="000000"/>
                <w:sz w:val="18"/>
                <w:szCs w:val="18"/>
              </w:rPr>
              <w:t>entro</w:t>
            </w:r>
          </w:p>
        </w:tc>
        <w:tc>
          <w:tcPr>
            <w:tcW w:w="2215" w:type="dxa"/>
            <w:tcBorders>
              <w:top w:val="nil"/>
              <w:left w:val="single" w:sz="8" w:space="0" w:color="FFFFFF"/>
              <w:bottom w:val="single" w:sz="8" w:space="0" w:color="FFFFFF"/>
              <w:right w:val="single" w:sz="8" w:space="0" w:color="FFFFFF"/>
            </w:tcBorders>
            <w:vAlign w:val="center"/>
            <w:hideMark/>
          </w:tcPr>
          <w:p w14:paraId="5693417D" w14:textId="77777777" w:rsidR="001D32B9" w:rsidRPr="00BD657E" w:rsidRDefault="001D32B9" w:rsidP="000A2C72">
            <w:pPr>
              <w:jc w:val="center"/>
              <w:rPr>
                <w:color w:val="000000"/>
                <w:sz w:val="18"/>
                <w:szCs w:val="18"/>
                <w:lang w:val="es-MX" w:eastAsia="es-MX"/>
              </w:rPr>
            </w:pPr>
            <w:r>
              <w:rPr>
                <w:color w:val="000000"/>
                <w:sz w:val="18"/>
                <w:szCs w:val="18"/>
              </w:rPr>
              <w:t>24.9</w:t>
            </w:r>
          </w:p>
        </w:tc>
        <w:tc>
          <w:tcPr>
            <w:tcW w:w="2463" w:type="dxa"/>
            <w:tcBorders>
              <w:top w:val="nil"/>
              <w:left w:val="nil"/>
              <w:bottom w:val="single" w:sz="8" w:space="0" w:color="FFFFFF"/>
              <w:right w:val="single" w:sz="8" w:space="0" w:color="FFFFFF"/>
            </w:tcBorders>
            <w:noWrap/>
            <w:vAlign w:val="center"/>
            <w:hideMark/>
          </w:tcPr>
          <w:p w14:paraId="6A443099" w14:textId="77777777" w:rsidR="001D32B9" w:rsidRPr="00BD657E" w:rsidRDefault="001D32B9" w:rsidP="000A2C72">
            <w:pPr>
              <w:jc w:val="center"/>
              <w:rPr>
                <w:color w:val="000000"/>
                <w:sz w:val="18"/>
                <w:szCs w:val="18"/>
                <w:lang w:val="es-MX" w:eastAsia="es-MX"/>
              </w:rPr>
            </w:pPr>
            <w:r>
              <w:rPr>
                <w:color w:val="000000"/>
                <w:sz w:val="18"/>
                <w:szCs w:val="18"/>
              </w:rPr>
              <w:t>0.71</w:t>
            </w:r>
          </w:p>
        </w:tc>
      </w:tr>
      <w:tr w:rsidR="001D32B9" w:rsidRPr="00480757" w14:paraId="021BBA51" w14:textId="77777777" w:rsidTr="000A2C72">
        <w:trPr>
          <w:trHeight w:val="315"/>
          <w:jc w:val="center"/>
        </w:trPr>
        <w:tc>
          <w:tcPr>
            <w:tcW w:w="3534" w:type="dxa"/>
            <w:tcBorders>
              <w:top w:val="nil"/>
              <w:left w:val="single" w:sz="8" w:space="0" w:color="FFFFFF"/>
              <w:bottom w:val="nil"/>
              <w:right w:val="single" w:sz="8" w:space="0" w:color="FFFFFF"/>
            </w:tcBorders>
            <w:shd w:val="clear" w:color="000000" w:fill="F2F2F2"/>
            <w:noWrap/>
            <w:vAlign w:val="center"/>
            <w:hideMark/>
          </w:tcPr>
          <w:p w14:paraId="622C2787" w14:textId="77777777" w:rsidR="001D32B9" w:rsidRPr="00BD657E" w:rsidRDefault="001D32B9" w:rsidP="000A2C72">
            <w:pPr>
              <w:jc w:val="left"/>
              <w:rPr>
                <w:color w:val="000000"/>
                <w:sz w:val="18"/>
                <w:szCs w:val="18"/>
                <w:lang w:val="es-MX" w:eastAsia="es-MX"/>
              </w:rPr>
            </w:pPr>
            <w:r>
              <w:rPr>
                <w:color w:val="000000"/>
                <w:sz w:val="18"/>
                <w:szCs w:val="18"/>
              </w:rPr>
              <w:t>C</w:t>
            </w:r>
            <w:r w:rsidRPr="00BD657E">
              <w:rPr>
                <w:color w:val="000000"/>
                <w:sz w:val="18"/>
                <w:szCs w:val="18"/>
              </w:rPr>
              <w:t>entro-</w:t>
            </w:r>
            <w:r>
              <w:rPr>
                <w:color w:val="000000"/>
                <w:sz w:val="18"/>
                <w:szCs w:val="18"/>
              </w:rPr>
              <w:t>s</w:t>
            </w:r>
            <w:r w:rsidRPr="00BD657E">
              <w:rPr>
                <w:color w:val="000000"/>
                <w:sz w:val="18"/>
                <w:szCs w:val="18"/>
              </w:rPr>
              <w:t>ur</w:t>
            </w:r>
          </w:p>
        </w:tc>
        <w:tc>
          <w:tcPr>
            <w:tcW w:w="2215" w:type="dxa"/>
            <w:tcBorders>
              <w:top w:val="nil"/>
              <w:left w:val="single" w:sz="8" w:space="0" w:color="FFFFFF"/>
              <w:bottom w:val="nil"/>
              <w:right w:val="single" w:sz="8" w:space="0" w:color="FFFFFF"/>
            </w:tcBorders>
            <w:shd w:val="clear" w:color="000000" w:fill="F2F2F2"/>
            <w:vAlign w:val="center"/>
            <w:hideMark/>
          </w:tcPr>
          <w:p w14:paraId="52F55263" w14:textId="77777777" w:rsidR="001D32B9" w:rsidRPr="00BD657E" w:rsidRDefault="001D32B9" w:rsidP="000A2C72">
            <w:pPr>
              <w:jc w:val="center"/>
              <w:rPr>
                <w:color w:val="000000"/>
                <w:sz w:val="18"/>
                <w:szCs w:val="18"/>
                <w:lang w:val="es-MX" w:eastAsia="es-MX"/>
              </w:rPr>
            </w:pPr>
            <w:r>
              <w:rPr>
                <w:color w:val="000000"/>
                <w:sz w:val="18"/>
                <w:szCs w:val="18"/>
              </w:rPr>
              <w:t>13.4</w:t>
            </w:r>
          </w:p>
        </w:tc>
        <w:tc>
          <w:tcPr>
            <w:tcW w:w="2463" w:type="dxa"/>
            <w:tcBorders>
              <w:top w:val="nil"/>
              <w:left w:val="nil"/>
              <w:bottom w:val="nil"/>
              <w:right w:val="single" w:sz="8" w:space="0" w:color="FFFFFF"/>
            </w:tcBorders>
            <w:shd w:val="clear" w:color="000000" w:fill="F2F2F2"/>
            <w:noWrap/>
            <w:vAlign w:val="center"/>
            <w:hideMark/>
          </w:tcPr>
          <w:p w14:paraId="286692D5" w14:textId="77777777" w:rsidR="001D32B9" w:rsidRPr="00BD657E" w:rsidRDefault="001D32B9" w:rsidP="000A2C72">
            <w:pPr>
              <w:jc w:val="center"/>
              <w:rPr>
                <w:color w:val="000000"/>
                <w:sz w:val="18"/>
                <w:szCs w:val="18"/>
                <w:lang w:val="es-MX" w:eastAsia="es-MX"/>
              </w:rPr>
            </w:pPr>
            <w:r>
              <w:rPr>
                <w:color w:val="000000"/>
                <w:sz w:val="18"/>
                <w:szCs w:val="18"/>
              </w:rPr>
              <w:t>0.17</w:t>
            </w:r>
          </w:p>
        </w:tc>
      </w:tr>
      <w:tr w:rsidR="001D32B9" w:rsidRPr="00480757" w14:paraId="1692A3A3" w14:textId="77777777" w:rsidTr="000A2C72">
        <w:trPr>
          <w:trHeight w:val="315"/>
          <w:jc w:val="center"/>
        </w:trPr>
        <w:tc>
          <w:tcPr>
            <w:tcW w:w="3534" w:type="dxa"/>
            <w:tcBorders>
              <w:top w:val="single" w:sz="4" w:space="0" w:color="FFFFFF"/>
              <w:left w:val="nil"/>
              <w:bottom w:val="single" w:sz="8" w:space="0" w:color="C0C0C0"/>
              <w:right w:val="single" w:sz="4" w:space="0" w:color="FFFFFF"/>
            </w:tcBorders>
            <w:noWrap/>
            <w:vAlign w:val="center"/>
            <w:hideMark/>
          </w:tcPr>
          <w:p w14:paraId="7CC76D18" w14:textId="77777777" w:rsidR="001D32B9" w:rsidRPr="00BD657E" w:rsidRDefault="001D32B9" w:rsidP="000A2C72">
            <w:pPr>
              <w:jc w:val="left"/>
              <w:rPr>
                <w:color w:val="000000"/>
                <w:sz w:val="18"/>
                <w:szCs w:val="18"/>
                <w:lang w:val="es-MX" w:eastAsia="es-MX"/>
              </w:rPr>
            </w:pPr>
            <w:r>
              <w:rPr>
                <w:color w:val="000000"/>
                <w:sz w:val="18"/>
                <w:szCs w:val="18"/>
              </w:rPr>
              <w:t>S</w:t>
            </w:r>
            <w:r w:rsidRPr="00BD657E">
              <w:rPr>
                <w:color w:val="000000"/>
                <w:sz w:val="18"/>
                <w:szCs w:val="18"/>
              </w:rPr>
              <w:t>ur-</w:t>
            </w:r>
            <w:r>
              <w:rPr>
                <w:color w:val="000000"/>
                <w:sz w:val="18"/>
                <w:szCs w:val="18"/>
              </w:rPr>
              <w:t>s</w:t>
            </w:r>
            <w:r w:rsidRPr="00BD657E">
              <w:rPr>
                <w:color w:val="000000"/>
                <w:sz w:val="18"/>
                <w:szCs w:val="18"/>
              </w:rPr>
              <w:t>ureste</w:t>
            </w:r>
          </w:p>
        </w:tc>
        <w:tc>
          <w:tcPr>
            <w:tcW w:w="2215" w:type="dxa"/>
            <w:tcBorders>
              <w:top w:val="single" w:sz="4" w:space="0" w:color="FFFFFF"/>
              <w:left w:val="single" w:sz="4" w:space="0" w:color="FFFFFF"/>
              <w:bottom w:val="single" w:sz="8" w:space="0" w:color="C0C0C0"/>
              <w:right w:val="single" w:sz="4" w:space="0" w:color="FFFFFF"/>
            </w:tcBorders>
            <w:vAlign w:val="center"/>
            <w:hideMark/>
          </w:tcPr>
          <w:p w14:paraId="09B1305B" w14:textId="77777777" w:rsidR="001D32B9" w:rsidRPr="00BD657E" w:rsidRDefault="001D32B9" w:rsidP="000A2C72">
            <w:pPr>
              <w:jc w:val="center"/>
              <w:rPr>
                <w:color w:val="000000"/>
                <w:sz w:val="18"/>
                <w:szCs w:val="18"/>
                <w:lang w:val="es-MX" w:eastAsia="es-MX"/>
              </w:rPr>
            </w:pPr>
            <w:r>
              <w:rPr>
                <w:color w:val="000000"/>
                <w:sz w:val="18"/>
                <w:szCs w:val="18"/>
              </w:rPr>
              <w:t>14.6</w:t>
            </w:r>
          </w:p>
        </w:tc>
        <w:tc>
          <w:tcPr>
            <w:tcW w:w="2463" w:type="dxa"/>
            <w:tcBorders>
              <w:top w:val="single" w:sz="4" w:space="0" w:color="FFFFFF"/>
              <w:left w:val="nil"/>
              <w:bottom w:val="single" w:sz="8" w:space="0" w:color="C0C0C0"/>
              <w:right w:val="single" w:sz="4" w:space="0" w:color="FFFFFF"/>
            </w:tcBorders>
            <w:noWrap/>
            <w:vAlign w:val="center"/>
            <w:hideMark/>
          </w:tcPr>
          <w:p w14:paraId="6D98B633" w14:textId="77777777" w:rsidR="001D32B9" w:rsidRPr="00BD657E" w:rsidRDefault="001D32B9" w:rsidP="000A2C72">
            <w:pPr>
              <w:jc w:val="center"/>
              <w:rPr>
                <w:color w:val="000000"/>
                <w:sz w:val="18"/>
                <w:szCs w:val="18"/>
                <w:lang w:val="es-MX" w:eastAsia="es-MX"/>
              </w:rPr>
            </w:pPr>
            <w:r>
              <w:rPr>
                <w:color w:val="000000"/>
                <w:sz w:val="18"/>
                <w:szCs w:val="18"/>
              </w:rPr>
              <w:t>0.39</w:t>
            </w:r>
          </w:p>
        </w:tc>
      </w:tr>
    </w:tbl>
    <w:p w14:paraId="129C6747" w14:textId="77777777" w:rsidR="001D32B9" w:rsidRDefault="001D32B9" w:rsidP="001D32B9">
      <w:pPr>
        <w:ind w:left="1418" w:right="902" w:hanging="567"/>
        <w:rPr>
          <w:color w:val="4D565E"/>
          <w:sz w:val="16"/>
          <w:szCs w:val="16"/>
          <w:vertAlign w:val="superscript"/>
          <w:lang w:eastAsia="es-MX"/>
        </w:rPr>
      </w:pPr>
      <w:r w:rsidRPr="0065528B">
        <w:rPr>
          <w:color w:val="4D565E"/>
          <w:sz w:val="16"/>
          <w:szCs w:val="16"/>
          <w:lang w:val="es-ES" w:eastAsia="es-MX"/>
        </w:rPr>
        <w:t>Nota:</w:t>
      </w:r>
      <w:r w:rsidRPr="0065528B">
        <w:rPr>
          <w:color w:val="4D565E"/>
          <w:sz w:val="16"/>
          <w:szCs w:val="16"/>
        </w:rPr>
        <w:tab/>
      </w:r>
      <w:r w:rsidRPr="0065528B">
        <w:rPr>
          <w:color w:val="4D565E"/>
          <w:sz w:val="16"/>
          <w:szCs w:val="16"/>
          <w:lang w:val="es-ES" w:eastAsia="es-MX"/>
        </w:rPr>
        <w:t>La suma de los parciales puede no coincidir con el total debido al redondeo.</w:t>
      </w:r>
    </w:p>
    <w:p w14:paraId="1532D813" w14:textId="77777777" w:rsidR="001D32B9" w:rsidRDefault="001D32B9" w:rsidP="001D32B9">
      <w:pPr>
        <w:ind w:left="1418" w:right="902" w:hanging="567"/>
        <w:rPr>
          <w:color w:val="4D565E"/>
          <w:sz w:val="16"/>
          <w:szCs w:val="16"/>
          <w:lang w:eastAsia="es-MX"/>
        </w:rPr>
      </w:pPr>
      <w:r w:rsidRPr="009F6FCF">
        <w:rPr>
          <w:color w:val="4D565E"/>
          <w:sz w:val="16"/>
          <w:szCs w:val="16"/>
          <w:vertAlign w:val="superscript"/>
          <w:lang w:eastAsia="es-MX"/>
        </w:rPr>
        <w:t>1/</w:t>
      </w:r>
      <w:r>
        <w:rPr>
          <w:color w:val="4D565E"/>
          <w:sz w:val="16"/>
          <w:szCs w:val="16"/>
          <w:lang w:eastAsia="es-MX"/>
        </w:rPr>
        <w:tab/>
      </w:r>
      <w:r w:rsidRPr="00103B2F">
        <w:rPr>
          <w:color w:val="4D565E"/>
          <w:sz w:val="16"/>
          <w:szCs w:val="16"/>
          <w:lang w:eastAsia="es-MX"/>
        </w:rPr>
        <w:t xml:space="preserve">Cifras </w:t>
      </w:r>
      <w:r>
        <w:rPr>
          <w:color w:val="4D565E"/>
          <w:sz w:val="16"/>
          <w:szCs w:val="16"/>
          <w:lang w:eastAsia="es-MX"/>
        </w:rPr>
        <w:t>preliminares.</w:t>
      </w:r>
    </w:p>
    <w:p w14:paraId="5A981D1A" w14:textId="77777777" w:rsidR="001D32B9" w:rsidRPr="005E581C" w:rsidRDefault="001D32B9" w:rsidP="001D32B9">
      <w:pPr>
        <w:ind w:left="1418" w:right="902" w:hanging="567"/>
        <w:rPr>
          <w:color w:val="4D565E"/>
          <w:sz w:val="16"/>
          <w:szCs w:val="16"/>
          <w:lang w:val="es-ES"/>
        </w:rPr>
      </w:pPr>
      <w:r w:rsidRPr="12B4AF78">
        <w:rPr>
          <w:color w:val="4D565E"/>
          <w:sz w:val="16"/>
          <w:szCs w:val="16"/>
          <w:lang w:val="es-ES"/>
        </w:rPr>
        <w:t>Fuente:</w:t>
      </w:r>
      <w:r>
        <w:tab/>
      </w:r>
      <w:r w:rsidRPr="12B4AF78">
        <w:rPr>
          <w:smallCaps/>
          <w:color w:val="4D565E"/>
          <w:sz w:val="16"/>
          <w:szCs w:val="16"/>
          <w:lang w:val="es-ES" w:eastAsia="es-MX"/>
        </w:rPr>
        <w:t>inegi</w:t>
      </w:r>
      <w:r w:rsidRPr="12B4AF78">
        <w:rPr>
          <w:color w:val="4D565E"/>
          <w:sz w:val="16"/>
          <w:szCs w:val="16"/>
          <w:lang w:val="es-ES"/>
        </w:rPr>
        <w:t>. Indicador Trimestral de la Actividad Económica Estatal (</w:t>
      </w:r>
      <w:r w:rsidRPr="12B4AF78">
        <w:rPr>
          <w:smallCaps/>
          <w:color w:val="4D565E"/>
          <w:sz w:val="16"/>
          <w:szCs w:val="16"/>
          <w:lang w:val="es-ES" w:eastAsia="es-MX"/>
        </w:rPr>
        <w:t>itaee</w:t>
      </w:r>
      <w:r w:rsidRPr="12B4AF78">
        <w:rPr>
          <w:color w:val="4D565E"/>
          <w:sz w:val="16"/>
          <w:szCs w:val="16"/>
          <w:lang w:val="es-ES"/>
        </w:rPr>
        <w:t xml:space="preserve">), </w:t>
      </w:r>
      <w:r>
        <w:rPr>
          <w:color w:val="4D565E"/>
          <w:sz w:val="16"/>
          <w:szCs w:val="16"/>
          <w:lang w:val="es-ES"/>
        </w:rPr>
        <w:t>segundo</w:t>
      </w:r>
      <w:r w:rsidRPr="12B4AF78">
        <w:rPr>
          <w:color w:val="4D565E"/>
          <w:sz w:val="16"/>
          <w:szCs w:val="16"/>
          <w:lang w:val="es-ES"/>
        </w:rPr>
        <w:t xml:space="preserve"> trimestre de 202</w:t>
      </w:r>
      <w:r>
        <w:rPr>
          <w:color w:val="4D565E"/>
          <w:sz w:val="16"/>
          <w:szCs w:val="16"/>
          <w:lang w:val="es-ES"/>
        </w:rPr>
        <w:t>6</w:t>
      </w:r>
      <w:r w:rsidRPr="12B4AF78">
        <w:rPr>
          <w:color w:val="4D565E"/>
          <w:sz w:val="16"/>
          <w:szCs w:val="16"/>
          <w:lang w:val="es-ES"/>
        </w:rPr>
        <w:t>.</w:t>
      </w:r>
    </w:p>
    <w:p w14:paraId="18A1643C" w14:textId="77777777" w:rsidR="001D32B9" w:rsidRPr="008440B0" w:rsidRDefault="001D32B9" w:rsidP="001D32B9">
      <w:pPr>
        <w:rPr>
          <w:sz w:val="16"/>
          <w:szCs w:val="16"/>
          <w:lang w:val="es-ES"/>
        </w:rPr>
      </w:pPr>
    </w:p>
    <w:p w14:paraId="028F19F5" w14:textId="77777777" w:rsidR="001D32B9" w:rsidRPr="00FE168D" w:rsidRDefault="001D32B9" w:rsidP="001D32B9">
      <w:r w:rsidRPr="00D02E1E">
        <w:t>A continuación, se presentan</w:t>
      </w:r>
      <w:r>
        <w:t xml:space="preserve"> gráficas con resultados más detallados de la </w:t>
      </w:r>
      <w:r w:rsidRPr="00FE168D">
        <w:t>región centro:</w:t>
      </w:r>
    </w:p>
    <w:p w14:paraId="46E37C68" w14:textId="77777777" w:rsidR="001D32B9" w:rsidRPr="008440B0" w:rsidRDefault="001D32B9" w:rsidP="001D32B9">
      <w:pPr>
        <w:jc w:val="left"/>
        <w:rPr>
          <w:bCs/>
          <w:sz w:val="16"/>
          <w:szCs w:val="16"/>
          <w:lang w:val="es-ES" w:eastAsia="es-MX"/>
        </w:rPr>
      </w:pPr>
    </w:p>
    <w:p w14:paraId="202888AA" w14:textId="77777777" w:rsidR="001D32B9" w:rsidRPr="00612140" w:rsidRDefault="001D32B9" w:rsidP="001D32B9">
      <w:pPr>
        <w:jc w:val="center"/>
        <w:rPr>
          <w:bCs/>
          <w:color w:val="003057"/>
          <w:sz w:val="20"/>
          <w:szCs w:val="20"/>
          <w:lang w:val="es-ES" w:eastAsia="es-MX"/>
        </w:rPr>
      </w:pPr>
      <w:r w:rsidRPr="00612140">
        <w:rPr>
          <w:bCs/>
          <w:color w:val="003057"/>
          <w:sz w:val="20"/>
          <w:szCs w:val="20"/>
          <w:lang w:val="es-ES" w:eastAsia="es-MX"/>
        </w:rPr>
        <w:t>Gráfica 6</w:t>
      </w:r>
    </w:p>
    <w:p w14:paraId="4E0F94EF" w14:textId="77777777" w:rsidR="001D32B9" w:rsidRPr="00A330B4" w:rsidRDefault="001D32B9" w:rsidP="001D32B9">
      <w:pPr>
        <w:ind w:right="51"/>
        <w:jc w:val="center"/>
        <w:rPr>
          <w:b/>
          <w:color w:val="003057"/>
          <w:sz w:val="22"/>
          <w:szCs w:val="22"/>
          <w:lang w:val="es-ES" w:eastAsia="es-MX"/>
        </w:rPr>
      </w:pPr>
      <w:r>
        <w:rPr>
          <w:b/>
          <w:color w:val="003057"/>
          <w:sz w:val="22"/>
          <w:szCs w:val="22"/>
          <w:lang w:val="es-ES" w:eastAsia="es-MX"/>
        </w:rPr>
        <w:t>Variación anual de la a</w:t>
      </w:r>
      <w:r w:rsidRPr="00A330B4">
        <w:rPr>
          <w:b/>
          <w:color w:val="003057"/>
          <w:sz w:val="22"/>
          <w:szCs w:val="22"/>
          <w:lang w:val="es-ES" w:eastAsia="es-MX"/>
        </w:rPr>
        <w:t>ctividad económica de la región</w:t>
      </w:r>
      <w:r>
        <w:rPr>
          <w:b/>
          <w:color w:val="003057"/>
          <w:sz w:val="22"/>
          <w:szCs w:val="22"/>
          <w:lang w:val="es-ES" w:eastAsia="es-MX"/>
        </w:rPr>
        <w:t xml:space="preserve"> centro</w:t>
      </w:r>
    </w:p>
    <w:p w14:paraId="46D170FC" w14:textId="77777777" w:rsidR="001D32B9" w:rsidRPr="00A330B4" w:rsidRDefault="001D32B9" w:rsidP="001D32B9">
      <w:pPr>
        <w:jc w:val="center"/>
        <w:rPr>
          <w:bCs/>
          <w:color w:val="27251F"/>
          <w:sz w:val="20"/>
          <w:lang w:eastAsia="es-MX"/>
        </w:rPr>
      </w:pPr>
      <w:r>
        <w:rPr>
          <w:bCs/>
          <w:color w:val="27251F"/>
          <w:sz w:val="20"/>
          <w:lang w:eastAsia="es-MX"/>
        </w:rPr>
        <w:t>segundo trimestre de</w:t>
      </w:r>
      <w:r w:rsidRPr="00A330B4">
        <w:rPr>
          <w:bCs/>
          <w:color w:val="27251F"/>
          <w:sz w:val="20"/>
          <w:lang w:eastAsia="es-MX"/>
        </w:rPr>
        <w:t xml:space="preserve"> 202</w:t>
      </w:r>
      <w:r>
        <w:rPr>
          <w:bCs/>
          <w:color w:val="27251F"/>
          <w:sz w:val="20"/>
          <w:lang w:eastAsia="es-MX"/>
        </w:rPr>
        <w:t>6</w:t>
      </w:r>
      <w:r w:rsidRPr="004C6EEB">
        <w:rPr>
          <w:color w:val="000000"/>
          <w:sz w:val="20"/>
          <w:szCs w:val="20"/>
          <w:vertAlign w:val="superscript"/>
          <w:lang w:val="es-MX" w:eastAsia="es-MX"/>
        </w:rPr>
        <w:t>1</w:t>
      </w:r>
      <w:r>
        <w:rPr>
          <w:color w:val="000000"/>
          <w:sz w:val="20"/>
          <w:szCs w:val="20"/>
          <w:vertAlign w:val="superscript"/>
          <w:lang w:val="es-MX" w:eastAsia="es-MX"/>
        </w:rPr>
        <w:t>/</w:t>
      </w:r>
    </w:p>
    <w:p w14:paraId="6BE85D6B" w14:textId="77777777" w:rsidR="001D32B9" w:rsidRPr="00A330B4" w:rsidRDefault="001D32B9" w:rsidP="001D32B9">
      <w:pPr>
        <w:jc w:val="center"/>
        <w:rPr>
          <w:bCs/>
          <w:color w:val="27251F"/>
          <w:sz w:val="18"/>
          <w:szCs w:val="18"/>
          <w:lang w:eastAsia="es-MX"/>
        </w:rPr>
      </w:pPr>
      <w:r w:rsidRPr="00A330B4">
        <w:rPr>
          <w:bCs/>
          <w:color w:val="27251F"/>
          <w:sz w:val="18"/>
          <w:szCs w:val="18"/>
          <w:lang w:eastAsia="es-MX"/>
        </w:rPr>
        <w:t>(porcent</w:t>
      </w:r>
      <w:r>
        <w:rPr>
          <w:bCs/>
          <w:color w:val="27251F"/>
          <w:sz w:val="18"/>
          <w:szCs w:val="18"/>
          <w:lang w:eastAsia="es-MX"/>
        </w:rPr>
        <w:t>aje</w:t>
      </w:r>
      <w:r w:rsidRPr="00A330B4">
        <w:rPr>
          <w:bCs/>
          <w:color w:val="27251F"/>
          <w:sz w:val="18"/>
          <w:szCs w:val="18"/>
          <w:lang w:eastAsia="es-MX"/>
        </w:rPr>
        <w:t>)</w:t>
      </w:r>
    </w:p>
    <w:p w14:paraId="4C54C4F6" w14:textId="77777777" w:rsidR="001D32B9" w:rsidRDefault="001D32B9" w:rsidP="001D32B9">
      <w:pPr>
        <w:jc w:val="center"/>
        <w:rPr>
          <w:sz w:val="16"/>
          <w:szCs w:val="16"/>
          <w:lang w:val="es-ES" w:eastAsia="es-MX"/>
        </w:rPr>
      </w:pPr>
      <w:r>
        <w:rPr>
          <w:noProof/>
        </w:rPr>
        <w:drawing>
          <wp:inline distT="0" distB="0" distL="0" distR="0" wp14:anchorId="76D071E1" wp14:editId="35ADB1AF">
            <wp:extent cx="3100456" cy="2016000"/>
            <wp:effectExtent l="0" t="0" r="5080" b="3810"/>
            <wp:docPr id="1158986503" name="Gráfico 1">
              <a:extLst xmlns:a="http://schemas.openxmlformats.org/drawingml/2006/main">
                <a:ext uri="{FF2B5EF4-FFF2-40B4-BE49-F238E27FC236}">
                  <a16:creationId xmlns:a16="http://schemas.microsoft.com/office/drawing/2014/main" id="{82298A6F-FE70-479A-A565-A9A00221F3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B14EB34" w14:textId="77777777" w:rsidR="001D32B9" w:rsidRDefault="001D32B9" w:rsidP="001D32B9">
      <w:pPr>
        <w:ind w:left="3119" w:right="2603" w:hanging="567"/>
        <w:rPr>
          <w:color w:val="4D565E"/>
          <w:sz w:val="16"/>
          <w:szCs w:val="16"/>
          <w:lang w:eastAsia="es-MX"/>
        </w:rPr>
      </w:pPr>
      <w:r w:rsidRPr="009F6FCF">
        <w:rPr>
          <w:color w:val="4D565E"/>
          <w:sz w:val="16"/>
          <w:szCs w:val="16"/>
          <w:vertAlign w:val="superscript"/>
          <w:lang w:eastAsia="es-MX"/>
        </w:rPr>
        <w:t>1/</w:t>
      </w:r>
      <w:r>
        <w:rPr>
          <w:color w:val="4D565E"/>
          <w:sz w:val="16"/>
          <w:szCs w:val="16"/>
          <w:lang w:eastAsia="es-MX"/>
        </w:rPr>
        <w:tab/>
      </w:r>
      <w:r w:rsidRPr="00103B2F">
        <w:rPr>
          <w:color w:val="4D565E"/>
          <w:sz w:val="16"/>
          <w:szCs w:val="16"/>
          <w:lang w:eastAsia="es-MX"/>
        </w:rPr>
        <w:t xml:space="preserve">Cifras </w:t>
      </w:r>
      <w:r>
        <w:rPr>
          <w:color w:val="4D565E"/>
          <w:sz w:val="16"/>
          <w:szCs w:val="16"/>
          <w:lang w:eastAsia="es-MX"/>
        </w:rPr>
        <w:t>preliminares.</w:t>
      </w:r>
    </w:p>
    <w:p w14:paraId="1C9021EE" w14:textId="77777777" w:rsidR="001D32B9" w:rsidRDefault="001D32B9" w:rsidP="001D32B9">
      <w:pPr>
        <w:ind w:left="3119" w:right="2603" w:hanging="567"/>
        <w:rPr>
          <w:bCs/>
          <w:color w:val="003057"/>
          <w:sz w:val="20"/>
          <w:szCs w:val="20"/>
          <w:lang w:val="es-ES" w:eastAsia="es-MX"/>
        </w:rPr>
      </w:pPr>
      <w:r w:rsidRPr="12B4AF78">
        <w:rPr>
          <w:color w:val="4D565E"/>
          <w:sz w:val="16"/>
          <w:szCs w:val="16"/>
          <w:lang w:val="es-ES" w:eastAsia="es-MX"/>
        </w:rPr>
        <w:t>Fuente:</w:t>
      </w:r>
      <w:r>
        <w:tab/>
      </w:r>
      <w:r w:rsidRPr="12B4AF78">
        <w:rPr>
          <w:smallCaps/>
          <w:color w:val="4D565E"/>
          <w:sz w:val="16"/>
          <w:szCs w:val="16"/>
          <w:lang w:val="es-ES" w:eastAsia="es-MX"/>
        </w:rPr>
        <w:t xml:space="preserve">inegi. </w:t>
      </w:r>
      <w:r w:rsidRPr="12B4AF78">
        <w:rPr>
          <w:color w:val="4D565E"/>
          <w:sz w:val="16"/>
          <w:szCs w:val="16"/>
          <w:lang w:val="es-ES" w:eastAsia="es-MX"/>
        </w:rPr>
        <w:t>Indicador Trimestral de la Actividad Económica Estatal</w:t>
      </w:r>
      <w:r w:rsidRPr="12B4AF78">
        <w:rPr>
          <w:smallCaps/>
          <w:color w:val="4D565E"/>
          <w:sz w:val="16"/>
          <w:szCs w:val="16"/>
          <w:lang w:val="es-ES" w:eastAsia="es-MX"/>
        </w:rPr>
        <w:t xml:space="preserve"> (itaee)</w:t>
      </w:r>
      <w:r w:rsidRPr="12B4AF78">
        <w:rPr>
          <w:color w:val="4D565E"/>
          <w:sz w:val="16"/>
          <w:szCs w:val="16"/>
          <w:lang w:val="es-ES" w:eastAsia="es-MX"/>
        </w:rPr>
        <w:t xml:space="preserve">, </w:t>
      </w:r>
      <w:r>
        <w:rPr>
          <w:color w:val="4D565E"/>
          <w:sz w:val="16"/>
          <w:szCs w:val="16"/>
          <w:lang w:val="es-ES" w:eastAsia="es-MX"/>
        </w:rPr>
        <w:t>segundo</w:t>
      </w:r>
      <w:r w:rsidRPr="12B4AF78">
        <w:rPr>
          <w:color w:val="4D565E"/>
          <w:sz w:val="16"/>
          <w:szCs w:val="16"/>
          <w:lang w:val="es-ES" w:eastAsia="es-MX"/>
        </w:rPr>
        <w:t xml:space="preserve"> trimestre de 202</w:t>
      </w:r>
      <w:r>
        <w:rPr>
          <w:color w:val="4D565E"/>
          <w:sz w:val="16"/>
          <w:szCs w:val="16"/>
          <w:lang w:val="es-ES" w:eastAsia="es-MX"/>
        </w:rPr>
        <w:t>6</w:t>
      </w:r>
      <w:r w:rsidRPr="12B4AF78">
        <w:rPr>
          <w:color w:val="4D565E"/>
          <w:sz w:val="16"/>
          <w:szCs w:val="16"/>
          <w:lang w:val="es-ES" w:eastAsia="es-MX"/>
        </w:rPr>
        <w:t>.</w:t>
      </w:r>
      <w:r>
        <w:rPr>
          <w:bCs/>
          <w:color w:val="003057"/>
          <w:sz w:val="20"/>
          <w:szCs w:val="20"/>
          <w:lang w:val="es-ES" w:eastAsia="es-MX"/>
        </w:rPr>
        <w:br w:type="page"/>
      </w:r>
    </w:p>
    <w:p w14:paraId="60725AA3" w14:textId="77777777" w:rsidR="001D32B9" w:rsidRPr="00EC6B90" w:rsidRDefault="001D32B9" w:rsidP="001D32B9">
      <w:pPr>
        <w:jc w:val="center"/>
        <w:rPr>
          <w:bCs/>
          <w:color w:val="003057"/>
          <w:sz w:val="20"/>
          <w:szCs w:val="20"/>
          <w:lang w:val="es-ES" w:eastAsia="es-MX"/>
        </w:rPr>
      </w:pPr>
      <w:r w:rsidRPr="00EC6B90">
        <w:rPr>
          <w:bCs/>
          <w:color w:val="003057"/>
          <w:sz w:val="20"/>
          <w:szCs w:val="20"/>
          <w:lang w:val="es-ES" w:eastAsia="es-MX"/>
        </w:rPr>
        <w:lastRenderedPageBreak/>
        <w:t>Gráfica 7</w:t>
      </w:r>
    </w:p>
    <w:p w14:paraId="1E0BFB61" w14:textId="42BFA45E" w:rsidR="001D32B9" w:rsidRDefault="001D32B9" w:rsidP="001D32B9">
      <w:pPr>
        <w:ind w:left="680" w:right="51" w:hanging="680"/>
        <w:jc w:val="center"/>
        <w:rPr>
          <w:b/>
          <w:color w:val="003057"/>
          <w:sz w:val="22"/>
          <w:szCs w:val="22"/>
          <w:lang w:val="es-ES" w:eastAsia="es-MX"/>
        </w:rPr>
      </w:pPr>
      <w:r>
        <w:rPr>
          <w:b/>
          <w:color w:val="003057"/>
          <w:sz w:val="22"/>
          <w:szCs w:val="22"/>
          <w:lang w:val="es-ES" w:eastAsia="es-MX"/>
        </w:rPr>
        <w:t>Contribución de Ciudad de México a la variación anual de la a</w:t>
      </w:r>
      <w:r w:rsidRPr="00C37C59">
        <w:rPr>
          <w:b/>
          <w:color w:val="003057"/>
          <w:sz w:val="22"/>
          <w:szCs w:val="22"/>
          <w:lang w:val="es-ES" w:eastAsia="es-MX"/>
        </w:rPr>
        <w:t>ctividad económica</w:t>
      </w:r>
    </w:p>
    <w:p w14:paraId="4CB77BC0" w14:textId="77777777" w:rsidR="001D32B9" w:rsidRDefault="001D32B9" w:rsidP="001D32B9">
      <w:pPr>
        <w:ind w:left="680" w:right="51" w:hanging="680"/>
        <w:jc w:val="center"/>
        <w:rPr>
          <w:b/>
          <w:smallCaps/>
          <w:color w:val="003057"/>
          <w:sz w:val="22"/>
          <w:szCs w:val="22"/>
          <w:lang w:val="es-ES" w:eastAsia="es-MX"/>
        </w:rPr>
      </w:pPr>
      <w:r w:rsidRPr="00C37C59">
        <w:rPr>
          <w:b/>
          <w:color w:val="003057"/>
          <w:sz w:val="22"/>
          <w:szCs w:val="22"/>
          <w:lang w:val="es-ES" w:eastAsia="es-MX"/>
        </w:rPr>
        <w:t xml:space="preserve">de la región </w:t>
      </w:r>
      <w:r>
        <w:rPr>
          <w:b/>
          <w:color w:val="003057"/>
          <w:sz w:val="22"/>
          <w:szCs w:val="22"/>
          <w:lang w:val="es-ES" w:eastAsia="es-MX"/>
        </w:rPr>
        <w:t>centro</w:t>
      </w:r>
    </w:p>
    <w:p w14:paraId="3613417A" w14:textId="77777777" w:rsidR="001D32B9" w:rsidRPr="00C37C59" w:rsidRDefault="001D32B9" w:rsidP="001D32B9">
      <w:pPr>
        <w:ind w:right="51"/>
        <w:jc w:val="center"/>
        <w:rPr>
          <w:bCs/>
          <w:color w:val="27251F"/>
          <w:sz w:val="20"/>
          <w:lang w:eastAsia="es-MX"/>
        </w:rPr>
      </w:pPr>
      <w:r>
        <w:rPr>
          <w:bCs/>
          <w:color w:val="27251F"/>
          <w:sz w:val="20"/>
          <w:lang w:eastAsia="es-MX"/>
        </w:rPr>
        <w:t>segundo trimestre</w:t>
      </w:r>
      <w:r w:rsidRPr="00C37C59">
        <w:rPr>
          <w:bCs/>
          <w:color w:val="27251F"/>
          <w:sz w:val="20"/>
          <w:lang w:eastAsia="es-MX"/>
        </w:rPr>
        <w:t xml:space="preserve"> </w:t>
      </w:r>
      <w:r>
        <w:rPr>
          <w:bCs/>
          <w:color w:val="27251F"/>
          <w:sz w:val="20"/>
          <w:lang w:eastAsia="es-MX"/>
        </w:rPr>
        <w:t xml:space="preserve">de </w:t>
      </w:r>
      <w:r w:rsidRPr="00A330B4">
        <w:rPr>
          <w:bCs/>
          <w:color w:val="27251F"/>
          <w:sz w:val="20"/>
          <w:lang w:eastAsia="es-MX"/>
        </w:rPr>
        <w:t>202</w:t>
      </w:r>
      <w:r>
        <w:rPr>
          <w:bCs/>
          <w:color w:val="27251F"/>
          <w:sz w:val="20"/>
          <w:lang w:eastAsia="es-MX"/>
        </w:rPr>
        <w:t>6</w:t>
      </w:r>
      <w:r>
        <w:rPr>
          <w:color w:val="000000"/>
          <w:sz w:val="20"/>
          <w:szCs w:val="20"/>
          <w:vertAlign w:val="superscript"/>
          <w:lang w:val="es-MX" w:eastAsia="es-MX"/>
        </w:rPr>
        <w:t>1/</w:t>
      </w:r>
    </w:p>
    <w:p w14:paraId="1BC3BF29" w14:textId="77777777" w:rsidR="001D32B9" w:rsidRDefault="001D32B9" w:rsidP="001D32B9">
      <w:pPr>
        <w:jc w:val="center"/>
        <w:rPr>
          <w:bCs/>
          <w:color w:val="27251F"/>
          <w:sz w:val="18"/>
          <w:szCs w:val="18"/>
          <w:lang w:eastAsia="es-MX"/>
        </w:rPr>
      </w:pPr>
      <w:r w:rsidRPr="00C37C59">
        <w:rPr>
          <w:bCs/>
          <w:color w:val="27251F"/>
          <w:sz w:val="18"/>
          <w:szCs w:val="18"/>
          <w:lang w:eastAsia="es-MX"/>
        </w:rPr>
        <w:t>(</w:t>
      </w:r>
      <w:r>
        <w:rPr>
          <w:bCs/>
          <w:color w:val="27251F"/>
          <w:sz w:val="18"/>
          <w:szCs w:val="18"/>
          <w:lang w:eastAsia="es-MX"/>
        </w:rPr>
        <w:t>puntos porcentuales</w:t>
      </w:r>
      <w:r w:rsidRPr="00C37C59">
        <w:rPr>
          <w:bCs/>
          <w:color w:val="27251F"/>
          <w:sz w:val="18"/>
          <w:szCs w:val="18"/>
          <w:lang w:eastAsia="es-MX"/>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7"/>
        <w:gridCol w:w="4987"/>
      </w:tblGrid>
      <w:tr w:rsidR="001D32B9" w14:paraId="4922FF67" w14:textId="77777777" w:rsidTr="000A2C72">
        <w:tc>
          <w:tcPr>
            <w:tcW w:w="4987" w:type="dxa"/>
          </w:tcPr>
          <w:p w14:paraId="3F895991" w14:textId="77777777" w:rsidR="001D32B9" w:rsidRPr="00375E4D" w:rsidRDefault="001D32B9" w:rsidP="000A2C72">
            <w:pPr>
              <w:jc w:val="center"/>
              <w:rPr>
                <w:bCs/>
                <w:color w:val="27251F"/>
                <w:sz w:val="20"/>
                <w:szCs w:val="20"/>
                <w:lang w:eastAsia="es-MX"/>
              </w:rPr>
            </w:pPr>
            <w:r w:rsidRPr="00375E4D">
              <w:rPr>
                <w:bCs/>
                <w:color w:val="4D565E"/>
                <w:sz w:val="20"/>
                <w:szCs w:val="20"/>
                <w:lang w:val="es-ES" w:eastAsia="es-MX"/>
              </w:rPr>
              <w:t>Total</w:t>
            </w:r>
          </w:p>
        </w:tc>
        <w:tc>
          <w:tcPr>
            <w:tcW w:w="4987" w:type="dxa"/>
          </w:tcPr>
          <w:p w14:paraId="133DE911" w14:textId="77777777" w:rsidR="001D32B9" w:rsidRPr="00375E4D" w:rsidRDefault="001D32B9" w:rsidP="000A2C72">
            <w:pPr>
              <w:jc w:val="center"/>
              <w:rPr>
                <w:bCs/>
                <w:color w:val="27251F"/>
                <w:sz w:val="20"/>
                <w:szCs w:val="20"/>
                <w:lang w:eastAsia="es-MX"/>
              </w:rPr>
            </w:pPr>
            <w:r w:rsidRPr="00FB226A">
              <w:rPr>
                <w:bCs/>
                <w:color w:val="4D565E"/>
                <w:sz w:val="20"/>
                <w:szCs w:val="20"/>
                <w:lang w:val="es-ES" w:eastAsia="es-MX"/>
              </w:rPr>
              <w:t>Actividades primarias</w:t>
            </w:r>
          </w:p>
        </w:tc>
      </w:tr>
      <w:tr w:rsidR="001D32B9" w14:paraId="698F033F" w14:textId="77777777" w:rsidTr="000A2C72">
        <w:tblPrEx>
          <w:tblCellMar>
            <w:left w:w="70" w:type="dxa"/>
            <w:right w:w="70" w:type="dxa"/>
          </w:tblCellMar>
        </w:tblPrEx>
        <w:tc>
          <w:tcPr>
            <w:tcW w:w="4987" w:type="dxa"/>
          </w:tcPr>
          <w:p w14:paraId="5EACDE2B" w14:textId="77777777" w:rsidR="001D32B9" w:rsidRDefault="001D32B9" w:rsidP="000A2C72">
            <w:pPr>
              <w:jc w:val="center"/>
              <w:rPr>
                <w:bCs/>
                <w:color w:val="27251F"/>
                <w:sz w:val="18"/>
                <w:szCs w:val="18"/>
                <w:lang w:eastAsia="es-MX"/>
              </w:rPr>
            </w:pPr>
            <w:r>
              <w:rPr>
                <w:noProof/>
              </w:rPr>
              <w:drawing>
                <wp:inline distT="0" distB="0" distL="0" distR="0" wp14:anchorId="6386649B" wp14:editId="35CE8CF0">
                  <wp:extent cx="3096000" cy="2052000"/>
                  <wp:effectExtent l="0" t="0" r="0" b="5715"/>
                  <wp:docPr id="551612696" name="Gráfico 1">
                    <a:extLst xmlns:a="http://schemas.openxmlformats.org/drawingml/2006/main">
                      <a:ext uri="{FF2B5EF4-FFF2-40B4-BE49-F238E27FC236}">
                        <a16:creationId xmlns:a16="http://schemas.microsoft.com/office/drawing/2014/main" id="{0619E1F2-2F21-4B60-9EFC-6FAA8DB4B0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c>
          <w:tcPr>
            <w:tcW w:w="4987" w:type="dxa"/>
          </w:tcPr>
          <w:p w14:paraId="28D409F7" w14:textId="77777777" w:rsidR="001D32B9" w:rsidRPr="00110F21" w:rsidRDefault="001D32B9" w:rsidP="000A2C72">
            <w:pPr>
              <w:jc w:val="center"/>
              <w:rPr>
                <w:bCs/>
                <w:color w:val="4D565E"/>
                <w:sz w:val="18"/>
                <w:szCs w:val="18"/>
                <w:lang w:eastAsia="es-MX"/>
              </w:rPr>
            </w:pPr>
            <w:r>
              <w:rPr>
                <w:noProof/>
              </w:rPr>
              <w:drawing>
                <wp:inline distT="0" distB="0" distL="0" distR="0" wp14:anchorId="5001ABFA" wp14:editId="6B2F7906">
                  <wp:extent cx="3104912" cy="2052000"/>
                  <wp:effectExtent l="0" t="0" r="635" b="5715"/>
                  <wp:docPr id="127824609" name="Gráfico 1">
                    <a:extLst xmlns:a="http://schemas.openxmlformats.org/drawingml/2006/main">
                      <a:ext uri="{FF2B5EF4-FFF2-40B4-BE49-F238E27FC236}">
                        <a16:creationId xmlns:a16="http://schemas.microsoft.com/office/drawing/2014/main" id="{A9E28ECA-B5D0-429E-8863-48294A5AB1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r w:rsidR="001D32B9" w14:paraId="2CB603B2" w14:textId="77777777" w:rsidTr="000A2C72">
        <w:tc>
          <w:tcPr>
            <w:tcW w:w="4987" w:type="dxa"/>
          </w:tcPr>
          <w:p w14:paraId="2E7C82C5" w14:textId="77777777" w:rsidR="001D32B9" w:rsidRPr="00375E4D" w:rsidRDefault="001D32B9" w:rsidP="000A2C72">
            <w:pPr>
              <w:jc w:val="center"/>
              <w:rPr>
                <w:bCs/>
                <w:color w:val="27251F"/>
                <w:sz w:val="20"/>
                <w:szCs w:val="20"/>
                <w:lang w:eastAsia="es-MX"/>
              </w:rPr>
            </w:pPr>
            <w:r w:rsidRPr="00375E4D">
              <w:rPr>
                <w:bCs/>
                <w:color w:val="4D565E"/>
                <w:sz w:val="20"/>
                <w:szCs w:val="20"/>
                <w:lang w:val="es-ES" w:eastAsia="es-MX"/>
              </w:rPr>
              <w:t>Actividades secundarias</w:t>
            </w:r>
          </w:p>
        </w:tc>
        <w:tc>
          <w:tcPr>
            <w:tcW w:w="4987" w:type="dxa"/>
          </w:tcPr>
          <w:p w14:paraId="79B19535" w14:textId="77777777" w:rsidR="001D32B9" w:rsidRPr="00375E4D" w:rsidRDefault="001D32B9" w:rsidP="000A2C72">
            <w:pPr>
              <w:jc w:val="center"/>
              <w:rPr>
                <w:bCs/>
                <w:color w:val="27251F"/>
                <w:sz w:val="20"/>
                <w:szCs w:val="20"/>
                <w:lang w:eastAsia="es-MX"/>
              </w:rPr>
            </w:pPr>
            <w:r w:rsidRPr="00375E4D">
              <w:rPr>
                <w:bCs/>
                <w:color w:val="4D565E"/>
                <w:sz w:val="20"/>
                <w:szCs w:val="20"/>
                <w:lang w:val="es-ES" w:eastAsia="es-MX"/>
              </w:rPr>
              <w:t>Actividades terciarias</w:t>
            </w:r>
          </w:p>
        </w:tc>
      </w:tr>
      <w:tr w:rsidR="001D32B9" w14:paraId="79691BB8" w14:textId="77777777" w:rsidTr="000A2C72">
        <w:tblPrEx>
          <w:tblCellMar>
            <w:left w:w="70" w:type="dxa"/>
            <w:right w:w="70" w:type="dxa"/>
          </w:tblCellMar>
        </w:tblPrEx>
        <w:tc>
          <w:tcPr>
            <w:tcW w:w="4987" w:type="dxa"/>
          </w:tcPr>
          <w:p w14:paraId="5DB89DCD" w14:textId="77777777" w:rsidR="001D32B9" w:rsidRPr="00FB22E6" w:rsidRDefault="001D32B9" w:rsidP="000A2C72">
            <w:pPr>
              <w:jc w:val="center"/>
              <w:rPr>
                <w:bCs/>
                <w:color w:val="27251F"/>
                <w:sz w:val="18"/>
                <w:szCs w:val="18"/>
                <w:lang w:eastAsia="es-MX"/>
              </w:rPr>
            </w:pPr>
            <w:r>
              <w:rPr>
                <w:noProof/>
              </w:rPr>
              <w:drawing>
                <wp:inline distT="0" distB="0" distL="0" distR="0" wp14:anchorId="1742C7E7" wp14:editId="77FBB1F8">
                  <wp:extent cx="3104912" cy="2052000"/>
                  <wp:effectExtent l="0" t="0" r="635" b="5715"/>
                  <wp:docPr id="144410479" name="Gráfico 1">
                    <a:extLst xmlns:a="http://schemas.openxmlformats.org/drawingml/2006/main">
                      <a:ext uri="{FF2B5EF4-FFF2-40B4-BE49-F238E27FC236}">
                        <a16:creationId xmlns:a16="http://schemas.microsoft.com/office/drawing/2014/main" id="{2B44F010-9CFE-4415-84F4-3D3B23DCF1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c>
          <w:tcPr>
            <w:tcW w:w="4987" w:type="dxa"/>
          </w:tcPr>
          <w:p w14:paraId="0E8AAF05" w14:textId="77777777" w:rsidR="001D32B9" w:rsidRDefault="001D32B9" w:rsidP="000A2C72">
            <w:pPr>
              <w:jc w:val="center"/>
              <w:rPr>
                <w:bCs/>
                <w:color w:val="27251F"/>
                <w:sz w:val="18"/>
                <w:szCs w:val="18"/>
                <w:lang w:eastAsia="es-MX"/>
              </w:rPr>
            </w:pPr>
            <w:r>
              <w:rPr>
                <w:noProof/>
              </w:rPr>
              <w:drawing>
                <wp:inline distT="0" distB="0" distL="0" distR="0" wp14:anchorId="0DE77B1F" wp14:editId="046B09D7">
                  <wp:extent cx="3100456" cy="2052000"/>
                  <wp:effectExtent l="0" t="0" r="5080" b="5715"/>
                  <wp:docPr id="849597231" name="Gráfico 1">
                    <a:extLst xmlns:a="http://schemas.openxmlformats.org/drawingml/2006/main">
                      <a:ext uri="{FF2B5EF4-FFF2-40B4-BE49-F238E27FC236}">
                        <a16:creationId xmlns:a16="http://schemas.microsoft.com/office/drawing/2014/main" id="{A4489F6F-1AED-4F0D-97F8-F2A71475A8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bl>
    <w:p w14:paraId="505957EE" w14:textId="77777777" w:rsidR="001D32B9" w:rsidRDefault="001D32B9" w:rsidP="001D32B9">
      <w:pPr>
        <w:ind w:left="709" w:right="1327" w:hanging="567"/>
        <w:rPr>
          <w:color w:val="4D565E"/>
          <w:sz w:val="16"/>
          <w:szCs w:val="16"/>
          <w:vertAlign w:val="superscript"/>
          <w:lang w:eastAsia="es-MX"/>
        </w:rPr>
      </w:pPr>
      <w:r w:rsidRPr="0065528B">
        <w:rPr>
          <w:color w:val="4D565E"/>
          <w:sz w:val="16"/>
          <w:szCs w:val="16"/>
          <w:lang w:val="es-ES" w:eastAsia="es-MX"/>
        </w:rPr>
        <w:t>Nota:</w:t>
      </w:r>
      <w:r w:rsidRPr="0065528B">
        <w:rPr>
          <w:color w:val="4D565E"/>
          <w:sz w:val="16"/>
          <w:szCs w:val="16"/>
        </w:rPr>
        <w:tab/>
      </w:r>
      <w:r w:rsidRPr="0065528B">
        <w:rPr>
          <w:color w:val="4D565E"/>
          <w:sz w:val="16"/>
          <w:szCs w:val="16"/>
          <w:lang w:val="es-ES" w:eastAsia="es-MX"/>
        </w:rPr>
        <w:t>La suma de los parciales puede no coincidir con el total debido al redondeo.</w:t>
      </w:r>
    </w:p>
    <w:p w14:paraId="0E8F297E" w14:textId="77777777" w:rsidR="001D32B9" w:rsidRPr="0028104F" w:rsidRDefault="001D32B9" w:rsidP="001D32B9">
      <w:pPr>
        <w:ind w:left="709" w:right="1327" w:hanging="567"/>
        <w:rPr>
          <w:color w:val="4D565E"/>
          <w:sz w:val="16"/>
          <w:szCs w:val="16"/>
          <w:lang w:eastAsia="es-MX"/>
        </w:rPr>
      </w:pPr>
      <w:r>
        <w:rPr>
          <w:color w:val="4D565E"/>
          <w:sz w:val="16"/>
          <w:szCs w:val="16"/>
          <w:vertAlign w:val="superscript"/>
          <w:lang w:eastAsia="es-MX"/>
        </w:rPr>
        <w:t>1</w:t>
      </w:r>
      <w:r w:rsidRPr="0028104F">
        <w:rPr>
          <w:color w:val="4D565E"/>
          <w:sz w:val="16"/>
          <w:szCs w:val="16"/>
          <w:vertAlign w:val="superscript"/>
          <w:lang w:eastAsia="es-MX"/>
        </w:rPr>
        <w:t>/</w:t>
      </w:r>
      <w:r w:rsidRPr="0028104F">
        <w:rPr>
          <w:color w:val="4D565E"/>
          <w:sz w:val="16"/>
          <w:szCs w:val="16"/>
          <w:lang w:eastAsia="es-MX"/>
        </w:rPr>
        <w:tab/>
      </w:r>
      <w:r w:rsidRPr="00103B2F">
        <w:rPr>
          <w:color w:val="4D565E"/>
          <w:sz w:val="16"/>
          <w:szCs w:val="16"/>
          <w:lang w:eastAsia="es-MX"/>
        </w:rPr>
        <w:t xml:space="preserve">Cifras </w:t>
      </w:r>
      <w:r>
        <w:rPr>
          <w:color w:val="4D565E"/>
          <w:sz w:val="16"/>
          <w:szCs w:val="16"/>
          <w:lang w:eastAsia="es-MX"/>
        </w:rPr>
        <w:t>preliminares.</w:t>
      </w:r>
    </w:p>
    <w:p w14:paraId="25378D0F" w14:textId="77777777" w:rsidR="001D32B9" w:rsidRDefault="001D32B9" w:rsidP="001D32B9">
      <w:pPr>
        <w:ind w:left="709" w:right="1327" w:hanging="567"/>
        <w:rPr>
          <w:color w:val="4D565E"/>
          <w:sz w:val="16"/>
          <w:szCs w:val="16"/>
          <w:lang w:val="es-ES" w:eastAsia="es-MX"/>
        </w:rPr>
      </w:pPr>
      <w:r w:rsidRPr="12B4AF78">
        <w:rPr>
          <w:color w:val="4D565E"/>
          <w:sz w:val="16"/>
          <w:szCs w:val="16"/>
          <w:lang w:val="es-ES" w:eastAsia="es-MX"/>
        </w:rPr>
        <w:t>Fuente:</w:t>
      </w:r>
      <w:r>
        <w:tab/>
      </w:r>
      <w:r w:rsidRPr="12B4AF78">
        <w:rPr>
          <w:smallCaps/>
          <w:color w:val="4D565E"/>
          <w:sz w:val="16"/>
          <w:szCs w:val="16"/>
          <w:lang w:val="es-ES" w:eastAsia="es-MX"/>
        </w:rPr>
        <w:t xml:space="preserve">inegi. </w:t>
      </w:r>
      <w:r w:rsidRPr="12B4AF78">
        <w:rPr>
          <w:color w:val="4D565E"/>
          <w:sz w:val="16"/>
          <w:szCs w:val="16"/>
          <w:lang w:val="es-ES" w:eastAsia="es-MX"/>
        </w:rPr>
        <w:t>Indicador Trimestral de la Actividad Económica Estatal</w:t>
      </w:r>
      <w:r w:rsidRPr="12B4AF78">
        <w:rPr>
          <w:smallCaps/>
          <w:color w:val="4D565E"/>
          <w:sz w:val="16"/>
          <w:szCs w:val="16"/>
          <w:lang w:val="es-ES" w:eastAsia="es-MX"/>
        </w:rPr>
        <w:t xml:space="preserve"> (itaee)</w:t>
      </w:r>
      <w:r w:rsidRPr="12B4AF78">
        <w:rPr>
          <w:color w:val="4D565E"/>
          <w:sz w:val="16"/>
          <w:szCs w:val="16"/>
          <w:lang w:val="es-ES" w:eastAsia="es-MX"/>
        </w:rPr>
        <w:t xml:space="preserve">, </w:t>
      </w:r>
      <w:r>
        <w:rPr>
          <w:color w:val="4D565E"/>
          <w:sz w:val="16"/>
          <w:szCs w:val="16"/>
          <w:lang w:val="es-ES" w:eastAsia="es-MX"/>
        </w:rPr>
        <w:t>segundo</w:t>
      </w:r>
      <w:r w:rsidRPr="12B4AF78">
        <w:rPr>
          <w:color w:val="4D565E"/>
          <w:sz w:val="16"/>
          <w:szCs w:val="16"/>
          <w:lang w:val="es-ES" w:eastAsia="es-MX"/>
        </w:rPr>
        <w:t xml:space="preserve"> trimestre de 202</w:t>
      </w:r>
      <w:r>
        <w:rPr>
          <w:color w:val="4D565E"/>
          <w:sz w:val="16"/>
          <w:szCs w:val="16"/>
          <w:lang w:val="es-ES" w:eastAsia="es-MX"/>
        </w:rPr>
        <w:t>6</w:t>
      </w:r>
      <w:r w:rsidRPr="12B4AF78">
        <w:rPr>
          <w:color w:val="4D565E"/>
          <w:sz w:val="16"/>
          <w:szCs w:val="16"/>
          <w:lang w:val="es-ES" w:eastAsia="es-MX"/>
        </w:rPr>
        <w:t>.</w:t>
      </w:r>
    </w:p>
    <w:p w14:paraId="5F2B3A76" w14:textId="77777777" w:rsidR="001D32B9" w:rsidRDefault="001D32B9" w:rsidP="001D32B9">
      <w:pPr>
        <w:jc w:val="left"/>
        <w:rPr>
          <w:color w:val="4D565E"/>
          <w:sz w:val="16"/>
          <w:szCs w:val="16"/>
          <w:lang w:val="es-ES" w:eastAsia="es-MX"/>
        </w:rPr>
      </w:pPr>
      <w:r>
        <w:rPr>
          <w:color w:val="4D565E"/>
          <w:sz w:val="16"/>
          <w:szCs w:val="16"/>
          <w:lang w:val="es-ES" w:eastAsia="es-MX"/>
        </w:rPr>
        <w:br w:type="page"/>
      </w:r>
    </w:p>
    <w:p w14:paraId="186E9BAF" w14:textId="77777777" w:rsidR="001D32B9" w:rsidRPr="00023A39" w:rsidRDefault="001D32B9" w:rsidP="001D32B9">
      <w:pPr>
        <w:jc w:val="center"/>
        <w:rPr>
          <w:rFonts w:ascii="Arial Negrita" w:hAnsi="Arial Negrita"/>
          <w:b/>
          <w:bCs/>
          <w:smallCaps/>
          <w:sz w:val="26"/>
          <w:szCs w:val="26"/>
          <w:lang w:val="es-ES"/>
        </w:rPr>
      </w:pPr>
      <w:bookmarkStart w:id="3" w:name="_Hlk211427969"/>
      <w:r w:rsidRPr="57E1C837">
        <w:rPr>
          <w:rFonts w:ascii="Arial Negrita" w:hAnsi="Arial Negrita"/>
          <w:b/>
          <w:bCs/>
          <w:smallCaps/>
          <w:sz w:val="26"/>
          <w:szCs w:val="26"/>
          <w:lang w:val="es-ES"/>
        </w:rPr>
        <w:lastRenderedPageBreak/>
        <w:t xml:space="preserve">iii. </w:t>
      </w:r>
      <w:r>
        <w:rPr>
          <w:rFonts w:ascii="Arial Negrita" w:hAnsi="Arial Negrita"/>
          <w:b/>
          <w:bCs/>
          <w:smallCaps/>
          <w:sz w:val="26"/>
          <w:szCs w:val="26"/>
          <w:lang w:val="es-ES"/>
        </w:rPr>
        <w:t xml:space="preserve">actividad </w:t>
      </w:r>
      <w:r w:rsidRPr="57E1C837">
        <w:rPr>
          <w:rFonts w:ascii="Arial Negrita" w:hAnsi="Arial Negrita"/>
          <w:b/>
          <w:bCs/>
          <w:smallCaps/>
          <w:sz w:val="26"/>
          <w:szCs w:val="26"/>
          <w:lang w:val="es-ES"/>
        </w:rPr>
        <w:t>económic</w:t>
      </w:r>
      <w:r>
        <w:rPr>
          <w:rFonts w:ascii="Arial Negrita" w:hAnsi="Arial Negrita"/>
          <w:b/>
          <w:bCs/>
          <w:smallCaps/>
          <w:sz w:val="26"/>
          <w:szCs w:val="26"/>
          <w:lang w:val="es-ES"/>
        </w:rPr>
        <w:t>a</w:t>
      </w:r>
      <w:r w:rsidRPr="57E1C837">
        <w:rPr>
          <w:rFonts w:ascii="Arial Negrita" w:hAnsi="Arial Negrita"/>
          <w:b/>
          <w:bCs/>
          <w:smallCaps/>
          <w:sz w:val="26"/>
          <w:szCs w:val="26"/>
          <w:lang w:val="es-ES"/>
        </w:rPr>
        <w:t xml:space="preserve"> sin minería petrolera</w:t>
      </w:r>
    </w:p>
    <w:p w14:paraId="665741BE" w14:textId="77777777" w:rsidR="001D32B9" w:rsidRPr="0030295A" w:rsidRDefault="001D32B9" w:rsidP="001D32B9">
      <w:pPr>
        <w:ind w:firstLine="1"/>
      </w:pPr>
    </w:p>
    <w:p w14:paraId="3C820691" w14:textId="77777777" w:rsidR="001D32B9" w:rsidRDefault="001D32B9" w:rsidP="001D32B9">
      <w:pPr>
        <w:ind w:firstLine="1"/>
      </w:pPr>
      <w:r>
        <w:t xml:space="preserve">Para tener información en el corto plazo del total de la economía y de las actividades secundarias, sin incluir la minería petrolera </w:t>
      </w:r>
      <w:r w:rsidRPr="00622C8A">
        <w:t>—</w:t>
      </w:r>
      <w:r>
        <w:t>es decir, la extracción y perforación de pozos de petróleo y de gas natural</w:t>
      </w:r>
      <w:r w:rsidRPr="00622C8A">
        <w:t>—</w:t>
      </w:r>
      <w:r>
        <w:t>, se presentan los siguientes datos.</w:t>
      </w:r>
    </w:p>
    <w:p w14:paraId="6342BBC5" w14:textId="77777777" w:rsidR="001D32B9" w:rsidRDefault="001D32B9" w:rsidP="001D32B9">
      <w:pPr>
        <w:ind w:firstLine="1"/>
      </w:pPr>
    </w:p>
    <w:p w14:paraId="122A5F44" w14:textId="4D1177B3" w:rsidR="001D32B9" w:rsidRDefault="001D32B9" w:rsidP="001D32B9">
      <w:pPr>
        <w:ind w:firstLine="1"/>
      </w:pPr>
      <w:bookmarkStart w:id="4" w:name="_Hlk203693829"/>
      <w:r>
        <w:t xml:space="preserve">En el segundo trimestre de 2026, a tasa anual, la variación de la actividad económica nacional, sin considerar la minería petrolera, fue de 1.9 por ciento. </w:t>
      </w:r>
      <w:r w:rsidRPr="00D16F50">
        <w:rPr>
          <w:lang w:val="es-MX"/>
        </w:rPr>
        <w:t xml:space="preserve">En </w:t>
      </w:r>
      <w:r>
        <w:rPr>
          <w:lang w:val="es-MX"/>
        </w:rPr>
        <w:t>24</w:t>
      </w:r>
      <w:r w:rsidRPr="00D16F50">
        <w:rPr>
          <w:lang w:val="es-MX"/>
        </w:rPr>
        <w:t xml:space="preserve"> entidades federativas se </w:t>
      </w:r>
      <w:r w:rsidRPr="00617EEA">
        <w:rPr>
          <w:lang w:val="es-MX"/>
        </w:rPr>
        <w:t>report</w:t>
      </w:r>
      <w:r>
        <w:rPr>
          <w:lang w:val="es-MX"/>
        </w:rPr>
        <w:t>aron</w:t>
      </w:r>
      <w:r w:rsidRPr="00D16F50">
        <w:rPr>
          <w:lang w:val="es-MX"/>
        </w:rPr>
        <w:t xml:space="preserve"> </w:t>
      </w:r>
      <w:r>
        <w:rPr>
          <w:lang w:val="es-MX"/>
        </w:rPr>
        <w:t>crecimientos.</w:t>
      </w:r>
      <w:r w:rsidRPr="00D16F50">
        <w:rPr>
          <w:lang w:val="es-MX"/>
        </w:rPr>
        <w:t xml:space="preserve"> </w:t>
      </w:r>
      <w:r w:rsidRPr="00A46EBA">
        <w:rPr>
          <w:i/>
          <w:iCs/>
        </w:rPr>
        <w:t xml:space="preserve">Hidalgo </w:t>
      </w:r>
      <w:r>
        <w:t xml:space="preserve">fue la entidad con el ascenso más pronunciado. Por su parte, </w:t>
      </w:r>
      <w:r w:rsidRPr="00EC7100">
        <w:rPr>
          <w:i/>
          <w:iCs/>
        </w:rPr>
        <w:t>Ciudad de México</w:t>
      </w:r>
      <w:r>
        <w:t xml:space="preserve"> y el estado de </w:t>
      </w:r>
      <w:r w:rsidRPr="00A46EBA">
        <w:rPr>
          <w:i/>
          <w:iCs/>
        </w:rPr>
        <w:t>México</w:t>
      </w:r>
      <w:r>
        <w:t xml:space="preserve"> fueron las entidades que más contribuyeron al avance de la economía (ver gráfica 8).</w:t>
      </w:r>
    </w:p>
    <w:p w14:paraId="7E95805A" w14:textId="77777777" w:rsidR="001D32B9" w:rsidRPr="00FD26E2" w:rsidRDefault="001D32B9" w:rsidP="001D32B9">
      <w:pPr>
        <w:ind w:firstLine="1"/>
        <w:rPr>
          <w:sz w:val="18"/>
          <w:szCs w:val="18"/>
        </w:rPr>
      </w:pPr>
    </w:p>
    <w:bookmarkEnd w:id="4"/>
    <w:p w14:paraId="4869F5EE" w14:textId="77777777" w:rsidR="001D32B9" w:rsidRPr="00F51799" w:rsidRDefault="001D32B9" w:rsidP="001D32B9">
      <w:pPr>
        <w:jc w:val="center"/>
        <w:rPr>
          <w:bCs/>
          <w:color w:val="003057"/>
          <w:sz w:val="20"/>
          <w:szCs w:val="20"/>
          <w:lang w:val="es-ES" w:eastAsia="es-MX"/>
        </w:rPr>
      </w:pPr>
      <w:r w:rsidRPr="00F51799">
        <w:rPr>
          <w:bCs/>
          <w:color w:val="003057"/>
          <w:sz w:val="20"/>
          <w:szCs w:val="20"/>
          <w:lang w:val="es-ES" w:eastAsia="es-MX"/>
        </w:rPr>
        <w:t>Gráfica 8</w:t>
      </w:r>
    </w:p>
    <w:p w14:paraId="240C8168" w14:textId="77777777" w:rsidR="001D32B9" w:rsidRPr="00C25957" w:rsidRDefault="001D32B9" w:rsidP="001D32B9">
      <w:pPr>
        <w:ind w:right="-91"/>
        <w:jc w:val="center"/>
        <w:rPr>
          <w:b/>
          <w:color w:val="003057"/>
          <w:sz w:val="22"/>
          <w:szCs w:val="22"/>
          <w:lang w:val="es-ES" w:eastAsia="es-MX"/>
        </w:rPr>
      </w:pPr>
      <w:r w:rsidRPr="00C25957">
        <w:rPr>
          <w:b/>
          <w:color w:val="003057"/>
          <w:sz w:val="22"/>
          <w:szCs w:val="22"/>
          <w:lang w:val="es-ES" w:eastAsia="es-MX"/>
        </w:rPr>
        <w:t>Comparación entre entidades federativas</w:t>
      </w:r>
      <w:r>
        <w:rPr>
          <w:b/>
          <w:color w:val="003057"/>
          <w:sz w:val="22"/>
          <w:szCs w:val="22"/>
          <w:lang w:val="es-ES" w:eastAsia="es-MX"/>
        </w:rPr>
        <w:t xml:space="preserve">, según </w:t>
      </w:r>
      <w:r w:rsidRPr="00C25957">
        <w:rPr>
          <w:b/>
          <w:color w:val="003057"/>
          <w:sz w:val="22"/>
          <w:szCs w:val="22"/>
          <w:lang w:val="es-ES" w:eastAsia="es-MX"/>
        </w:rPr>
        <w:t>actividad económica total</w:t>
      </w:r>
      <w:r>
        <w:rPr>
          <w:b/>
          <w:color w:val="003057"/>
          <w:sz w:val="22"/>
          <w:szCs w:val="22"/>
          <w:lang w:val="es-ES" w:eastAsia="es-MX"/>
        </w:rPr>
        <w:t xml:space="preserve"> </w:t>
      </w:r>
      <w:r w:rsidRPr="00C25957">
        <w:rPr>
          <w:b/>
          <w:color w:val="003057"/>
          <w:sz w:val="22"/>
          <w:szCs w:val="22"/>
          <w:lang w:val="es-ES" w:eastAsia="es-MX"/>
        </w:rPr>
        <w:t xml:space="preserve">sin </w:t>
      </w:r>
      <w:r>
        <w:rPr>
          <w:b/>
          <w:color w:val="003057"/>
          <w:sz w:val="22"/>
          <w:szCs w:val="22"/>
          <w:lang w:val="es-ES" w:eastAsia="es-MX"/>
        </w:rPr>
        <w:t>m</w:t>
      </w:r>
      <w:r w:rsidRPr="00C25957">
        <w:rPr>
          <w:b/>
          <w:color w:val="003057"/>
          <w:sz w:val="22"/>
          <w:szCs w:val="22"/>
          <w:lang w:val="es-ES" w:eastAsia="es-MX"/>
        </w:rPr>
        <w:t>inería petrolera</w:t>
      </w:r>
    </w:p>
    <w:p w14:paraId="0ECD335F" w14:textId="77777777" w:rsidR="001D32B9" w:rsidRDefault="001D32B9" w:rsidP="001D32B9">
      <w:pPr>
        <w:jc w:val="center"/>
        <w:rPr>
          <w:bCs/>
          <w:color w:val="27251F"/>
          <w:sz w:val="20"/>
          <w:lang w:eastAsia="es-MX"/>
        </w:rPr>
      </w:pPr>
      <w:r>
        <w:rPr>
          <w:bCs/>
          <w:color w:val="27251F"/>
          <w:sz w:val="20"/>
          <w:lang w:eastAsia="es-MX"/>
        </w:rPr>
        <w:t>segundo trimestre</w:t>
      </w:r>
      <w:r w:rsidRPr="00C25957">
        <w:rPr>
          <w:bCs/>
          <w:color w:val="27251F"/>
          <w:sz w:val="20"/>
          <w:lang w:eastAsia="es-MX"/>
        </w:rPr>
        <w:t xml:space="preserve"> </w:t>
      </w:r>
      <w:r>
        <w:rPr>
          <w:bCs/>
          <w:color w:val="27251F"/>
          <w:sz w:val="20"/>
          <w:lang w:eastAsia="es-MX"/>
        </w:rPr>
        <w:t xml:space="preserve">de </w:t>
      </w:r>
      <w:r w:rsidRPr="00C25957">
        <w:rPr>
          <w:bCs/>
          <w:color w:val="27251F"/>
          <w:sz w:val="20"/>
          <w:lang w:eastAsia="es-MX"/>
        </w:rPr>
        <w:t>202</w:t>
      </w:r>
      <w:r>
        <w:rPr>
          <w:bCs/>
          <w:color w:val="27251F"/>
          <w:sz w:val="20"/>
          <w:lang w:eastAsia="es-MX"/>
        </w:rPr>
        <w:t>6</w:t>
      </w:r>
      <w:r w:rsidRPr="0094053C">
        <w:rPr>
          <w:bCs/>
          <w:color w:val="27251F"/>
          <w:sz w:val="20"/>
          <w:vertAlign w:val="superscript"/>
          <w:lang w:eastAsia="es-MX"/>
        </w:rPr>
        <w:t>1/</w:t>
      </w:r>
    </w:p>
    <w:tbl>
      <w:tblPr>
        <w:tblStyle w:val="Tablaconcuadrcula"/>
        <w:tblW w:w="103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9"/>
        <w:gridCol w:w="184"/>
        <w:gridCol w:w="4993"/>
        <w:gridCol w:w="30"/>
      </w:tblGrid>
      <w:tr w:rsidR="001D32B9" w14:paraId="47A35E60" w14:textId="77777777" w:rsidTr="000A2C72">
        <w:trPr>
          <w:jc w:val="center"/>
        </w:trPr>
        <w:tc>
          <w:tcPr>
            <w:tcW w:w="5313" w:type="dxa"/>
            <w:gridSpan w:val="2"/>
            <w:vAlign w:val="center"/>
          </w:tcPr>
          <w:p w14:paraId="71388D04" w14:textId="77777777" w:rsidR="001D32B9" w:rsidRDefault="001D32B9" w:rsidP="000A2C72">
            <w:pPr>
              <w:jc w:val="center"/>
              <w:rPr>
                <w:bCs/>
                <w:color w:val="27251F"/>
                <w:sz w:val="20"/>
                <w:lang w:eastAsia="es-MX"/>
              </w:rPr>
            </w:pPr>
            <w:r w:rsidRPr="00C25957">
              <w:rPr>
                <w:bCs/>
                <w:color w:val="27251F"/>
                <w:sz w:val="18"/>
                <w:szCs w:val="18"/>
                <w:lang w:eastAsia="es-MX"/>
              </w:rPr>
              <w:t xml:space="preserve">(variación porcentual </w:t>
            </w:r>
            <w:r>
              <w:rPr>
                <w:bCs/>
                <w:color w:val="27251F"/>
                <w:sz w:val="18"/>
                <w:szCs w:val="18"/>
                <w:lang w:eastAsia="es-MX"/>
              </w:rPr>
              <w:t>anual</w:t>
            </w:r>
            <w:r w:rsidRPr="00C25957">
              <w:rPr>
                <w:bCs/>
                <w:color w:val="27251F"/>
                <w:sz w:val="18"/>
                <w:szCs w:val="18"/>
                <w:lang w:eastAsia="es-MX"/>
              </w:rPr>
              <w:t>)</w:t>
            </w:r>
          </w:p>
        </w:tc>
        <w:tc>
          <w:tcPr>
            <w:tcW w:w="5023" w:type="dxa"/>
            <w:gridSpan w:val="2"/>
            <w:vAlign w:val="center"/>
          </w:tcPr>
          <w:p w14:paraId="2186B390" w14:textId="77777777" w:rsidR="001D32B9" w:rsidRDefault="001D32B9" w:rsidP="000A2C72">
            <w:pPr>
              <w:ind w:left="-369"/>
              <w:jc w:val="center"/>
              <w:rPr>
                <w:bCs/>
                <w:color w:val="27251F"/>
                <w:sz w:val="20"/>
                <w:lang w:eastAsia="es-MX"/>
              </w:rPr>
            </w:pPr>
            <w:r w:rsidRPr="00EE23C3">
              <w:rPr>
                <w:bCs/>
                <w:color w:val="27251F"/>
                <w:sz w:val="18"/>
                <w:szCs w:val="18"/>
                <w:lang w:eastAsia="es-MX"/>
              </w:rPr>
              <w:t>(contribución porcentual a la variación nacional</w:t>
            </w:r>
            <w:r>
              <w:rPr>
                <w:bCs/>
                <w:color w:val="27251F"/>
                <w:sz w:val="18"/>
                <w:szCs w:val="18"/>
                <w:lang w:eastAsia="es-MX"/>
              </w:rPr>
              <w:t xml:space="preserve"> anual</w:t>
            </w:r>
            <w:r w:rsidRPr="00EE23C3">
              <w:rPr>
                <w:bCs/>
                <w:color w:val="27251F"/>
                <w:sz w:val="18"/>
                <w:szCs w:val="18"/>
                <w:lang w:eastAsia="es-MX"/>
              </w:rPr>
              <w:t>)</w:t>
            </w:r>
          </w:p>
        </w:tc>
      </w:tr>
      <w:tr w:rsidR="001D32B9" w14:paraId="686ABFB8" w14:textId="77777777" w:rsidTr="000A2C72">
        <w:tblPrEx>
          <w:tblCellMar>
            <w:left w:w="70" w:type="dxa"/>
            <w:right w:w="70" w:type="dxa"/>
          </w:tblCellMar>
        </w:tblPrEx>
        <w:trPr>
          <w:gridAfter w:val="1"/>
          <w:wAfter w:w="30" w:type="dxa"/>
          <w:trHeight w:val="6026"/>
          <w:jc w:val="center"/>
        </w:trPr>
        <w:tc>
          <w:tcPr>
            <w:tcW w:w="5129" w:type="dxa"/>
          </w:tcPr>
          <w:p w14:paraId="61685227" w14:textId="77777777" w:rsidR="001D32B9" w:rsidRPr="006F2F7B" w:rsidRDefault="001D32B9" w:rsidP="000A2C72">
            <w:pPr>
              <w:ind w:right="-91"/>
              <w:jc w:val="left"/>
              <w:rPr>
                <w:color w:val="4D565E"/>
                <w:sz w:val="16"/>
                <w:szCs w:val="16"/>
              </w:rPr>
            </w:pPr>
            <w:r>
              <w:rPr>
                <w:noProof/>
              </w:rPr>
              <w:drawing>
                <wp:inline distT="0" distB="0" distL="0" distR="0" wp14:anchorId="19652BB7" wp14:editId="594ABE35">
                  <wp:extent cx="3168000" cy="4968000"/>
                  <wp:effectExtent l="0" t="0" r="0" b="4445"/>
                  <wp:docPr id="1248140205" name="Gráfico 1">
                    <a:extLst xmlns:a="http://schemas.openxmlformats.org/drawingml/2006/main">
                      <a:ext uri="{FF2B5EF4-FFF2-40B4-BE49-F238E27FC236}">
                        <a16:creationId xmlns:a16="http://schemas.microsoft.com/office/drawing/2014/main" id="{94FB8731-B0E7-4E22-8305-C55C08A145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c>
          <w:tcPr>
            <w:tcW w:w="5177" w:type="dxa"/>
            <w:gridSpan w:val="2"/>
          </w:tcPr>
          <w:p w14:paraId="7A2494BB" w14:textId="77777777" w:rsidR="001D32B9" w:rsidRDefault="001D32B9" w:rsidP="000A2C72">
            <w:pPr>
              <w:ind w:right="-91"/>
              <w:jc w:val="left"/>
              <w:rPr>
                <w:sz w:val="16"/>
                <w:szCs w:val="16"/>
              </w:rPr>
            </w:pPr>
            <w:r>
              <w:rPr>
                <w:noProof/>
              </w:rPr>
              <w:drawing>
                <wp:inline distT="0" distB="0" distL="0" distR="0" wp14:anchorId="236FCFF9" wp14:editId="138A3955">
                  <wp:extent cx="3168000" cy="4968000"/>
                  <wp:effectExtent l="0" t="0" r="0" b="4445"/>
                  <wp:docPr id="128973317" name="Gráfico 1">
                    <a:extLst xmlns:a="http://schemas.openxmlformats.org/drawingml/2006/main">
                      <a:ext uri="{FF2B5EF4-FFF2-40B4-BE49-F238E27FC236}">
                        <a16:creationId xmlns:a16="http://schemas.microsoft.com/office/drawing/2014/main" id="{53E04CF3-E8E8-400F-8317-7CFB3D9695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bl>
    <w:p w14:paraId="6249E45C" w14:textId="77777777" w:rsidR="001D32B9" w:rsidRDefault="001D32B9" w:rsidP="001D32B9">
      <w:pPr>
        <w:ind w:left="426" w:right="1185" w:hanging="568"/>
        <w:rPr>
          <w:color w:val="4D565E"/>
          <w:sz w:val="16"/>
          <w:szCs w:val="16"/>
          <w:vertAlign w:val="superscript"/>
        </w:rPr>
      </w:pPr>
      <w:r w:rsidRPr="0065528B">
        <w:rPr>
          <w:color w:val="4D565E"/>
          <w:sz w:val="16"/>
          <w:szCs w:val="16"/>
          <w:lang w:val="es-ES" w:eastAsia="es-MX"/>
        </w:rPr>
        <w:t>Nota:</w:t>
      </w:r>
      <w:r w:rsidRPr="0065528B">
        <w:rPr>
          <w:color w:val="4D565E"/>
          <w:sz w:val="16"/>
          <w:szCs w:val="16"/>
        </w:rPr>
        <w:tab/>
      </w:r>
      <w:r w:rsidRPr="0065528B">
        <w:rPr>
          <w:color w:val="4D565E"/>
          <w:sz w:val="16"/>
          <w:szCs w:val="16"/>
          <w:lang w:val="es-ES" w:eastAsia="es-MX"/>
        </w:rPr>
        <w:t>La suma de los parciales puede no coincidir con el total debido al redondeo.</w:t>
      </w:r>
    </w:p>
    <w:p w14:paraId="47CA9A8D" w14:textId="77777777" w:rsidR="001D32B9" w:rsidRPr="001B4A6C" w:rsidRDefault="001D32B9" w:rsidP="001D32B9">
      <w:pPr>
        <w:ind w:left="426" w:right="1185" w:hanging="568"/>
        <w:rPr>
          <w:color w:val="4D565E"/>
          <w:sz w:val="16"/>
          <w:szCs w:val="16"/>
        </w:rPr>
      </w:pPr>
      <w:r>
        <w:rPr>
          <w:color w:val="4D565E"/>
          <w:sz w:val="16"/>
          <w:szCs w:val="16"/>
          <w:vertAlign w:val="superscript"/>
        </w:rPr>
        <w:t>1/</w:t>
      </w:r>
      <w:r>
        <w:rPr>
          <w:color w:val="4D565E"/>
          <w:sz w:val="16"/>
          <w:szCs w:val="16"/>
          <w:vertAlign w:val="superscript"/>
        </w:rPr>
        <w:tab/>
      </w:r>
      <w:r w:rsidRPr="001B4A6C">
        <w:rPr>
          <w:color w:val="4D565E"/>
          <w:sz w:val="16"/>
          <w:szCs w:val="16"/>
        </w:rPr>
        <w:t>Cifras preliminares.</w:t>
      </w:r>
    </w:p>
    <w:p w14:paraId="4297FA19" w14:textId="77777777" w:rsidR="001D32B9" w:rsidRPr="009A32BE" w:rsidRDefault="001D32B9" w:rsidP="001D32B9">
      <w:pPr>
        <w:ind w:left="426" w:right="1185" w:hanging="568"/>
        <w:rPr>
          <w:smallCaps/>
          <w:color w:val="4D565E"/>
          <w:sz w:val="16"/>
          <w:szCs w:val="16"/>
          <w:lang w:val="es-ES" w:eastAsia="es-MX"/>
        </w:rPr>
      </w:pPr>
      <w:r w:rsidRPr="12B4AF78">
        <w:rPr>
          <w:color w:val="4D565E"/>
          <w:sz w:val="16"/>
          <w:szCs w:val="16"/>
          <w:lang w:val="es-ES" w:eastAsia="es-MX"/>
        </w:rPr>
        <w:t>Fuente:</w:t>
      </w:r>
      <w:r>
        <w:tab/>
      </w:r>
      <w:r w:rsidRPr="12B4AF78">
        <w:rPr>
          <w:smallCaps/>
          <w:color w:val="4D565E"/>
          <w:sz w:val="16"/>
          <w:szCs w:val="16"/>
          <w:lang w:val="es-ES" w:eastAsia="es-MX"/>
        </w:rPr>
        <w:t xml:space="preserve">inegi. </w:t>
      </w:r>
      <w:r w:rsidRPr="12B4AF78">
        <w:rPr>
          <w:color w:val="4D565E"/>
          <w:sz w:val="16"/>
          <w:szCs w:val="16"/>
          <w:lang w:val="es-ES" w:eastAsia="es-MX"/>
        </w:rPr>
        <w:t>Indicador Trimestral de la Actividad Económica Estatal</w:t>
      </w:r>
      <w:r w:rsidRPr="12B4AF78">
        <w:rPr>
          <w:smallCaps/>
          <w:color w:val="4D565E"/>
          <w:sz w:val="16"/>
          <w:szCs w:val="16"/>
          <w:lang w:val="es-ES" w:eastAsia="es-MX"/>
        </w:rPr>
        <w:t xml:space="preserve"> (itaee)</w:t>
      </w:r>
      <w:r w:rsidRPr="12B4AF78">
        <w:rPr>
          <w:color w:val="4D565E"/>
          <w:sz w:val="16"/>
          <w:szCs w:val="16"/>
          <w:lang w:val="es-ES" w:eastAsia="es-MX"/>
        </w:rPr>
        <w:t xml:space="preserve">, </w:t>
      </w:r>
      <w:r>
        <w:rPr>
          <w:color w:val="4D565E"/>
          <w:sz w:val="16"/>
          <w:szCs w:val="16"/>
          <w:lang w:val="es-ES" w:eastAsia="es-MX"/>
        </w:rPr>
        <w:t>segundo</w:t>
      </w:r>
      <w:r w:rsidRPr="12B4AF78">
        <w:rPr>
          <w:color w:val="4D565E"/>
          <w:sz w:val="16"/>
          <w:szCs w:val="16"/>
          <w:lang w:val="es-ES" w:eastAsia="es-MX"/>
        </w:rPr>
        <w:t xml:space="preserve"> trimestre de 202</w:t>
      </w:r>
      <w:r>
        <w:rPr>
          <w:color w:val="4D565E"/>
          <w:sz w:val="16"/>
          <w:szCs w:val="16"/>
          <w:lang w:val="es-ES" w:eastAsia="es-MX"/>
        </w:rPr>
        <w:t>6</w:t>
      </w:r>
      <w:r w:rsidRPr="12B4AF78">
        <w:rPr>
          <w:color w:val="4D565E"/>
          <w:sz w:val="16"/>
          <w:szCs w:val="16"/>
          <w:lang w:val="es-ES" w:eastAsia="es-MX"/>
        </w:rPr>
        <w:t>.</w:t>
      </w:r>
    </w:p>
    <w:p w14:paraId="5B6279FB" w14:textId="77777777" w:rsidR="001D32B9" w:rsidRDefault="001D32B9" w:rsidP="001D32B9"/>
    <w:p w14:paraId="6BEE7769" w14:textId="628A1EC0" w:rsidR="001D32B9" w:rsidRDefault="001D32B9" w:rsidP="001D32B9">
      <w:r>
        <w:t>En el segundo trimestre de 2026, las actividades secundarias, sin incluir la minería petrolera, mostraron un a</w:t>
      </w:r>
      <w:r w:rsidRPr="00290DCB">
        <w:t xml:space="preserve">scenso </w:t>
      </w:r>
      <w:r>
        <w:t>a tasa anual de 0.7</w:t>
      </w:r>
      <w:r>
        <w:rPr>
          <w:lang w:val="es-MX"/>
        </w:rPr>
        <w:t xml:space="preserve"> por ciento</w:t>
      </w:r>
      <w:r>
        <w:t xml:space="preserve">. En 21 entidades federativas hubo incrementos y en las 11 restantes se registraron retrocesos. Los avances más relevantes se dieron en </w:t>
      </w:r>
      <w:r>
        <w:rPr>
          <w:i/>
          <w:iCs/>
        </w:rPr>
        <w:t>Hidalgo</w:t>
      </w:r>
      <w:r>
        <w:t xml:space="preserve"> y </w:t>
      </w:r>
      <w:r w:rsidRPr="00BB4E26">
        <w:rPr>
          <w:i/>
          <w:iCs/>
        </w:rPr>
        <w:t>C</w:t>
      </w:r>
      <w:r>
        <w:rPr>
          <w:i/>
          <w:iCs/>
        </w:rPr>
        <w:t>olima</w:t>
      </w:r>
      <w:r>
        <w:t xml:space="preserve">, con </w:t>
      </w:r>
      <w:r w:rsidRPr="004429AA">
        <w:t>19.1 y 10.7</w:t>
      </w:r>
      <w:r w:rsidR="00235290" w:rsidRPr="004429AA">
        <w:t> %</w:t>
      </w:r>
      <w:r w:rsidRPr="004429AA">
        <w:t>,</w:t>
      </w:r>
      <w:r>
        <w:t xml:space="preserve"> respectivamente. En cambio, las caídas más significativas se reportaron en </w:t>
      </w:r>
      <w:r>
        <w:rPr>
          <w:i/>
          <w:iCs/>
        </w:rPr>
        <w:t>Quintana Roo</w:t>
      </w:r>
      <w:r>
        <w:t xml:space="preserve"> y </w:t>
      </w:r>
      <w:r>
        <w:rPr>
          <w:i/>
          <w:iCs/>
        </w:rPr>
        <w:t>Morelos</w:t>
      </w:r>
      <w:r>
        <w:t>, con 20.6 y 19.8</w:t>
      </w:r>
      <w:r w:rsidR="00235290">
        <w:rPr>
          <w:lang w:val="es-MX"/>
        </w:rPr>
        <w:t> %</w:t>
      </w:r>
      <w:r>
        <w:rPr>
          <w:lang w:val="es-MX"/>
        </w:rPr>
        <w:t xml:space="preserve">, cada una. </w:t>
      </w:r>
      <w:r>
        <w:rPr>
          <w:lang w:val="es-MX"/>
        </w:rPr>
        <w:br/>
      </w:r>
      <w:r>
        <w:t xml:space="preserve">Las entidades que sumaron, en mayor medida, a la variación nacional fueron </w:t>
      </w:r>
      <w:r>
        <w:br/>
        <w:t xml:space="preserve">el estado de </w:t>
      </w:r>
      <w:r>
        <w:rPr>
          <w:i/>
          <w:iCs/>
        </w:rPr>
        <w:t>México</w:t>
      </w:r>
      <w:r>
        <w:t xml:space="preserve"> e </w:t>
      </w:r>
      <w:r>
        <w:rPr>
          <w:i/>
          <w:iCs/>
        </w:rPr>
        <w:t>Hidalgo</w:t>
      </w:r>
      <w:r>
        <w:t xml:space="preserve"> </w:t>
      </w:r>
      <w:r w:rsidRPr="00220846">
        <w:t>(ver gráfica 9).</w:t>
      </w:r>
    </w:p>
    <w:p w14:paraId="3667E032" w14:textId="77777777" w:rsidR="001D32B9" w:rsidRPr="00C91D94" w:rsidRDefault="001D32B9" w:rsidP="001D32B9">
      <w:pPr>
        <w:ind w:firstLine="1"/>
      </w:pPr>
    </w:p>
    <w:p w14:paraId="4A10AB1D" w14:textId="77777777" w:rsidR="001D32B9" w:rsidRPr="006F3FDE" w:rsidRDefault="001D32B9" w:rsidP="001D32B9">
      <w:pPr>
        <w:jc w:val="center"/>
        <w:rPr>
          <w:bCs/>
          <w:color w:val="003057"/>
          <w:sz w:val="20"/>
          <w:szCs w:val="20"/>
          <w:lang w:val="es-ES" w:eastAsia="es-MX"/>
        </w:rPr>
      </w:pPr>
      <w:r w:rsidRPr="006F3FDE">
        <w:rPr>
          <w:bCs/>
          <w:color w:val="003057"/>
          <w:sz w:val="20"/>
          <w:szCs w:val="20"/>
          <w:lang w:val="es-ES" w:eastAsia="es-MX"/>
        </w:rPr>
        <w:t>Gráfica 9</w:t>
      </w:r>
    </w:p>
    <w:p w14:paraId="7C816647" w14:textId="77777777" w:rsidR="001D32B9" w:rsidRDefault="001D32B9" w:rsidP="001D32B9">
      <w:pPr>
        <w:ind w:right="335"/>
        <w:jc w:val="center"/>
        <w:rPr>
          <w:b/>
          <w:color w:val="003057"/>
          <w:sz w:val="22"/>
          <w:szCs w:val="22"/>
          <w:lang w:val="es-ES" w:eastAsia="es-MX"/>
        </w:rPr>
      </w:pPr>
      <w:r w:rsidRPr="00EE23C3">
        <w:rPr>
          <w:b/>
          <w:color w:val="003057"/>
          <w:sz w:val="22"/>
          <w:szCs w:val="22"/>
          <w:lang w:val="es-ES" w:eastAsia="es-MX"/>
        </w:rPr>
        <w:t>Comparación entre entidades federativas</w:t>
      </w:r>
      <w:r>
        <w:rPr>
          <w:b/>
          <w:color w:val="003057"/>
          <w:sz w:val="22"/>
          <w:szCs w:val="22"/>
          <w:lang w:val="es-ES" w:eastAsia="es-MX"/>
        </w:rPr>
        <w:t xml:space="preserve">, según </w:t>
      </w:r>
      <w:r w:rsidRPr="00EE23C3">
        <w:rPr>
          <w:b/>
          <w:color w:val="003057"/>
          <w:sz w:val="22"/>
          <w:szCs w:val="22"/>
          <w:lang w:val="es-ES" w:eastAsia="es-MX"/>
        </w:rPr>
        <w:t>actividades secundarias</w:t>
      </w:r>
      <w:r>
        <w:rPr>
          <w:b/>
          <w:color w:val="003057"/>
          <w:sz w:val="22"/>
          <w:szCs w:val="22"/>
          <w:lang w:val="es-ES" w:eastAsia="es-MX"/>
        </w:rPr>
        <w:t xml:space="preserve"> </w:t>
      </w:r>
    </w:p>
    <w:p w14:paraId="0B3D9D78" w14:textId="77777777" w:rsidR="001D32B9" w:rsidRPr="00EE23C3" w:rsidRDefault="001D32B9" w:rsidP="001D32B9">
      <w:pPr>
        <w:ind w:right="335"/>
        <w:jc w:val="center"/>
        <w:rPr>
          <w:b/>
          <w:color w:val="003057"/>
          <w:sz w:val="22"/>
          <w:szCs w:val="22"/>
          <w:lang w:val="es-ES" w:eastAsia="es-MX"/>
        </w:rPr>
      </w:pPr>
      <w:r>
        <w:rPr>
          <w:b/>
          <w:color w:val="003057"/>
          <w:sz w:val="22"/>
          <w:szCs w:val="22"/>
          <w:lang w:val="es-ES" w:eastAsia="es-MX"/>
        </w:rPr>
        <w:t xml:space="preserve"> </w:t>
      </w:r>
      <w:r w:rsidRPr="00EE23C3">
        <w:rPr>
          <w:b/>
          <w:color w:val="003057"/>
          <w:sz w:val="22"/>
          <w:szCs w:val="22"/>
          <w:lang w:val="es-ES" w:eastAsia="es-MX"/>
        </w:rPr>
        <w:t>sin minería petrolera</w:t>
      </w:r>
    </w:p>
    <w:p w14:paraId="55CEB8D1" w14:textId="77777777" w:rsidR="001D32B9" w:rsidRDefault="001D32B9" w:rsidP="001D32B9">
      <w:pPr>
        <w:jc w:val="center"/>
        <w:rPr>
          <w:bCs/>
          <w:color w:val="27251F"/>
          <w:sz w:val="20"/>
          <w:lang w:eastAsia="es-MX"/>
        </w:rPr>
      </w:pPr>
      <w:r>
        <w:rPr>
          <w:bCs/>
          <w:color w:val="27251F"/>
          <w:sz w:val="20"/>
          <w:lang w:eastAsia="es-MX"/>
        </w:rPr>
        <w:t>segundo trimestre</w:t>
      </w:r>
      <w:r w:rsidRPr="00EE23C3">
        <w:rPr>
          <w:bCs/>
          <w:color w:val="27251F"/>
          <w:sz w:val="20"/>
          <w:lang w:eastAsia="es-MX"/>
        </w:rPr>
        <w:t xml:space="preserve"> </w:t>
      </w:r>
      <w:r>
        <w:rPr>
          <w:bCs/>
          <w:color w:val="27251F"/>
          <w:sz w:val="20"/>
          <w:lang w:eastAsia="es-MX"/>
        </w:rPr>
        <w:t xml:space="preserve">de </w:t>
      </w:r>
      <w:r w:rsidRPr="00EE23C3">
        <w:rPr>
          <w:bCs/>
          <w:color w:val="27251F"/>
          <w:sz w:val="20"/>
          <w:lang w:eastAsia="es-MX"/>
        </w:rPr>
        <w:t>202</w:t>
      </w:r>
      <w:r>
        <w:rPr>
          <w:bCs/>
          <w:color w:val="27251F"/>
          <w:sz w:val="20"/>
          <w:lang w:eastAsia="es-MX"/>
        </w:rPr>
        <w:t>6</w:t>
      </w:r>
      <w:r w:rsidRPr="0094053C">
        <w:rPr>
          <w:bCs/>
          <w:color w:val="27251F"/>
          <w:sz w:val="20"/>
          <w:vertAlign w:val="superscript"/>
          <w:lang w:eastAsia="es-MX"/>
        </w:rPr>
        <w:t>1/</w:t>
      </w:r>
    </w:p>
    <w:tbl>
      <w:tblPr>
        <w:tblStyle w:val="Tablaconcuadrcula"/>
        <w:tblW w:w="103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9"/>
        <w:gridCol w:w="5161"/>
      </w:tblGrid>
      <w:tr w:rsidR="001D32B9" w14:paraId="32D6060E" w14:textId="77777777" w:rsidTr="000A2C72">
        <w:trPr>
          <w:jc w:val="center"/>
        </w:trPr>
        <w:tc>
          <w:tcPr>
            <w:tcW w:w="5139" w:type="dxa"/>
            <w:vAlign w:val="center"/>
          </w:tcPr>
          <w:p w14:paraId="76951AEA" w14:textId="77777777" w:rsidR="001D32B9" w:rsidRDefault="001D32B9" w:rsidP="000A2C72">
            <w:pPr>
              <w:jc w:val="center"/>
              <w:rPr>
                <w:bCs/>
                <w:color w:val="27251F"/>
                <w:sz w:val="20"/>
                <w:lang w:eastAsia="es-MX"/>
              </w:rPr>
            </w:pPr>
            <w:r w:rsidRPr="00C25957">
              <w:rPr>
                <w:bCs/>
                <w:color w:val="27251F"/>
                <w:sz w:val="18"/>
                <w:szCs w:val="18"/>
                <w:lang w:eastAsia="es-MX"/>
              </w:rPr>
              <w:t xml:space="preserve">(variación porcentual </w:t>
            </w:r>
            <w:r>
              <w:rPr>
                <w:bCs/>
                <w:color w:val="27251F"/>
                <w:sz w:val="18"/>
                <w:szCs w:val="18"/>
                <w:lang w:eastAsia="es-MX"/>
              </w:rPr>
              <w:t>anual</w:t>
            </w:r>
            <w:r w:rsidRPr="00C25957">
              <w:rPr>
                <w:bCs/>
                <w:color w:val="27251F"/>
                <w:sz w:val="18"/>
                <w:szCs w:val="18"/>
                <w:lang w:eastAsia="es-MX"/>
              </w:rPr>
              <w:t>)</w:t>
            </w:r>
          </w:p>
        </w:tc>
        <w:tc>
          <w:tcPr>
            <w:tcW w:w="5161" w:type="dxa"/>
            <w:vAlign w:val="center"/>
          </w:tcPr>
          <w:p w14:paraId="51367FEA" w14:textId="77777777" w:rsidR="001D32B9" w:rsidRDefault="001D32B9" w:rsidP="000A2C72">
            <w:pPr>
              <w:jc w:val="center"/>
              <w:rPr>
                <w:bCs/>
                <w:color w:val="27251F"/>
                <w:sz w:val="20"/>
                <w:lang w:eastAsia="es-MX"/>
              </w:rPr>
            </w:pPr>
            <w:r w:rsidRPr="00EE23C3">
              <w:rPr>
                <w:bCs/>
                <w:color w:val="27251F"/>
                <w:sz w:val="18"/>
                <w:szCs w:val="18"/>
                <w:lang w:eastAsia="es-MX"/>
              </w:rPr>
              <w:t>(contribución porcentual a la variación nacional</w:t>
            </w:r>
            <w:r>
              <w:rPr>
                <w:bCs/>
                <w:color w:val="27251F"/>
                <w:sz w:val="18"/>
                <w:szCs w:val="18"/>
                <w:lang w:eastAsia="es-MX"/>
              </w:rPr>
              <w:t xml:space="preserve"> anual</w:t>
            </w:r>
            <w:r w:rsidRPr="00EE23C3">
              <w:rPr>
                <w:bCs/>
                <w:color w:val="27251F"/>
                <w:sz w:val="18"/>
                <w:szCs w:val="18"/>
                <w:lang w:eastAsia="es-MX"/>
              </w:rPr>
              <w:t>)</w:t>
            </w:r>
          </w:p>
        </w:tc>
      </w:tr>
      <w:tr w:rsidR="001D32B9" w14:paraId="4E0773C0" w14:textId="77777777" w:rsidTr="000A2C72">
        <w:tblPrEx>
          <w:tblCellMar>
            <w:left w:w="70" w:type="dxa"/>
            <w:right w:w="70" w:type="dxa"/>
          </w:tblCellMar>
        </w:tblPrEx>
        <w:trPr>
          <w:jc w:val="center"/>
        </w:trPr>
        <w:tc>
          <w:tcPr>
            <w:tcW w:w="5139" w:type="dxa"/>
          </w:tcPr>
          <w:p w14:paraId="57B31CF4" w14:textId="77777777" w:rsidR="001D32B9" w:rsidRDefault="001D32B9" w:rsidP="000A2C72">
            <w:pPr>
              <w:ind w:right="-91"/>
              <w:jc w:val="left"/>
              <w:rPr>
                <w:sz w:val="16"/>
                <w:szCs w:val="16"/>
              </w:rPr>
            </w:pPr>
            <w:r>
              <w:rPr>
                <w:noProof/>
              </w:rPr>
              <w:drawing>
                <wp:inline distT="0" distB="0" distL="0" distR="0" wp14:anchorId="38C63C5C" wp14:editId="28065E07">
                  <wp:extent cx="3168000" cy="4968000"/>
                  <wp:effectExtent l="0" t="0" r="0" b="4445"/>
                  <wp:docPr id="1044783377" name="Gráfico 1">
                    <a:extLst xmlns:a="http://schemas.openxmlformats.org/drawingml/2006/main">
                      <a:ext uri="{FF2B5EF4-FFF2-40B4-BE49-F238E27FC236}">
                        <a16:creationId xmlns:a16="http://schemas.microsoft.com/office/drawing/2014/main" id="{11D22C1E-7706-4181-894C-7FE13EAB04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c>
          <w:tcPr>
            <w:tcW w:w="5161" w:type="dxa"/>
          </w:tcPr>
          <w:p w14:paraId="0D6A9CA1" w14:textId="77777777" w:rsidR="001D32B9" w:rsidRDefault="001D32B9" w:rsidP="000A2C72">
            <w:pPr>
              <w:ind w:right="-91"/>
              <w:jc w:val="left"/>
              <w:rPr>
                <w:sz w:val="16"/>
                <w:szCs w:val="16"/>
              </w:rPr>
            </w:pPr>
            <w:r>
              <w:rPr>
                <w:noProof/>
              </w:rPr>
              <w:drawing>
                <wp:inline distT="0" distB="0" distL="0" distR="0" wp14:anchorId="17520CC2" wp14:editId="41C03CA1">
                  <wp:extent cx="3168000" cy="4968000"/>
                  <wp:effectExtent l="0" t="0" r="0" b="4445"/>
                  <wp:docPr id="776105286" name="Gráfico 1">
                    <a:extLst xmlns:a="http://schemas.openxmlformats.org/drawingml/2006/main">
                      <a:ext uri="{FF2B5EF4-FFF2-40B4-BE49-F238E27FC236}">
                        <a16:creationId xmlns:a16="http://schemas.microsoft.com/office/drawing/2014/main" id="{4BE9DA4A-E234-434D-A5A1-1B4669DBAE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bl>
    <w:p w14:paraId="0EF06D7C" w14:textId="77777777" w:rsidR="001D32B9" w:rsidRDefault="001D32B9" w:rsidP="001D32B9">
      <w:pPr>
        <w:ind w:left="426" w:right="1185" w:hanging="568"/>
        <w:rPr>
          <w:color w:val="4D565E"/>
          <w:sz w:val="16"/>
          <w:szCs w:val="16"/>
          <w:vertAlign w:val="superscript"/>
        </w:rPr>
      </w:pPr>
      <w:r w:rsidRPr="0065528B">
        <w:rPr>
          <w:color w:val="4D565E"/>
          <w:sz w:val="16"/>
          <w:szCs w:val="16"/>
          <w:lang w:val="es-ES" w:eastAsia="es-MX"/>
        </w:rPr>
        <w:t>Nota:</w:t>
      </w:r>
      <w:r w:rsidRPr="0065528B">
        <w:rPr>
          <w:color w:val="4D565E"/>
          <w:sz w:val="16"/>
          <w:szCs w:val="16"/>
        </w:rPr>
        <w:tab/>
      </w:r>
      <w:r w:rsidRPr="0065528B">
        <w:rPr>
          <w:color w:val="4D565E"/>
          <w:sz w:val="16"/>
          <w:szCs w:val="16"/>
          <w:lang w:val="es-ES" w:eastAsia="es-MX"/>
        </w:rPr>
        <w:t>La suma de los parciales puede no coincidir con el total debido al redondeo.</w:t>
      </w:r>
    </w:p>
    <w:p w14:paraId="38A4F4A1" w14:textId="77777777" w:rsidR="001D32B9" w:rsidRPr="001B4A6C" w:rsidRDefault="001D32B9" w:rsidP="001D32B9">
      <w:pPr>
        <w:ind w:left="426" w:right="1185" w:hanging="568"/>
        <w:rPr>
          <w:color w:val="4D565E"/>
          <w:sz w:val="16"/>
          <w:szCs w:val="16"/>
        </w:rPr>
      </w:pPr>
      <w:r>
        <w:rPr>
          <w:color w:val="4D565E"/>
          <w:sz w:val="16"/>
          <w:szCs w:val="16"/>
          <w:vertAlign w:val="superscript"/>
        </w:rPr>
        <w:t>1/</w:t>
      </w:r>
      <w:r>
        <w:rPr>
          <w:color w:val="4D565E"/>
          <w:sz w:val="16"/>
          <w:szCs w:val="16"/>
          <w:vertAlign w:val="superscript"/>
        </w:rPr>
        <w:tab/>
      </w:r>
      <w:r w:rsidRPr="001B4A6C">
        <w:rPr>
          <w:color w:val="4D565E"/>
          <w:sz w:val="16"/>
          <w:szCs w:val="16"/>
        </w:rPr>
        <w:t>Cifras preliminares.</w:t>
      </w:r>
    </w:p>
    <w:p w14:paraId="2B49A260" w14:textId="77777777" w:rsidR="001D32B9" w:rsidRPr="009A32BE" w:rsidRDefault="001D32B9" w:rsidP="001D32B9">
      <w:pPr>
        <w:ind w:left="426" w:right="1185" w:hanging="568"/>
        <w:rPr>
          <w:smallCaps/>
          <w:color w:val="4D565E"/>
          <w:sz w:val="16"/>
          <w:szCs w:val="16"/>
          <w:lang w:val="es-ES" w:eastAsia="es-MX"/>
        </w:rPr>
      </w:pPr>
      <w:r w:rsidRPr="12B4AF78">
        <w:rPr>
          <w:color w:val="4D565E"/>
          <w:sz w:val="16"/>
          <w:szCs w:val="16"/>
          <w:lang w:val="es-ES" w:eastAsia="es-MX"/>
        </w:rPr>
        <w:t>Fuente:</w:t>
      </w:r>
      <w:r>
        <w:tab/>
      </w:r>
      <w:r w:rsidRPr="12B4AF78">
        <w:rPr>
          <w:smallCaps/>
          <w:color w:val="4D565E"/>
          <w:sz w:val="16"/>
          <w:szCs w:val="16"/>
          <w:lang w:val="es-ES" w:eastAsia="es-MX"/>
        </w:rPr>
        <w:t xml:space="preserve">inegi. </w:t>
      </w:r>
      <w:r w:rsidRPr="12B4AF78">
        <w:rPr>
          <w:color w:val="4D565E"/>
          <w:sz w:val="16"/>
          <w:szCs w:val="16"/>
          <w:lang w:val="es-ES" w:eastAsia="es-MX"/>
        </w:rPr>
        <w:t>Indicador Trimestral de la Actividad Económica Estatal</w:t>
      </w:r>
      <w:r w:rsidRPr="12B4AF78">
        <w:rPr>
          <w:smallCaps/>
          <w:color w:val="4D565E"/>
          <w:sz w:val="16"/>
          <w:szCs w:val="16"/>
          <w:lang w:val="es-ES" w:eastAsia="es-MX"/>
        </w:rPr>
        <w:t xml:space="preserve"> (itaee)</w:t>
      </w:r>
      <w:r w:rsidRPr="12B4AF78">
        <w:rPr>
          <w:color w:val="4D565E"/>
          <w:sz w:val="16"/>
          <w:szCs w:val="16"/>
          <w:lang w:val="es-ES" w:eastAsia="es-MX"/>
        </w:rPr>
        <w:t xml:space="preserve">, </w:t>
      </w:r>
      <w:r>
        <w:rPr>
          <w:color w:val="4D565E"/>
          <w:sz w:val="16"/>
          <w:szCs w:val="16"/>
          <w:lang w:val="es-ES" w:eastAsia="es-MX"/>
        </w:rPr>
        <w:t>segundo</w:t>
      </w:r>
      <w:r w:rsidRPr="12B4AF78">
        <w:rPr>
          <w:color w:val="4D565E"/>
          <w:sz w:val="16"/>
          <w:szCs w:val="16"/>
          <w:lang w:val="es-ES" w:eastAsia="es-MX"/>
        </w:rPr>
        <w:t xml:space="preserve"> trimestre de 202</w:t>
      </w:r>
      <w:r>
        <w:rPr>
          <w:color w:val="4D565E"/>
          <w:sz w:val="16"/>
          <w:szCs w:val="16"/>
          <w:lang w:val="es-ES" w:eastAsia="es-MX"/>
        </w:rPr>
        <w:t>6</w:t>
      </w:r>
      <w:r w:rsidRPr="12B4AF78">
        <w:rPr>
          <w:color w:val="4D565E"/>
          <w:sz w:val="16"/>
          <w:szCs w:val="16"/>
          <w:lang w:val="es-ES" w:eastAsia="es-MX"/>
        </w:rPr>
        <w:t>.</w:t>
      </w:r>
    </w:p>
    <w:p w14:paraId="42E70734" w14:textId="77777777" w:rsidR="001D32B9" w:rsidRPr="00A53062" w:rsidRDefault="001D32B9" w:rsidP="001D32B9">
      <w:pPr>
        <w:spacing w:after="120"/>
        <w:jc w:val="center"/>
        <w:rPr>
          <w:b/>
          <w:bCs/>
          <w:smallCaps/>
          <w:sz w:val="26"/>
          <w:szCs w:val="26"/>
        </w:rPr>
      </w:pPr>
      <w:r>
        <w:rPr>
          <w:sz w:val="16"/>
          <w:szCs w:val="16"/>
          <w:lang w:val="es-ES" w:eastAsia="es-MX"/>
        </w:rPr>
        <w:br w:type="page"/>
      </w:r>
      <w:r>
        <w:rPr>
          <w:b/>
          <w:bCs/>
          <w:smallCaps/>
          <w:sz w:val="26"/>
          <w:szCs w:val="26"/>
        </w:rPr>
        <w:lastRenderedPageBreak/>
        <w:t xml:space="preserve">iv. </w:t>
      </w:r>
      <w:r w:rsidRPr="00A53062">
        <w:rPr>
          <w:b/>
          <w:bCs/>
          <w:smallCaps/>
          <w:sz w:val="26"/>
          <w:szCs w:val="26"/>
        </w:rPr>
        <w:t>ficha metodológica</w:t>
      </w:r>
    </w:p>
    <w:tbl>
      <w:tblPr>
        <w:tblStyle w:val="Tablaconcuadrcula"/>
        <w:tblW w:w="5000" w:type="pct"/>
        <w:jc w:val="center"/>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1931"/>
        <w:gridCol w:w="8033"/>
      </w:tblGrid>
      <w:tr w:rsidR="001D32B9" w:rsidRPr="0013279C" w14:paraId="377355B8" w14:textId="77777777" w:rsidTr="000A2C72">
        <w:trPr>
          <w:jc w:val="center"/>
        </w:trPr>
        <w:tc>
          <w:tcPr>
            <w:tcW w:w="969" w:type="pct"/>
            <w:vAlign w:val="center"/>
          </w:tcPr>
          <w:p w14:paraId="340C36EC" w14:textId="77777777" w:rsidR="001D32B9" w:rsidRPr="00E91E62" w:rsidRDefault="001D32B9" w:rsidP="000A2C72">
            <w:pPr>
              <w:pStyle w:val="Textoindependiente"/>
              <w:kinsoku w:val="0"/>
              <w:overflowPunct w:val="0"/>
              <w:spacing w:before="0"/>
              <w:jc w:val="right"/>
              <w:rPr>
                <w:b/>
                <w:bCs/>
                <w:color w:val="auto"/>
                <w:sz w:val="17"/>
                <w:szCs w:val="17"/>
              </w:rPr>
            </w:pPr>
            <w:r w:rsidRPr="00E91E62">
              <w:rPr>
                <w:b/>
                <w:bCs/>
                <w:color w:val="auto"/>
                <w:sz w:val="17"/>
                <w:szCs w:val="17"/>
              </w:rPr>
              <w:t>Antecedentes</w:t>
            </w:r>
          </w:p>
        </w:tc>
        <w:tc>
          <w:tcPr>
            <w:tcW w:w="4031" w:type="pct"/>
            <w:vAlign w:val="center"/>
          </w:tcPr>
          <w:p w14:paraId="53A3DE30" w14:textId="77777777" w:rsidR="001D32B9" w:rsidRPr="00E91E62" w:rsidRDefault="001D32B9" w:rsidP="000A2C72">
            <w:pPr>
              <w:pStyle w:val="Prrafodelista"/>
              <w:widowControl w:val="0"/>
              <w:autoSpaceDE w:val="0"/>
              <w:autoSpaceDN w:val="0"/>
              <w:adjustRightInd w:val="0"/>
              <w:ind w:left="0"/>
              <w:rPr>
                <w:sz w:val="17"/>
                <w:szCs w:val="17"/>
                <w:lang w:val="es-MX"/>
              </w:rPr>
            </w:pPr>
            <w:r w:rsidRPr="00E91E62">
              <w:rPr>
                <w:bCs/>
                <w:sz w:val="17"/>
                <w:szCs w:val="17"/>
              </w:rPr>
              <w:t xml:space="preserve">El </w:t>
            </w:r>
            <w:r>
              <w:rPr>
                <w:bCs/>
                <w:sz w:val="17"/>
                <w:szCs w:val="17"/>
              </w:rPr>
              <w:t>Indicador Trimestral de la Actividad Económica Estatal (</w:t>
            </w:r>
            <w:r w:rsidRPr="00E91E62">
              <w:rPr>
                <w:smallCaps/>
                <w:sz w:val="17"/>
                <w:szCs w:val="17"/>
              </w:rPr>
              <w:t>itaee</w:t>
            </w:r>
            <w:r>
              <w:rPr>
                <w:smallCaps/>
                <w:sz w:val="17"/>
                <w:szCs w:val="17"/>
              </w:rPr>
              <w:t>)</w:t>
            </w:r>
            <w:r w:rsidRPr="00E91E62">
              <w:rPr>
                <w:smallCaps/>
                <w:sz w:val="17"/>
                <w:szCs w:val="17"/>
              </w:rPr>
              <w:t xml:space="preserve"> </w:t>
            </w:r>
            <w:r w:rsidRPr="00E91E62">
              <w:rPr>
                <w:sz w:val="17"/>
                <w:szCs w:val="17"/>
              </w:rPr>
              <w:t xml:space="preserve">ofrece un panorama sobre la evolución económica de las entidades federativas del país. </w:t>
            </w:r>
            <w:r w:rsidRPr="00E91E62">
              <w:rPr>
                <w:sz w:val="17"/>
                <w:szCs w:val="17"/>
                <w:lang w:val="es-MX"/>
              </w:rPr>
              <w:t>Su difusión periódica inició en 2009</w:t>
            </w:r>
            <w:r>
              <w:rPr>
                <w:sz w:val="17"/>
                <w:szCs w:val="17"/>
                <w:lang w:val="es-MX"/>
              </w:rPr>
              <w:t>,</w:t>
            </w:r>
            <w:r w:rsidRPr="00E91E62">
              <w:rPr>
                <w:sz w:val="17"/>
                <w:szCs w:val="17"/>
                <w:lang w:val="es-MX"/>
              </w:rPr>
              <w:t xml:space="preserve"> </w:t>
            </w:r>
            <w:r>
              <w:rPr>
                <w:sz w:val="17"/>
                <w:szCs w:val="17"/>
                <w:lang w:val="es-MX"/>
              </w:rPr>
              <w:t>según</w:t>
            </w:r>
            <w:r w:rsidRPr="00E91E62">
              <w:rPr>
                <w:sz w:val="17"/>
                <w:szCs w:val="17"/>
                <w:lang w:val="es-MX"/>
              </w:rPr>
              <w:t xml:space="preserve"> los criterios metodológicos del año base 2003 del Sistema de Cuentas Nacionales de México </w:t>
            </w:r>
            <w:r w:rsidRPr="00E91E62">
              <w:rPr>
                <w:smallCaps/>
                <w:sz w:val="17"/>
                <w:szCs w:val="17"/>
                <w:lang w:val="es-MX"/>
              </w:rPr>
              <w:t>(scnm).</w:t>
            </w:r>
            <w:r w:rsidRPr="00E91E62">
              <w:rPr>
                <w:sz w:val="17"/>
                <w:szCs w:val="17"/>
                <w:lang w:val="es-MX"/>
              </w:rPr>
              <w:t xml:space="preserve"> </w:t>
            </w:r>
            <w:r w:rsidRPr="00D92089">
              <w:rPr>
                <w:sz w:val="17"/>
                <w:szCs w:val="17"/>
                <w:lang w:val="es-MX"/>
              </w:rPr>
              <w:t>Además,</w:t>
            </w:r>
            <w:r w:rsidRPr="00E91E62">
              <w:rPr>
                <w:sz w:val="17"/>
                <w:szCs w:val="17"/>
                <w:lang w:val="es-MX"/>
              </w:rPr>
              <w:t xml:space="preserve"> incorpora el Sistema de Clasificación Industrial de América del Norte (</w:t>
            </w:r>
            <w:r w:rsidRPr="00E91E62">
              <w:rPr>
                <w:smallCaps/>
                <w:sz w:val="17"/>
                <w:szCs w:val="17"/>
                <w:lang w:val="es-MX"/>
              </w:rPr>
              <w:t>scian</w:t>
            </w:r>
            <w:r w:rsidRPr="00E91E62">
              <w:rPr>
                <w:sz w:val="17"/>
                <w:szCs w:val="17"/>
                <w:lang w:val="es-MX"/>
              </w:rPr>
              <w:t>) 2002.</w:t>
            </w:r>
          </w:p>
          <w:p w14:paraId="508FCB33" w14:textId="77777777" w:rsidR="001D32B9" w:rsidRPr="00E91E62" w:rsidRDefault="001D32B9" w:rsidP="000A2C72">
            <w:pPr>
              <w:pStyle w:val="Prrafodelista"/>
              <w:widowControl w:val="0"/>
              <w:autoSpaceDE w:val="0"/>
              <w:autoSpaceDN w:val="0"/>
              <w:adjustRightInd w:val="0"/>
              <w:ind w:left="0"/>
              <w:rPr>
                <w:sz w:val="17"/>
                <w:szCs w:val="17"/>
                <w:lang w:val="es-MX"/>
              </w:rPr>
            </w:pPr>
            <w:r w:rsidRPr="00E91E62">
              <w:rPr>
                <w:sz w:val="17"/>
                <w:szCs w:val="17"/>
                <w:lang w:val="es-MX"/>
              </w:rPr>
              <w:t xml:space="preserve">Actualmente, con el cambio de año base a 2018, se actualizaron las estructuras económicas productivas regionales. </w:t>
            </w:r>
            <w:r>
              <w:rPr>
                <w:sz w:val="17"/>
                <w:szCs w:val="17"/>
                <w:lang w:val="es-MX"/>
              </w:rPr>
              <w:t xml:space="preserve">De esta manera, el </w:t>
            </w:r>
            <w:r w:rsidRPr="00C606C5">
              <w:rPr>
                <w:smallCaps/>
                <w:sz w:val="17"/>
                <w:szCs w:val="17"/>
                <w:lang w:val="es-MX"/>
              </w:rPr>
              <w:t>scian</w:t>
            </w:r>
            <w:r w:rsidRPr="00E91E62">
              <w:rPr>
                <w:sz w:val="17"/>
                <w:szCs w:val="17"/>
                <w:lang w:val="es-MX"/>
              </w:rPr>
              <w:t xml:space="preserve"> </w:t>
            </w:r>
            <w:r w:rsidRPr="00C606C5">
              <w:rPr>
                <w:sz w:val="14"/>
                <w:szCs w:val="14"/>
                <w:lang w:val="es-MX"/>
              </w:rPr>
              <w:t>2018</w:t>
            </w:r>
            <w:r w:rsidRPr="00E91E62">
              <w:rPr>
                <w:sz w:val="17"/>
                <w:szCs w:val="17"/>
                <w:lang w:val="es-MX"/>
              </w:rPr>
              <w:t xml:space="preserve"> es el clasificador de las actividades económicas.</w:t>
            </w:r>
          </w:p>
        </w:tc>
      </w:tr>
      <w:tr w:rsidR="001D32B9" w:rsidRPr="0013279C" w14:paraId="1FBAB056" w14:textId="77777777" w:rsidTr="000A2C72">
        <w:trPr>
          <w:jc w:val="center"/>
        </w:trPr>
        <w:tc>
          <w:tcPr>
            <w:tcW w:w="969" w:type="pct"/>
            <w:vAlign w:val="center"/>
          </w:tcPr>
          <w:p w14:paraId="5EAC46CA" w14:textId="77777777" w:rsidR="001D32B9" w:rsidRPr="00E91E62" w:rsidRDefault="001D32B9" w:rsidP="000A2C72">
            <w:pPr>
              <w:pStyle w:val="Textoindependiente"/>
              <w:kinsoku w:val="0"/>
              <w:overflowPunct w:val="0"/>
              <w:spacing w:before="0"/>
              <w:jc w:val="right"/>
              <w:rPr>
                <w:b/>
                <w:bCs/>
                <w:color w:val="auto"/>
                <w:sz w:val="17"/>
                <w:szCs w:val="17"/>
              </w:rPr>
            </w:pPr>
            <w:r w:rsidRPr="00E91E62">
              <w:rPr>
                <w:b/>
                <w:bCs/>
                <w:color w:val="auto"/>
                <w:sz w:val="17"/>
                <w:szCs w:val="17"/>
              </w:rPr>
              <w:t xml:space="preserve">Año base </w:t>
            </w:r>
          </w:p>
        </w:tc>
        <w:tc>
          <w:tcPr>
            <w:tcW w:w="4031" w:type="pct"/>
            <w:vAlign w:val="center"/>
          </w:tcPr>
          <w:p w14:paraId="12249026" w14:textId="77777777" w:rsidR="001D32B9" w:rsidRPr="00E91E62" w:rsidRDefault="001D32B9" w:rsidP="000A2C72">
            <w:pPr>
              <w:pStyle w:val="Texto"/>
              <w:widowControl w:val="0"/>
              <w:autoSpaceDE w:val="0"/>
              <w:autoSpaceDN w:val="0"/>
              <w:adjustRightInd w:val="0"/>
              <w:spacing w:after="0" w:line="240" w:lineRule="auto"/>
              <w:ind w:firstLine="0"/>
              <w:rPr>
                <w:color w:val="000000" w:themeColor="text1"/>
                <w:sz w:val="17"/>
                <w:szCs w:val="17"/>
                <w:lang w:val="es-ES_tradnl"/>
              </w:rPr>
            </w:pPr>
            <w:r w:rsidRPr="00E91E62">
              <w:rPr>
                <w:sz w:val="17"/>
                <w:szCs w:val="17"/>
              </w:rPr>
              <w:t xml:space="preserve">Los datos detallados del </w:t>
            </w:r>
            <w:r w:rsidRPr="00E91E62">
              <w:rPr>
                <w:smallCaps/>
                <w:sz w:val="17"/>
                <w:szCs w:val="17"/>
              </w:rPr>
              <w:t>itaee</w:t>
            </w:r>
            <w:r w:rsidRPr="00E91E62">
              <w:rPr>
                <w:sz w:val="17"/>
                <w:szCs w:val="17"/>
              </w:rPr>
              <w:t xml:space="preserve"> están disponibles </w:t>
            </w:r>
            <w:r>
              <w:rPr>
                <w:sz w:val="17"/>
                <w:szCs w:val="17"/>
              </w:rPr>
              <w:t>desde</w:t>
            </w:r>
            <w:r w:rsidRPr="00E91E62">
              <w:rPr>
                <w:sz w:val="17"/>
                <w:szCs w:val="17"/>
              </w:rPr>
              <w:t xml:space="preserve"> 2003</w:t>
            </w:r>
            <w:r>
              <w:rPr>
                <w:sz w:val="17"/>
                <w:szCs w:val="17"/>
              </w:rPr>
              <w:t>;</w:t>
            </w:r>
            <w:r w:rsidRPr="00E91E62">
              <w:rPr>
                <w:sz w:val="17"/>
                <w:szCs w:val="17"/>
              </w:rPr>
              <w:t xml:space="preserve"> </w:t>
            </w:r>
            <w:r>
              <w:rPr>
                <w:sz w:val="17"/>
                <w:szCs w:val="17"/>
              </w:rPr>
              <w:t xml:space="preserve">mientras que para el periodo 1980-2002 existe </w:t>
            </w:r>
            <w:r w:rsidRPr="00E91E62">
              <w:rPr>
                <w:sz w:val="17"/>
                <w:szCs w:val="17"/>
              </w:rPr>
              <w:t>una serie retropolada</w:t>
            </w:r>
            <w:r>
              <w:rPr>
                <w:sz w:val="17"/>
                <w:szCs w:val="17"/>
              </w:rPr>
              <w:t>.</w:t>
            </w:r>
            <w:r w:rsidRPr="00E91E62">
              <w:rPr>
                <w:sz w:val="17"/>
                <w:szCs w:val="17"/>
              </w:rPr>
              <w:t xml:space="preserve"> Lo anterior se expresa en índices de volumen físico con base fija en el </w:t>
            </w:r>
            <w:r>
              <w:rPr>
                <w:sz w:val="17"/>
                <w:szCs w:val="17"/>
              </w:rPr>
              <w:br/>
            </w:r>
            <w:r w:rsidRPr="00E91E62">
              <w:rPr>
                <w:sz w:val="17"/>
                <w:szCs w:val="17"/>
              </w:rPr>
              <w:t>año 2018.</w:t>
            </w:r>
          </w:p>
        </w:tc>
      </w:tr>
      <w:tr w:rsidR="001D32B9" w:rsidRPr="00CD347F" w14:paraId="431E58A0" w14:textId="77777777" w:rsidTr="000A2C72">
        <w:trPr>
          <w:jc w:val="center"/>
        </w:trPr>
        <w:tc>
          <w:tcPr>
            <w:tcW w:w="969" w:type="pct"/>
            <w:vAlign w:val="center"/>
          </w:tcPr>
          <w:p w14:paraId="580BA55D" w14:textId="77777777" w:rsidR="001D32B9" w:rsidRPr="00E91E62" w:rsidRDefault="001D32B9" w:rsidP="000A2C72">
            <w:pPr>
              <w:pStyle w:val="Textoindependiente"/>
              <w:kinsoku w:val="0"/>
              <w:overflowPunct w:val="0"/>
              <w:spacing w:before="0"/>
              <w:jc w:val="right"/>
              <w:rPr>
                <w:b/>
                <w:bCs/>
                <w:color w:val="auto"/>
                <w:sz w:val="17"/>
                <w:szCs w:val="17"/>
              </w:rPr>
            </w:pPr>
            <w:r w:rsidRPr="00E91E62">
              <w:rPr>
                <w:b/>
                <w:bCs/>
                <w:color w:val="auto"/>
                <w:sz w:val="17"/>
                <w:szCs w:val="17"/>
              </w:rPr>
              <w:t>Fuentes</w:t>
            </w:r>
          </w:p>
        </w:tc>
        <w:tc>
          <w:tcPr>
            <w:tcW w:w="4031" w:type="pct"/>
            <w:vAlign w:val="center"/>
          </w:tcPr>
          <w:p w14:paraId="51D3BD9F" w14:textId="77777777" w:rsidR="001D32B9" w:rsidRPr="00E91E62" w:rsidRDefault="001D32B9" w:rsidP="000A2C72">
            <w:pPr>
              <w:pStyle w:val="Texto"/>
              <w:widowControl w:val="0"/>
              <w:autoSpaceDE w:val="0"/>
              <w:autoSpaceDN w:val="0"/>
              <w:adjustRightInd w:val="0"/>
              <w:spacing w:after="0" w:line="240" w:lineRule="auto"/>
              <w:ind w:firstLine="0"/>
              <w:rPr>
                <w:sz w:val="17"/>
                <w:szCs w:val="17"/>
              </w:rPr>
            </w:pPr>
            <w:r w:rsidRPr="00E91E62">
              <w:rPr>
                <w:sz w:val="17"/>
                <w:szCs w:val="17"/>
              </w:rPr>
              <w:t>Las principales fuentes de información son las encuestas mensuales en establecimientos y en hogares —Encuesta Mensual de la Industria Manufacturera (</w:t>
            </w:r>
            <w:r w:rsidRPr="00E91E62">
              <w:rPr>
                <w:smallCaps/>
                <w:sz w:val="17"/>
                <w:szCs w:val="17"/>
              </w:rPr>
              <w:t>emim</w:t>
            </w:r>
            <w:r w:rsidRPr="00E91E62">
              <w:rPr>
                <w:sz w:val="17"/>
                <w:szCs w:val="17"/>
              </w:rPr>
              <w:t>), Encuesta Nacional de Empresas Constructoras (</w:t>
            </w:r>
            <w:r w:rsidRPr="00E91E62">
              <w:rPr>
                <w:smallCaps/>
                <w:sz w:val="17"/>
                <w:szCs w:val="17"/>
              </w:rPr>
              <w:t>enec</w:t>
            </w:r>
            <w:r w:rsidRPr="00E91E62">
              <w:rPr>
                <w:sz w:val="17"/>
                <w:szCs w:val="17"/>
              </w:rPr>
              <w:t>), Encuesta Mensual sobre Empresas Comerciales (</w:t>
            </w:r>
            <w:r w:rsidRPr="00E91E62">
              <w:rPr>
                <w:smallCaps/>
                <w:sz w:val="17"/>
                <w:szCs w:val="17"/>
              </w:rPr>
              <w:t>emec</w:t>
            </w:r>
            <w:r w:rsidRPr="00E91E62">
              <w:rPr>
                <w:sz w:val="17"/>
                <w:szCs w:val="17"/>
              </w:rPr>
              <w:t>), Encuesta Mensual de Servicios (</w:t>
            </w:r>
            <w:r w:rsidRPr="00E91E62">
              <w:rPr>
                <w:smallCaps/>
                <w:sz w:val="17"/>
                <w:szCs w:val="17"/>
              </w:rPr>
              <w:t>ems</w:t>
            </w:r>
            <w:r w:rsidRPr="00E91E62">
              <w:rPr>
                <w:sz w:val="17"/>
                <w:szCs w:val="17"/>
              </w:rPr>
              <w:t>) y Encuesta Nacional de Ocupación y Empleo (</w:t>
            </w:r>
            <w:r w:rsidRPr="00E91E62">
              <w:rPr>
                <w:smallCaps/>
                <w:sz w:val="17"/>
                <w:szCs w:val="17"/>
              </w:rPr>
              <w:t>enoe</w:t>
            </w:r>
            <w:r w:rsidRPr="00E91E62">
              <w:rPr>
                <w:sz w:val="17"/>
                <w:szCs w:val="17"/>
              </w:rPr>
              <w:t>)—, los índices nacionales de precios, los registros administrativos y los datos primarios,</w:t>
            </w:r>
            <w:r w:rsidRPr="00E91E62">
              <w:rPr>
                <w:sz w:val="17"/>
                <w:szCs w:val="17"/>
                <w:lang w:val="es-MX"/>
              </w:rPr>
              <w:t xml:space="preserve"> así como las estadísticas económicas y sociales compiladas por el Instituto. </w:t>
            </w:r>
            <w:r w:rsidRPr="00E91E62">
              <w:rPr>
                <w:sz w:val="17"/>
                <w:szCs w:val="17"/>
              </w:rPr>
              <w:t xml:space="preserve">Para las actividades agropecuarias, de energía, gas, agua, servicios financieros </w:t>
            </w:r>
            <w:r w:rsidRPr="00183E55">
              <w:rPr>
                <w:sz w:val="17"/>
                <w:szCs w:val="17"/>
              </w:rPr>
              <w:t>y del gobierno,</w:t>
            </w:r>
            <w:r w:rsidRPr="00E91E62">
              <w:rPr>
                <w:sz w:val="17"/>
                <w:szCs w:val="17"/>
              </w:rPr>
              <w:t xml:space="preserve"> se incluyeron los registros administrativos que provienen de las empresas y Unidades del Estado.</w:t>
            </w:r>
          </w:p>
        </w:tc>
      </w:tr>
      <w:tr w:rsidR="001D32B9" w:rsidRPr="0013279C" w14:paraId="4B67B215" w14:textId="77777777" w:rsidTr="000A2C72">
        <w:trPr>
          <w:jc w:val="center"/>
        </w:trPr>
        <w:tc>
          <w:tcPr>
            <w:tcW w:w="969" w:type="pct"/>
            <w:vAlign w:val="center"/>
          </w:tcPr>
          <w:p w14:paraId="7E3AC01F" w14:textId="77777777" w:rsidR="001D32B9" w:rsidRPr="00E91E62" w:rsidRDefault="001D32B9" w:rsidP="000A2C72">
            <w:pPr>
              <w:pStyle w:val="Textoindependiente"/>
              <w:kinsoku w:val="0"/>
              <w:overflowPunct w:val="0"/>
              <w:spacing w:before="0"/>
              <w:jc w:val="right"/>
              <w:rPr>
                <w:b/>
                <w:bCs/>
                <w:color w:val="auto"/>
                <w:sz w:val="17"/>
                <w:szCs w:val="17"/>
              </w:rPr>
            </w:pPr>
            <w:r w:rsidRPr="00E91E62">
              <w:rPr>
                <w:b/>
                <w:bCs/>
                <w:color w:val="auto"/>
                <w:sz w:val="17"/>
                <w:szCs w:val="17"/>
              </w:rPr>
              <w:t>Cobertura geográfica</w:t>
            </w:r>
          </w:p>
        </w:tc>
        <w:tc>
          <w:tcPr>
            <w:tcW w:w="4031" w:type="pct"/>
            <w:vAlign w:val="center"/>
          </w:tcPr>
          <w:p w14:paraId="2EE968D6" w14:textId="77777777" w:rsidR="001D32B9" w:rsidRPr="00E91E62" w:rsidRDefault="001D32B9" w:rsidP="000A2C72">
            <w:pPr>
              <w:pStyle w:val="Texto"/>
              <w:keepNext/>
              <w:keepLines/>
              <w:widowControl w:val="0"/>
              <w:autoSpaceDE w:val="0"/>
              <w:autoSpaceDN w:val="0"/>
              <w:adjustRightInd w:val="0"/>
              <w:spacing w:after="0" w:line="240" w:lineRule="auto"/>
              <w:ind w:firstLine="0"/>
              <w:rPr>
                <w:sz w:val="17"/>
                <w:szCs w:val="17"/>
              </w:rPr>
            </w:pPr>
            <w:r w:rsidRPr="00E91E62">
              <w:rPr>
                <w:sz w:val="17"/>
                <w:szCs w:val="17"/>
              </w:rPr>
              <w:t>Nacional y por entidad federativa</w:t>
            </w:r>
          </w:p>
        </w:tc>
      </w:tr>
      <w:tr w:rsidR="001D32B9" w:rsidRPr="0013279C" w14:paraId="1158E175" w14:textId="77777777" w:rsidTr="000A2C72">
        <w:trPr>
          <w:trHeight w:val="222"/>
          <w:jc w:val="center"/>
        </w:trPr>
        <w:tc>
          <w:tcPr>
            <w:tcW w:w="969" w:type="pct"/>
            <w:vAlign w:val="center"/>
          </w:tcPr>
          <w:p w14:paraId="6427AF63" w14:textId="77777777" w:rsidR="001D32B9" w:rsidRPr="00E91E62" w:rsidRDefault="001D32B9" w:rsidP="000A2C72">
            <w:pPr>
              <w:pStyle w:val="Textoindependiente"/>
              <w:kinsoku w:val="0"/>
              <w:overflowPunct w:val="0"/>
              <w:spacing w:before="0"/>
              <w:jc w:val="right"/>
              <w:rPr>
                <w:b/>
                <w:bCs/>
                <w:color w:val="auto"/>
                <w:sz w:val="17"/>
                <w:szCs w:val="17"/>
              </w:rPr>
            </w:pPr>
            <w:r w:rsidRPr="00E91E62">
              <w:rPr>
                <w:b/>
                <w:bCs/>
                <w:color w:val="auto"/>
                <w:sz w:val="17"/>
                <w:szCs w:val="17"/>
              </w:rPr>
              <w:t>Periodicidad</w:t>
            </w:r>
          </w:p>
        </w:tc>
        <w:tc>
          <w:tcPr>
            <w:tcW w:w="4031" w:type="pct"/>
            <w:vAlign w:val="center"/>
          </w:tcPr>
          <w:p w14:paraId="6180480C" w14:textId="77777777" w:rsidR="001D32B9" w:rsidRPr="00E91E62" w:rsidRDefault="001D32B9" w:rsidP="000A2C72">
            <w:pPr>
              <w:pStyle w:val="Texto"/>
              <w:keepNext/>
              <w:keepLines/>
              <w:widowControl w:val="0"/>
              <w:autoSpaceDE w:val="0"/>
              <w:autoSpaceDN w:val="0"/>
              <w:adjustRightInd w:val="0"/>
              <w:spacing w:after="0" w:line="240" w:lineRule="auto"/>
              <w:ind w:firstLine="0"/>
              <w:rPr>
                <w:sz w:val="17"/>
                <w:szCs w:val="17"/>
                <w:lang w:val="es-ES_tradnl"/>
              </w:rPr>
            </w:pPr>
            <w:r w:rsidRPr="00E91E62">
              <w:rPr>
                <w:sz w:val="17"/>
                <w:szCs w:val="17"/>
              </w:rPr>
              <w:t>Trimestral</w:t>
            </w:r>
          </w:p>
        </w:tc>
      </w:tr>
      <w:tr w:rsidR="001D32B9" w:rsidRPr="0013279C" w14:paraId="6C53792C" w14:textId="77777777" w:rsidTr="000A2C72">
        <w:trPr>
          <w:jc w:val="center"/>
        </w:trPr>
        <w:tc>
          <w:tcPr>
            <w:tcW w:w="969" w:type="pct"/>
            <w:vAlign w:val="center"/>
          </w:tcPr>
          <w:p w14:paraId="19CE0AF7" w14:textId="77777777" w:rsidR="001D32B9" w:rsidRPr="00E91E62" w:rsidRDefault="001D32B9" w:rsidP="000A2C72">
            <w:pPr>
              <w:pStyle w:val="Textoindependiente"/>
              <w:kinsoku w:val="0"/>
              <w:overflowPunct w:val="0"/>
              <w:spacing w:before="0"/>
              <w:jc w:val="right"/>
              <w:rPr>
                <w:b/>
                <w:bCs/>
                <w:color w:val="auto"/>
                <w:sz w:val="17"/>
                <w:szCs w:val="17"/>
                <w:lang w:val="es-ES"/>
              </w:rPr>
            </w:pPr>
            <w:r w:rsidRPr="12B4AF78">
              <w:rPr>
                <w:b/>
                <w:bCs/>
                <w:color w:val="auto"/>
                <w:sz w:val="17"/>
                <w:szCs w:val="17"/>
                <w:lang w:val="es-ES"/>
              </w:rPr>
              <w:t xml:space="preserve">Cálculo del </w:t>
            </w:r>
            <w:r w:rsidRPr="12B4AF78">
              <w:rPr>
                <w:rFonts w:ascii="Arial Negrita" w:hAnsi="Arial Negrita"/>
                <w:b/>
                <w:bCs/>
                <w:smallCaps/>
                <w:color w:val="auto"/>
                <w:sz w:val="17"/>
                <w:szCs w:val="17"/>
                <w:lang w:val="es-ES"/>
              </w:rPr>
              <w:t>itaee</w:t>
            </w:r>
          </w:p>
        </w:tc>
        <w:tc>
          <w:tcPr>
            <w:tcW w:w="4031" w:type="pct"/>
            <w:vAlign w:val="center"/>
          </w:tcPr>
          <w:p w14:paraId="108767D2" w14:textId="77777777" w:rsidR="001D32B9" w:rsidRPr="00E91E62" w:rsidRDefault="001D32B9" w:rsidP="000A2C72">
            <w:pPr>
              <w:rPr>
                <w:sz w:val="17"/>
                <w:szCs w:val="17"/>
                <w:lang w:val="es-ES"/>
              </w:rPr>
            </w:pPr>
            <w:r w:rsidRPr="12B4AF78">
              <w:rPr>
                <w:sz w:val="17"/>
                <w:szCs w:val="17"/>
                <w:lang w:val="es-ES"/>
              </w:rPr>
              <w:t xml:space="preserve">Para el cálculo del </w:t>
            </w:r>
            <w:r w:rsidRPr="12B4AF78">
              <w:rPr>
                <w:smallCaps/>
                <w:sz w:val="17"/>
                <w:szCs w:val="17"/>
                <w:lang w:val="es-ES"/>
              </w:rPr>
              <w:t>itaee</w:t>
            </w:r>
            <w:r w:rsidRPr="12B4AF78">
              <w:rPr>
                <w:sz w:val="17"/>
                <w:szCs w:val="17"/>
                <w:lang w:val="es-ES"/>
              </w:rPr>
              <w:t xml:space="preserve"> se siguen los conceptos, criterios metodológicos, clasificadores y datos fuente que se emplean en los cálculos del Producto Interno Bruto (</w:t>
            </w:r>
            <w:r w:rsidRPr="12B4AF78">
              <w:rPr>
                <w:smallCaps/>
                <w:sz w:val="17"/>
                <w:szCs w:val="17"/>
                <w:lang w:val="es-ES"/>
              </w:rPr>
              <w:t>pib</w:t>
            </w:r>
            <w:r w:rsidRPr="12B4AF78">
              <w:rPr>
                <w:sz w:val="17"/>
                <w:szCs w:val="17"/>
                <w:lang w:val="es-ES"/>
              </w:rPr>
              <w:t>) trimestral y del Producto Interno Bruto por Entidad Federativa (</w:t>
            </w:r>
            <w:r w:rsidRPr="12B4AF78">
              <w:rPr>
                <w:smallCaps/>
                <w:sz w:val="17"/>
                <w:szCs w:val="17"/>
                <w:lang w:val="es-ES"/>
              </w:rPr>
              <w:t>pibe)</w:t>
            </w:r>
            <w:r w:rsidRPr="12B4AF78">
              <w:rPr>
                <w:sz w:val="17"/>
                <w:szCs w:val="17"/>
                <w:lang w:val="es-ES"/>
              </w:rPr>
              <w:t xml:space="preserve">, en la medida en que la información estadística disponible lo </w:t>
            </w:r>
            <w:r w:rsidRPr="00183E55">
              <w:rPr>
                <w:sz w:val="17"/>
                <w:szCs w:val="17"/>
                <w:lang w:val="es-ES"/>
              </w:rPr>
              <w:t>permite.</w:t>
            </w:r>
            <w:r w:rsidRPr="12B4AF78">
              <w:rPr>
                <w:sz w:val="17"/>
                <w:szCs w:val="17"/>
                <w:lang w:val="es-ES"/>
              </w:rPr>
              <w:t xml:space="preserve"> Además, se consideran los lineamientos internacionales sobre contabilidad nacional establecidos en el Sistema de Cuentas Nacionales (</w:t>
            </w:r>
            <w:r w:rsidRPr="12B4AF78">
              <w:rPr>
                <w:smallCaps/>
                <w:sz w:val="17"/>
                <w:szCs w:val="17"/>
                <w:lang w:val="es-ES"/>
              </w:rPr>
              <w:t xml:space="preserve">scn) </w:t>
            </w:r>
            <w:r w:rsidRPr="12B4AF78">
              <w:rPr>
                <w:sz w:val="17"/>
                <w:szCs w:val="17"/>
                <w:lang w:val="es-ES"/>
              </w:rPr>
              <w:t xml:space="preserve">2008, </w:t>
            </w:r>
            <w:r w:rsidRPr="001A1B39">
              <w:rPr>
                <w:sz w:val="17"/>
                <w:szCs w:val="17"/>
                <w:lang w:val="es-ES"/>
              </w:rPr>
              <w:t xml:space="preserve">en el </w:t>
            </w:r>
            <w:r w:rsidRPr="001A1B39">
              <w:rPr>
                <w:i/>
                <w:iCs/>
                <w:sz w:val="17"/>
                <w:szCs w:val="17"/>
                <w:lang w:val="es-ES"/>
              </w:rPr>
              <w:t>Manual de cuentas nacionales trimestrales</w:t>
            </w:r>
            <w:r w:rsidRPr="001A1B39">
              <w:rPr>
                <w:sz w:val="17"/>
                <w:szCs w:val="17"/>
                <w:lang w:val="es-ES"/>
              </w:rPr>
              <w:t xml:space="preserve"> y en</w:t>
            </w:r>
            <w:r>
              <w:rPr>
                <w:sz w:val="17"/>
                <w:szCs w:val="17"/>
                <w:lang w:val="es-ES"/>
              </w:rPr>
              <w:t xml:space="preserve"> los</w:t>
            </w:r>
            <w:r w:rsidRPr="001A1B39">
              <w:rPr>
                <w:sz w:val="17"/>
                <w:szCs w:val="17"/>
                <w:lang w:val="es-ES"/>
              </w:rPr>
              <w:t xml:space="preserve"> </w:t>
            </w:r>
            <w:r w:rsidRPr="001A1B39">
              <w:rPr>
                <w:i/>
                <w:iCs/>
                <w:sz w:val="17"/>
                <w:szCs w:val="17"/>
                <w:lang w:val="es-ES"/>
              </w:rPr>
              <w:t>Métodos de contabilidad regional.</w:t>
            </w:r>
          </w:p>
          <w:p w14:paraId="35A69EB5" w14:textId="77777777" w:rsidR="001D32B9" w:rsidRPr="00E91E62" w:rsidRDefault="001D32B9" w:rsidP="000A2C72">
            <w:pPr>
              <w:rPr>
                <w:sz w:val="17"/>
                <w:szCs w:val="17"/>
                <w:lang w:val="es-ES"/>
              </w:rPr>
            </w:pPr>
            <w:r w:rsidRPr="12B4AF78">
              <w:rPr>
                <w:sz w:val="17"/>
                <w:szCs w:val="17"/>
                <w:lang w:val="es-ES"/>
              </w:rPr>
              <w:t xml:space="preserve">Los cálculos del </w:t>
            </w:r>
            <w:r w:rsidRPr="12B4AF78">
              <w:rPr>
                <w:smallCaps/>
                <w:sz w:val="17"/>
                <w:szCs w:val="17"/>
                <w:lang w:val="es-ES"/>
              </w:rPr>
              <w:t>itaee</w:t>
            </w:r>
            <w:r w:rsidRPr="12B4AF78">
              <w:rPr>
                <w:sz w:val="17"/>
                <w:szCs w:val="17"/>
                <w:lang w:val="es-ES"/>
              </w:rPr>
              <w:t xml:space="preserve"> se efectúan por clase de actividad económica del </w:t>
            </w:r>
            <w:r w:rsidRPr="12B4AF78">
              <w:rPr>
                <w:smallCaps/>
                <w:sz w:val="17"/>
                <w:szCs w:val="17"/>
                <w:lang w:val="es-ES"/>
              </w:rPr>
              <w:t>scian</w:t>
            </w:r>
            <w:r w:rsidRPr="12B4AF78">
              <w:rPr>
                <w:sz w:val="17"/>
                <w:szCs w:val="17"/>
                <w:lang w:val="es-ES"/>
              </w:rPr>
              <w:t xml:space="preserve"> </w:t>
            </w:r>
            <w:r w:rsidRPr="12B4AF78">
              <w:rPr>
                <w:sz w:val="14"/>
                <w:szCs w:val="14"/>
                <w:lang w:val="es-ES"/>
              </w:rPr>
              <w:t>2018</w:t>
            </w:r>
            <w:r w:rsidRPr="12B4AF78">
              <w:rPr>
                <w:sz w:val="17"/>
                <w:szCs w:val="17"/>
                <w:lang w:val="es-ES"/>
              </w:rPr>
              <w:t xml:space="preserve">. Al interior de las clases se realizan mediciones específicas para las actividades formal e informal, artesanado formal e informal y bienes para procesamiento. Dichos cálculos inician con la elaboración de índices del volumen físico de la producción por clase de actividad económica. Los índices se emplean para extrapolar el valor agregado bruto </w:t>
            </w:r>
            <w:r>
              <w:rPr>
                <w:sz w:val="17"/>
                <w:szCs w:val="17"/>
                <w:lang w:val="es-ES"/>
              </w:rPr>
              <w:t>(</w:t>
            </w:r>
            <w:r w:rsidRPr="005E4D1E">
              <w:rPr>
                <w:smallCaps/>
                <w:sz w:val="17"/>
                <w:szCs w:val="17"/>
                <w:lang w:val="es-ES"/>
              </w:rPr>
              <w:t>vab</w:t>
            </w:r>
            <w:r>
              <w:rPr>
                <w:sz w:val="17"/>
                <w:szCs w:val="17"/>
                <w:lang w:val="es-ES"/>
              </w:rPr>
              <w:t xml:space="preserve">) </w:t>
            </w:r>
            <w:r w:rsidRPr="12B4AF78">
              <w:rPr>
                <w:sz w:val="17"/>
                <w:szCs w:val="17"/>
                <w:lang w:val="es-ES"/>
              </w:rPr>
              <w:t xml:space="preserve">registrado por cada clase de actividad en el año base 2018. Además, </w:t>
            </w:r>
            <w:r w:rsidRPr="00A64023">
              <w:rPr>
                <w:sz w:val="17"/>
                <w:szCs w:val="17"/>
                <w:lang w:val="es-ES"/>
              </w:rPr>
              <w:t>se alinean a</w:t>
            </w:r>
            <w:r w:rsidRPr="12B4AF78">
              <w:rPr>
                <w:sz w:val="17"/>
                <w:szCs w:val="17"/>
                <w:lang w:val="es-ES"/>
              </w:rPr>
              <w:t xml:space="preserve"> los valores nacionales trimestrales y anuales por entidad federativa con la técnica proporcional Denton Bivariada, lo que preserva al máximo las variaciones de los datos de corto plazo.</w:t>
            </w:r>
          </w:p>
          <w:p w14:paraId="5423612A" w14:textId="77777777" w:rsidR="001D32B9" w:rsidRPr="00E91E62" w:rsidRDefault="001D32B9" w:rsidP="000A2C72">
            <w:pPr>
              <w:rPr>
                <w:sz w:val="17"/>
                <w:szCs w:val="17"/>
              </w:rPr>
            </w:pPr>
            <w:r>
              <w:rPr>
                <w:sz w:val="17"/>
                <w:szCs w:val="17"/>
              </w:rPr>
              <w:t>Lo</w:t>
            </w:r>
            <w:r w:rsidRPr="00E91E62">
              <w:rPr>
                <w:sz w:val="17"/>
                <w:szCs w:val="17"/>
              </w:rPr>
              <w:t>s sectores, las actividades económicas y el total del indicador se obtienen</w:t>
            </w:r>
            <w:r>
              <w:rPr>
                <w:sz w:val="17"/>
                <w:szCs w:val="17"/>
              </w:rPr>
              <w:t xml:space="preserve"> a partir de la</w:t>
            </w:r>
            <w:r w:rsidRPr="00E91E62">
              <w:rPr>
                <w:sz w:val="17"/>
                <w:szCs w:val="17"/>
              </w:rPr>
              <w:t xml:space="preserve"> agregación de las actividades económicas. Para garantizar la comparabilidad regional y nacional, estos resultados se homologan con los del </w:t>
            </w:r>
            <w:r w:rsidRPr="00E91E62">
              <w:rPr>
                <w:smallCaps/>
                <w:sz w:val="17"/>
                <w:szCs w:val="17"/>
                <w:lang w:val="es-ES"/>
              </w:rPr>
              <w:t>pib</w:t>
            </w:r>
            <w:r w:rsidRPr="00E91E62">
              <w:rPr>
                <w:sz w:val="17"/>
                <w:szCs w:val="17"/>
                <w:lang w:val="es-ES"/>
              </w:rPr>
              <w:t xml:space="preserve"> </w:t>
            </w:r>
            <w:r>
              <w:rPr>
                <w:sz w:val="17"/>
                <w:szCs w:val="17"/>
              </w:rPr>
              <w:t>t</w:t>
            </w:r>
            <w:r w:rsidRPr="00E91E62">
              <w:rPr>
                <w:sz w:val="17"/>
                <w:szCs w:val="17"/>
              </w:rPr>
              <w:t xml:space="preserve">rimestral y con los del </w:t>
            </w:r>
            <w:r w:rsidRPr="00E91E62">
              <w:rPr>
                <w:smallCaps/>
                <w:sz w:val="17"/>
                <w:szCs w:val="17"/>
                <w:lang w:val="es-ES"/>
              </w:rPr>
              <w:t>pibe.</w:t>
            </w:r>
            <w:r w:rsidRPr="00E91E62">
              <w:rPr>
                <w:sz w:val="17"/>
                <w:szCs w:val="17"/>
                <w:lang w:val="es-ES"/>
              </w:rPr>
              <w:t xml:space="preserve"> </w:t>
            </w:r>
          </w:p>
        </w:tc>
      </w:tr>
      <w:tr w:rsidR="001D32B9" w:rsidRPr="0013279C" w14:paraId="16E2EC49" w14:textId="77777777" w:rsidTr="000A2C72">
        <w:trPr>
          <w:trHeight w:val="227"/>
          <w:jc w:val="center"/>
        </w:trPr>
        <w:tc>
          <w:tcPr>
            <w:tcW w:w="969" w:type="pct"/>
            <w:vAlign w:val="center"/>
          </w:tcPr>
          <w:p w14:paraId="595C82EC" w14:textId="77777777" w:rsidR="001D32B9" w:rsidRPr="00E91E62" w:rsidRDefault="001D32B9" w:rsidP="000A2C72">
            <w:pPr>
              <w:pStyle w:val="Textoindependiente"/>
              <w:kinsoku w:val="0"/>
              <w:overflowPunct w:val="0"/>
              <w:spacing w:before="0"/>
              <w:jc w:val="right"/>
              <w:rPr>
                <w:b/>
                <w:bCs/>
                <w:color w:val="auto"/>
                <w:sz w:val="17"/>
                <w:szCs w:val="17"/>
              </w:rPr>
            </w:pPr>
            <w:r w:rsidRPr="00E91E62">
              <w:rPr>
                <w:b/>
                <w:bCs/>
                <w:color w:val="auto"/>
                <w:sz w:val="17"/>
                <w:szCs w:val="17"/>
              </w:rPr>
              <w:t>Publicación de resultados</w:t>
            </w:r>
          </w:p>
        </w:tc>
        <w:tc>
          <w:tcPr>
            <w:tcW w:w="4031" w:type="pct"/>
            <w:vAlign w:val="center"/>
          </w:tcPr>
          <w:p w14:paraId="4D176DFA" w14:textId="77777777" w:rsidR="001D32B9" w:rsidRPr="00E91E62" w:rsidRDefault="001D32B9" w:rsidP="000A2C72">
            <w:pPr>
              <w:pStyle w:val="Texto"/>
              <w:keepNext/>
              <w:keepLines/>
              <w:autoSpaceDE w:val="0"/>
              <w:autoSpaceDN w:val="0"/>
              <w:adjustRightInd w:val="0"/>
              <w:spacing w:after="0" w:line="240" w:lineRule="auto"/>
              <w:ind w:firstLine="0"/>
              <w:rPr>
                <w:sz w:val="17"/>
                <w:szCs w:val="17"/>
              </w:rPr>
            </w:pPr>
            <w:r w:rsidRPr="00E91E62">
              <w:rPr>
                <w:sz w:val="17"/>
                <w:szCs w:val="17"/>
              </w:rPr>
              <w:t xml:space="preserve">El </w:t>
            </w:r>
            <w:r w:rsidRPr="00E91E62">
              <w:rPr>
                <w:smallCaps/>
                <w:sz w:val="17"/>
                <w:szCs w:val="17"/>
              </w:rPr>
              <w:t>itaee</w:t>
            </w:r>
            <w:r w:rsidRPr="00E91E62">
              <w:rPr>
                <w:sz w:val="17"/>
                <w:szCs w:val="17"/>
              </w:rPr>
              <w:t xml:space="preserve"> se publica, en promedio, 120 días después del trimestre de referencia conforme al Calendario de Difusión de Información Estadística y Geográfica y de Interés Nacional. </w:t>
            </w:r>
          </w:p>
        </w:tc>
      </w:tr>
      <w:tr w:rsidR="001D32B9" w:rsidRPr="0013279C" w14:paraId="694D2393" w14:textId="77777777" w:rsidTr="000A2C72">
        <w:trPr>
          <w:trHeight w:val="227"/>
          <w:jc w:val="center"/>
        </w:trPr>
        <w:tc>
          <w:tcPr>
            <w:tcW w:w="969" w:type="pct"/>
            <w:vAlign w:val="center"/>
          </w:tcPr>
          <w:p w14:paraId="1A8F658B" w14:textId="77777777" w:rsidR="001D32B9" w:rsidRPr="00E91E62" w:rsidRDefault="001D32B9" w:rsidP="000A2C72">
            <w:pPr>
              <w:pStyle w:val="Textoindependiente"/>
              <w:kinsoku w:val="0"/>
              <w:overflowPunct w:val="0"/>
              <w:spacing w:before="0"/>
              <w:jc w:val="right"/>
              <w:rPr>
                <w:b/>
                <w:bCs/>
                <w:color w:val="auto"/>
                <w:sz w:val="17"/>
                <w:szCs w:val="17"/>
              </w:rPr>
            </w:pPr>
            <w:r w:rsidRPr="00E91E62">
              <w:rPr>
                <w:b/>
                <w:bCs/>
                <w:color w:val="auto"/>
                <w:sz w:val="17"/>
                <w:szCs w:val="17"/>
              </w:rPr>
              <w:t xml:space="preserve">Nota al </w:t>
            </w:r>
            <w:r>
              <w:rPr>
                <w:b/>
                <w:bCs/>
                <w:color w:val="auto"/>
                <w:sz w:val="17"/>
                <w:szCs w:val="17"/>
              </w:rPr>
              <w:t>público usuario</w:t>
            </w:r>
          </w:p>
        </w:tc>
        <w:tc>
          <w:tcPr>
            <w:tcW w:w="4031" w:type="pct"/>
            <w:vAlign w:val="center"/>
          </w:tcPr>
          <w:p w14:paraId="0A3741BE" w14:textId="77777777" w:rsidR="001D32B9" w:rsidRDefault="001D32B9" w:rsidP="000A2C72">
            <w:pPr>
              <w:pStyle w:val="Texto"/>
              <w:autoSpaceDE w:val="0"/>
              <w:autoSpaceDN w:val="0"/>
              <w:adjustRightInd w:val="0"/>
              <w:spacing w:after="0" w:line="240" w:lineRule="auto"/>
              <w:ind w:firstLine="0"/>
              <w:rPr>
                <w:sz w:val="17"/>
                <w:szCs w:val="17"/>
              </w:rPr>
            </w:pPr>
            <w:bookmarkStart w:id="5" w:name="_Hlk187782664"/>
            <w:r w:rsidRPr="0071747B">
              <w:rPr>
                <w:sz w:val="17"/>
                <w:szCs w:val="17"/>
              </w:rPr>
              <w:t>Este indicador se actualiza una vez que se dispone de la información estadística más reciente de las encuestas, los registros administrativos y los datos primarios</w:t>
            </w:r>
            <w:r>
              <w:rPr>
                <w:sz w:val="17"/>
                <w:szCs w:val="17"/>
              </w:rPr>
              <w:t>.</w:t>
            </w:r>
            <w:r w:rsidRPr="00AB515A">
              <w:rPr>
                <w:sz w:val="17"/>
                <w:szCs w:val="17"/>
              </w:rPr>
              <w:t xml:space="preserve"> Como resultado de incorporar esta información, se identifican diferencias en los niveles de los índices y variaciones que se publicaron oportunamente</w:t>
            </w:r>
            <w:r w:rsidRPr="00CD7976">
              <w:t>.</w:t>
            </w:r>
            <w:r w:rsidRPr="00EC464E">
              <w:rPr>
                <w:sz w:val="17"/>
                <w:szCs w:val="17"/>
                <w:lang w:val="es-ES_tradnl"/>
              </w:rPr>
              <w:t xml:space="preserve"> La actualización se hace con base en los</w:t>
            </w:r>
            <w:r w:rsidRPr="00FE4BD3">
              <w:rPr>
                <w:i/>
                <w:iCs/>
                <w:sz w:val="17"/>
                <w:szCs w:val="17"/>
                <w:lang w:val="es-ES_tradnl"/>
              </w:rPr>
              <w:t xml:space="preserve"> Lineamientos de cambios a la información divulgada en las publicaciones estadísticas y geográficas del Instituto Nacional de Estadística y Geografía</w:t>
            </w:r>
            <w:r>
              <w:rPr>
                <w:i/>
                <w:iCs/>
                <w:sz w:val="17"/>
                <w:szCs w:val="17"/>
                <w:lang w:val="es-ES_tradnl"/>
              </w:rPr>
              <w:t>,</w:t>
            </w:r>
            <w:r w:rsidRPr="00FE4BD3">
              <w:rPr>
                <w:i/>
                <w:iCs/>
                <w:sz w:val="17"/>
                <w:szCs w:val="17"/>
                <w:lang w:val="es-ES_tradnl"/>
              </w:rPr>
              <w:t xml:space="preserve"> </w:t>
            </w:r>
            <w:r w:rsidRPr="00EC464E">
              <w:rPr>
                <w:sz w:val="17"/>
                <w:szCs w:val="17"/>
                <w:lang w:val="es-ES_tradnl"/>
              </w:rPr>
              <w:t>que se complementan con las Normas Especiales para la Divulgación de Datos del Fondo Monetario Internacional</w:t>
            </w:r>
            <w:r>
              <w:rPr>
                <w:sz w:val="17"/>
                <w:szCs w:val="17"/>
                <w:lang w:val="es-ES_tradnl"/>
              </w:rPr>
              <w:t>.</w:t>
            </w:r>
          </w:p>
          <w:p w14:paraId="04E1CB00" w14:textId="77777777" w:rsidR="001D32B9" w:rsidRPr="00E91E62" w:rsidRDefault="001D32B9" w:rsidP="000A2C72">
            <w:pPr>
              <w:pStyle w:val="Texto"/>
              <w:autoSpaceDE w:val="0"/>
              <w:autoSpaceDN w:val="0"/>
              <w:adjustRightInd w:val="0"/>
              <w:spacing w:after="0" w:line="240" w:lineRule="auto"/>
              <w:ind w:firstLine="0"/>
              <w:rPr>
                <w:sz w:val="17"/>
                <w:szCs w:val="17"/>
              </w:rPr>
            </w:pPr>
            <w:r w:rsidRPr="00A47C9B">
              <w:rPr>
                <w:sz w:val="17"/>
                <w:szCs w:val="17"/>
              </w:rPr>
              <w:t xml:space="preserve">En la integración del </w:t>
            </w:r>
            <w:r w:rsidRPr="00A610A5">
              <w:rPr>
                <w:smallCaps/>
                <w:sz w:val="17"/>
                <w:szCs w:val="17"/>
              </w:rPr>
              <w:t>itaee</w:t>
            </w:r>
            <w:r w:rsidRPr="00A47C9B">
              <w:rPr>
                <w:sz w:val="17"/>
                <w:szCs w:val="17"/>
              </w:rPr>
              <w:t xml:space="preserve"> </w:t>
            </w:r>
            <w:r>
              <w:rPr>
                <w:sz w:val="17"/>
                <w:szCs w:val="17"/>
              </w:rPr>
              <w:t>de</w:t>
            </w:r>
            <w:r w:rsidRPr="00A47C9B">
              <w:rPr>
                <w:sz w:val="17"/>
                <w:szCs w:val="17"/>
              </w:rPr>
              <w:t xml:space="preserve">l </w:t>
            </w:r>
            <w:r>
              <w:rPr>
                <w:sz w:val="17"/>
                <w:szCs w:val="17"/>
              </w:rPr>
              <w:t>segundo trimestre</w:t>
            </w:r>
            <w:r w:rsidRPr="00A47C9B">
              <w:rPr>
                <w:sz w:val="17"/>
                <w:szCs w:val="17"/>
              </w:rPr>
              <w:t xml:space="preserve"> de 202</w:t>
            </w:r>
            <w:r>
              <w:rPr>
                <w:sz w:val="17"/>
                <w:szCs w:val="17"/>
              </w:rPr>
              <w:t>6</w:t>
            </w:r>
            <w:r w:rsidRPr="00A47C9B">
              <w:rPr>
                <w:sz w:val="17"/>
                <w:szCs w:val="17"/>
              </w:rPr>
              <w:t xml:space="preserve"> se consideró la información estadística más reciente de las encuestas económicas, de la Estadística de la Industria Minerometalúrgica (</w:t>
            </w:r>
            <w:r w:rsidRPr="00A610A5">
              <w:rPr>
                <w:smallCaps/>
                <w:sz w:val="17"/>
                <w:szCs w:val="17"/>
              </w:rPr>
              <w:t>eimm</w:t>
            </w:r>
            <w:r w:rsidRPr="00A47C9B">
              <w:rPr>
                <w:sz w:val="17"/>
                <w:szCs w:val="17"/>
              </w:rPr>
              <w:t xml:space="preserve">), de la </w:t>
            </w:r>
            <w:r w:rsidRPr="00A610A5">
              <w:rPr>
                <w:smallCaps/>
                <w:sz w:val="17"/>
                <w:szCs w:val="17"/>
              </w:rPr>
              <w:t>enoe,</w:t>
            </w:r>
            <w:r w:rsidRPr="00A47C9B">
              <w:rPr>
                <w:sz w:val="17"/>
                <w:szCs w:val="17"/>
              </w:rPr>
              <w:t xml:space="preserve"> de los registros administrativos </w:t>
            </w:r>
            <w:r w:rsidRPr="001A1B39">
              <w:rPr>
                <w:sz w:val="17"/>
                <w:szCs w:val="17"/>
              </w:rPr>
              <w:t>y los datos</w:t>
            </w:r>
            <w:r w:rsidRPr="00A47C9B">
              <w:rPr>
                <w:sz w:val="17"/>
                <w:szCs w:val="17"/>
              </w:rPr>
              <w:t xml:space="preserve"> primarios que divulga el Instituto. Para las actividades agropecuarias, petroleras, de energía, gas y agua, de servicios financieros y del gobierno se incluyeron los registros administrativos provenientes de las empresas y Unidades del Estado que se recibieron oportunamente vía correo electrónico y por internet, lo que permitió la generación de </w:t>
            </w:r>
            <w:r>
              <w:rPr>
                <w:sz w:val="17"/>
                <w:szCs w:val="17"/>
              </w:rPr>
              <w:t>resultados</w:t>
            </w:r>
            <w:r w:rsidRPr="00A47C9B">
              <w:rPr>
                <w:sz w:val="17"/>
                <w:szCs w:val="17"/>
              </w:rPr>
              <w:t xml:space="preserve"> con niveles altos de cobertura.</w:t>
            </w:r>
          </w:p>
          <w:bookmarkEnd w:id="5"/>
          <w:p w14:paraId="65358295" w14:textId="77777777" w:rsidR="001D32B9" w:rsidRPr="00E91E62" w:rsidRDefault="001D32B9" w:rsidP="000A2C72">
            <w:pPr>
              <w:pStyle w:val="Texto"/>
              <w:autoSpaceDE w:val="0"/>
              <w:autoSpaceDN w:val="0"/>
              <w:adjustRightInd w:val="0"/>
              <w:spacing w:after="0" w:line="240" w:lineRule="auto"/>
              <w:ind w:firstLine="0"/>
              <w:rPr>
                <w:sz w:val="17"/>
                <w:szCs w:val="17"/>
              </w:rPr>
            </w:pPr>
            <w:r w:rsidRPr="00E91E62">
              <w:rPr>
                <w:sz w:val="17"/>
                <w:szCs w:val="17"/>
              </w:rPr>
              <w:t xml:space="preserve">El </w:t>
            </w:r>
            <w:r w:rsidRPr="00E91E62">
              <w:rPr>
                <w:smallCaps/>
                <w:sz w:val="17"/>
                <w:szCs w:val="17"/>
              </w:rPr>
              <w:t xml:space="preserve">inegi </w:t>
            </w:r>
            <w:r w:rsidRPr="00E91E62">
              <w:rPr>
                <w:sz w:val="17"/>
                <w:szCs w:val="17"/>
              </w:rPr>
              <w:t>invita</w:t>
            </w:r>
            <w:r>
              <w:rPr>
                <w:sz w:val="17"/>
                <w:szCs w:val="17"/>
              </w:rPr>
              <w:t xml:space="preserve"> a</w:t>
            </w:r>
            <w:r w:rsidRPr="00E91E62">
              <w:rPr>
                <w:sz w:val="17"/>
                <w:szCs w:val="17"/>
              </w:rPr>
              <w:t xml:space="preserve"> conocer con mayor detalle la metodología del </w:t>
            </w:r>
            <w:r w:rsidRPr="00E91E62">
              <w:rPr>
                <w:smallCaps/>
                <w:sz w:val="17"/>
                <w:szCs w:val="17"/>
                <w:shd w:val="clear" w:color="auto" w:fill="FFFFFF"/>
              </w:rPr>
              <w:t>itaee</w:t>
            </w:r>
            <w:r w:rsidRPr="00E91E62">
              <w:rPr>
                <w:smallCaps/>
                <w:sz w:val="17"/>
                <w:szCs w:val="17"/>
              </w:rPr>
              <w:t xml:space="preserve"> </w:t>
            </w:r>
            <w:r w:rsidRPr="00E91E62">
              <w:rPr>
                <w:sz w:val="17"/>
                <w:szCs w:val="17"/>
              </w:rPr>
              <w:t>en la siguiente liga:</w:t>
            </w:r>
          </w:p>
          <w:p w14:paraId="50DF8830" w14:textId="77777777" w:rsidR="001D32B9" w:rsidRPr="00E91E62" w:rsidRDefault="001D32B9" w:rsidP="000A2C72">
            <w:pPr>
              <w:rPr>
                <w:rStyle w:val="Hipervnculo"/>
                <w:sz w:val="17"/>
                <w:szCs w:val="17"/>
              </w:rPr>
            </w:pPr>
            <w:hyperlink r:id="rId26" w:history="1">
              <w:r w:rsidRPr="00E91E62">
                <w:rPr>
                  <w:rStyle w:val="Hipervnculo"/>
                  <w:sz w:val="17"/>
                  <w:szCs w:val="17"/>
                </w:rPr>
                <w:t>https://www.inegi.org.mx/programas/itaee/2018/</w:t>
              </w:r>
            </w:hyperlink>
          </w:p>
          <w:p w14:paraId="2A786F28" w14:textId="77777777" w:rsidR="001D32B9" w:rsidRPr="00E91E62" w:rsidRDefault="001D32B9" w:rsidP="000A2C72">
            <w:pPr>
              <w:rPr>
                <w:color w:val="0000FF"/>
                <w:sz w:val="17"/>
                <w:szCs w:val="17"/>
                <w:u w:val="single"/>
              </w:rPr>
            </w:pPr>
          </w:p>
        </w:tc>
      </w:tr>
    </w:tbl>
    <w:p w14:paraId="4F5ABAA2" w14:textId="77777777" w:rsidR="001D32B9" w:rsidRPr="00AA037A" w:rsidRDefault="001D32B9" w:rsidP="001D32B9">
      <w:pPr>
        <w:pStyle w:val="NormalWeb"/>
        <w:spacing w:before="0" w:beforeAutospacing="0" w:after="0" w:afterAutospacing="0"/>
        <w:contextualSpacing/>
        <w:jc w:val="center"/>
        <w:rPr>
          <w:rFonts w:ascii="Arial" w:hAnsi="Arial" w:cs="Arial"/>
          <w:i/>
          <w:color w:val="404040" w:themeColor="text1" w:themeTint="BF"/>
          <w:sz w:val="20"/>
          <w:szCs w:val="20"/>
        </w:rPr>
      </w:pPr>
      <w:r w:rsidRPr="250AAFF2">
        <w:rPr>
          <w:rFonts w:ascii="Arial" w:hAnsi="Arial" w:cs="Arial"/>
          <w:i/>
          <w:color w:val="404040" w:themeColor="text1" w:themeTint="BF"/>
          <w:sz w:val="20"/>
          <w:szCs w:val="20"/>
        </w:rPr>
        <w:t>La información estadística y geográfica que genera el</w:t>
      </w:r>
      <w:r w:rsidRPr="250AAFF2">
        <w:rPr>
          <w:rFonts w:ascii="Arial" w:hAnsi="Arial" w:cs="Arial"/>
          <w:i/>
          <w:smallCaps/>
          <w:color w:val="404040" w:themeColor="text1" w:themeTint="BF"/>
          <w:sz w:val="20"/>
          <w:szCs w:val="20"/>
        </w:rPr>
        <w:t xml:space="preserve"> inegi</w:t>
      </w:r>
      <w:r w:rsidRPr="250AAFF2">
        <w:rPr>
          <w:rFonts w:ascii="Arial" w:hAnsi="Arial" w:cs="Arial"/>
          <w:i/>
          <w:color w:val="404040" w:themeColor="text1" w:themeTint="BF"/>
          <w:sz w:val="20"/>
          <w:szCs w:val="20"/>
        </w:rPr>
        <w:t xml:space="preserve"> es un bien público y nos permite </w:t>
      </w:r>
    </w:p>
    <w:p w14:paraId="66B6B8D5" w14:textId="77777777" w:rsidR="001D32B9" w:rsidRPr="00AA037A" w:rsidRDefault="001D32B9" w:rsidP="001D32B9">
      <w:pPr>
        <w:pStyle w:val="NormalWeb"/>
        <w:spacing w:before="0" w:beforeAutospacing="0" w:after="0" w:afterAutospacing="0"/>
        <w:contextualSpacing/>
        <w:jc w:val="center"/>
        <w:rPr>
          <w:rFonts w:ascii="Arial" w:hAnsi="Arial" w:cs="Arial"/>
          <w:i/>
          <w:iCs/>
          <w:color w:val="404040" w:themeColor="text1" w:themeTint="BF"/>
          <w:sz w:val="20"/>
          <w:szCs w:val="20"/>
          <w:lang w:val="es-ES_tradnl"/>
        </w:rPr>
      </w:pPr>
      <w:r w:rsidRPr="00AA037A">
        <w:rPr>
          <w:rFonts w:ascii="Arial" w:hAnsi="Arial" w:cs="Arial"/>
          <w:i/>
          <w:iCs/>
          <w:color w:val="404040" w:themeColor="text1" w:themeTint="BF"/>
          <w:sz w:val="20"/>
          <w:szCs w:val="20"/>
          <w:lang w:val="es-ES_tradnl"/>
        </w:rPr>
        <w:t>a todas y a todos tomar mejores decisiones. ¡Conócela, úsala y compártela!</w:t>
      </w:r>
    </w:p>
    <w:p w14:paraId="0ADDB75F" w14:textId="77777777" w:rsidR="001D32B9" w:rsidRPr="00F03105" w:rsidRDefault="001D32B9" w:rsidP="001D32B9">
      <w:pPr>
        <w:contextualSpacing/>
        <w:jc w:val="center"/>
        <w:rPr>
          <w:sz w:val="16"/>
          <w:szCs w:val="16"/>
          <w:lang w:val="es-ES" w:eastAsia="es-MX"/>
        </w:rPr>
      </w:pPr>
      <w:r w:rsidRPr="00642716">
        <w:rPr>
          <w:noProof/>
        </w:rPr>
        <w:drawing>
          <wp:inline distT="0" distB="0" distL="0" distR="0" wp14:anchorId="06E2B147" wp14:editId="1A4D27C4">
            <wp:extent cx="229711" cy="222140"/>
            <wp:effectExtent l="0" t="0" r="0" b="6985"/>
            <wp:docPr id="21" name="Imagen 21" descr="Icono&#10;&#10;Descripción generada automáticament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cono&#10;&#10;Descripción generada automáticamente">
                      <a:hlinkClick r:id="rId2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t="1648" b="1648"/>
                    <a:stretch>
                      <a:fillRect/>
                    </a:stretch>
                  </pic:blipFill>
                  <pic:spPr bwMode="auto">
                    <a:xfrm>
                      <a:off x="0" y="0"/>
                      <a:ext cx="252970" cy="244632"/>
                    </a:xfrm>
                    <a:prstGeom prst="rect">
                      <a:avLst/>
                    </a:prstGeom>
                    <a:noFill/>
                    <a:ln>
                      <a:noFill/>
                    </a:ln>
                    <a:extLst>
                      <a:ext uri="{53640926-AAD7-44D8-BBD7-CCE9431645EC}">
                        <a14:shadowObscured xmlns:a14="http://schemas.microsoft.com/office/drawing/2010/main"/>
                      </a:ext>
                    </a:extLst>
                  </pic:spPr>
                </pic:pic>
              </a:graphicData>
            </a:graphic>
          </wp:inline>
        </w:drawing>
      </w:r>
      <w:r w:rsidRPr="00642716">
        <w:rPr>
          <w:noProof/>
        </w:rPr>
        <w:t xml:space="preserve"> </w:t>
      </w:r>
      <w:r w:rsidRPr="00642716">
        <w:rPr>
          <w:noProof/>
        </w:rPr>
        <w:drawing>
          <wp:inline distT="0" distB="0" distL="0" distR="0" wp14:anchorId="3BB00D8D" wp14:editId="6C04B243">
            <wp:extent cx="234725" cy="234725"/>
            <wp:effectExtent l="0" t="0" r="0" b="0"/>
            <wp:docPr id="2097748279" name="Imagen 2097748279" descr="Icono&#10;&#10;Descripción generada automáticamente">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48279" name="Imagen 2097748279" descr="Icono&#10;&#10;Descripción generada automáticamente">
                      <a:hlinkClick r:id="rId29"/>
                    </pic:cNvPr>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242886" cy="242886"/>
                    </a:xfrm>
                    <a:prstGeom prst="rect">
                      <a:avLst/>
                    </a:prstGeom>
                    <a:noFill/>
                    <a:ln>
                      <a:noFill/>
                    </a:ln>
                  </pic:spPr>
                </pic:pic>
              </a:graphicData>
            </a:graphic>
          </wp:inline>
        </w:drawing>
      </w:r>
      <w:r w:rsidRPr="00642716">
        <w:rPr>
          <w:noProof/>
        </w:rPr>
        <w:t xml:space="preserve"> </w:t>
      </w:r>
      <w:r w:rsidRPr="00642716">
        <w:rPr>
          <w:noProof/>
        </w:rPr>
        <w:drawing>
          <wp:inline distT="0" distB="0" distL="0" distR="0" wp14:anchorId="0B379E97" wp14:editId="6FCBD035">
            <wp:extent cx="237490" cy="237490"/>
            <wp:effectExtent l="0" t="0" r="0" b="0"/>
            <wp:docPr id="384343980" name="Imagen 384343980" descr="Imagen que contiene objeto, reloj&#10;&#10;Descripción generada automáticamente">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43980" name="Imagen 384343980" descr="Imagen que contiene objeto, reloj&#10;&#10;Descripción generada automáticamente">
                      <a:hlinkClick r:id="rId31"/>
                    </pic:cNvPr>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241202" cy="241202"/>
                    </a:xfrm>
                    <a:prstGeom prst="rect">
                      <a:avLst/>
                    </a:prstGeom>
                    <a:noFill/>
                    <a:ln>
                      <a:noFill/>
                    </a:ln>
                  </pic:spPr>
                </pic:pic>
              </a:graphicData>
            </a:graphic>
          </wp:inline>
        </w:drawing>
      </w:r>
      <w:r w:rsidRPr="00642716">
        <w:rPr>
          <w:noProof/>
        </w:rPr>
        <w:t xml:space="preserve"> </w:t>
      </w:r>
      <w:r w:rsidRPr="00642716">
        <w:rPr>
          <w:noProof/>
        </w:rPr>
        <w:drawing>
          <wp:inline distT="0" distB="0" distL="0" distR="0" wp14:anchorId="78FF7AC9" wp14:editId="7C1662D5">
            <wp:extent cx="233654" cy="233654"/>
            <wp:effectExtent l="0" t="0" r="0" b="0"/>
            <wp:docPr id="22" name="Imagen 22" descr="Logotipo&#10;&#10;Descripción generada automáticament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ogotipo&#10;&#10;Descripción generada automáticamente">
                      <a:hlinkClick r:id="rId33"/>
                    </pic:cNvPr>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240777" cy="240777"/>
                    </a:xfrm>
                    <a:prstGeom prst="rect">
                      <a:avLst/>
                    </a:prstGeom>
                    <a:noFill/>
                    <a:ln>
                      <a:noFill/>
                    </a:ln>
                  </pic:spPr>
                </pic:pic>
              </a:graphicData>
            </a:graphic>
          </wp:inline>
        </w:drawing>
      </w:r>
      <w:r w:rsidRPr="00642716">
        <w:rPr>
          <w:noProof/>
        </w:rPr>
        <w:t xml:space="preserve"> </w:t>
      </w:r>
      <w:r>
        <w:rPr>
          <w:noProof/>
        </w:rPr>
        <w:t xml:space="preserve">   </w:t>
      </w:r>
      <w:r w:rsidRPr="00642716">
        <w:rPr>
          <w:noProof/>
        </w:rPr>
        <w:t xml:space="preserve"> </w:t>
      </w:r>
      <w:r w:rsidRPr="00642716">
        <w:rPr>
          <w:noProof/>
        </w:rPr>
        <w:drawing>
          <wp:inline distT="0" distB="0" distL="0" distR="0" wp14:anchorId="01DA824A" wp14:editId="0F4B5702">
            <wp:extent cx="1436914" cy="152592"/>
            <wp:effectExtent l="0" t="0" r="0" b="0"/>
            <wp:docPr id="1297389716" name="Imagen 1297389716" descr="Icono&#10;&#10;Descripción generada automáticamente">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Icono&#10;&#10;Descripción generada automáticamente">
                      <a:hlinkClick r:id="rId35"/>
                    </pic:cNvPr>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1436914" cy="152592"/>
                    </a:xfrm>
                    <a:prstGeom prst="rect">
                      <a:avLst/>
                    </a:prstGeom>
                    <a:noFill/>
                    <a:ln>
                      <a:noFill/>
                    </a:ln>
                  </pic:spPr>
                </pic:pic>
              </a:graphicData>
            </a:graphic>
          </wp:inline>
        </w:drawing>
      </w:r>
      <w:bookmarkEnd w:id="3"/>
    </w:p>
    <w:sectPr w:rsidR="001D32B9" w:rsidRPr="00F03105" w:rsidSect="00E84787">
      <w:headerReference w:type="default" r:id="rId37"/>
      <w:pgSz w:w="12242" w:h="15842" w:code="1"/>
      <w:pgMar w:top="2268" w:right="1134" w:bottom="993" w:left="1134" w:header="284" w:footer="0" w:gutter="0"/>
      <w:paperSrc w:first="15" w:other="15"/>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6B40F" w14:textId="77777777" w:rsidR="00574E57" w:rsidRDefault="00574E57">
      <w:r>
        <w:separator/>
      </w:r>
    </w:p>
  </w:endnote>
  <w:endnote w:type="continuationSeparator" w:id="0">
    <w:p w14:paraId="1B2E2B38" w14:textId="77777777" w:rsidR="00574E57" w:rsidRDefault="00574E57">
      <w:r>
        <w:continuationSeparator/>
      </w:r>
    </w:p>
  </w:endnote>
  <w:endnote w:type="continuationNotice" w:id="1">
    <w:p w14:paraId="196BB7DB" w14:textId="77777777" w:rsidR="00574E57" w:rsidRDefault="00574E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Negrita">
    <w:altName w:val="Arial"/>
    <w:panose1 w:val="020B0704020202020204"/>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7D52A" w14:textId="77777777" w:rsidR="00574E57" w:rsidRDefault="00574E57">
      <w:r>
        <w:separator/>
      </w:r>
    </w:p>
  </w:footnote>
  <w:footnote w:type="continuationSeparator" w:id="0">
    <w:p w14:paraId="557206B7" w14:textId="77777777" w:rsidR="00574E57" w:rsidRDefault="00574E57">
      <w:r>
        <w:continuationSeparator/>
      </w:r>
    </w:p>
  </w:footnote>
  <w:footnote w:type="continuationNotice" w:id="1">
    <w:p w14:paraId="331E936F" w14:textId="77777777" w:rsidR="00574E57" w:rsidRDefault="00574E57"/>
  </w:footnote>
  <w:footnote w:id="2">
    <w:p w14:paraId="3E1A1C8C" w14:textId="2E49C651" w:rsidR="001D32B9" w:rsidRDefault="001D32B9" w:rsidP="001D32B9">
      <w:pPr>
        <w:pStyle w:val="Textonotapie"/>
        <w:ind w:left="142" w:right="21" w:hanging="142"/>
        <w:rPr>
          <w:sz w:val="16"/>
          <w:szCs w:val="16"/>
          <w:lang w:val="es-MX"/>
        </w:rPr>
      </w:pPr>
      <w:r w:rsidRPr="004C59F9">
        <w:rPr>
          <w:rStyle w:val="Refdenotaalpie"/>
          <w:sz w:val="16"/>
          <w:szCs w:val="16"/>
        </w:rPr>
        <w:footnoteRef/>
      </w:r>
      <w:r w:rsidRPr="00BD657E">
        <w:rPr>
          <w:sz w:val="10"/>
          <w:szCs w:val="10"/>
        </w:rPr>
        <w:t xml:space="preserve">  </w:t>
      </w:r>
      <w:r w:rsidR="0018232A">
        <w:rPr>
          <w:sz w:val="10"/>
          <w:szCs w:val="10"/>
        </w:rPr>
        <w:t xml:space="preserve"> </w:t>
      </w:r>
      <w:r>
        <w:rPr>
          <w:sz w:val="16"/>
          <w:szCs w:val="16"/>
        </w:rPr>
        <w:t xml:space="preserve">Para este análisis, el país se divide en cinco regiones: </w:t>
      </w:r>
      <w:r w:rsidRPr="009B6C71">
        <w:rPr>
          <w:sz w:val="16"/>
          <w:szCs w:val="16"/>
        </w:rPr>
        <w:t>norte (Baja California, Baja California Sur, Coahuila, Chihuahua, Nuevo León, Sinaloa, Sonora y Tamaulipas), centro-norte (</w:t>
      </w:r>
      <w:r w:rsidRPr="00F277C6">
        <w:rPr>
          <w:sz w:val="16"/>
          <w:szCs w:val="16"/>
        </w:rPr>
        <w:t>Aguascalientes, Colima, Durango, Guanajuato, Jalisco, Nayarit, San Luis Potosí y Zacatecas</w:t>
      </w:r>
      <w:r w:rsidRPr="009B6C71">
        <w:rPr>
          <w:sz w:val="16"/>
          <w:szCs w:val="16"/>
        </w:rPr>
        <w:t>), centro (Ciudad de México y el estado de México), centro-sur (Guerrero, Hidalgo, Michoacán, Morelos, Puebla, Querétaro y Tlaxcala) y sur-sureste (Campeche, Chiapas, Oaxaca, Quintana Roo, Tabasco, Veracruz y Yucatán).</w:t>
      </w:r>
      <w:r>
        <w:rPr>
          <w:sz w:val="16"/>
          <w:szCs w:val="16"/>
        </w:rPr>
        <w:t xml:space="preserve"> La división corresponde a la Ley del Sistema Nacional de Información Estadística y Geográfica p</w:t>
      </w:r>
      <w:r>
        <w:rPr>
          <w:color w:val="000000"/>
          <w:sz w:val="16"/>
          <w:szCs w:val="16"/>
          <w:lang w:eastAsia="es-MX"/>
        </w:rPr>
        <w:t>ara los fines estadísticos deseados. Además, corresponde a características económicas y geográficas homogéneas para las entidades que conforman cada región.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82391" w14:textId="3229E7CB" w:rsidR="009D653F" w:rsidRPr="007325AE" w:rsidRDefault="006A5FA6" w:rsidP="00E84787">
    <w:pPr>
      <w:pStyle w:val="Encabezado"/>
      <w:tabs>
        <w:tab w:val="clear" w:pos="4320"/>
        <w:tab w:val="clear" w:pos="8640"/>
      </w:tabs>
      <w:jc w:val="right"/>
      <w:rPr>
        <w:rFonts w:ascii="Arial Black" w:hAnsi="Arial Black"/>
        <w:b/>
        <w:color w:val="07BFBA"/>
      </w:rPr>
    </w:pPr>
    <w:r w:rsidRPr="007325AE">
      <w:rPr>
        <w:rFonts w:ascii="Arial Black" w:hAnsi="Arial Black"/>
        <w:b/>
        <w:noProof/>
        <w:color w:val="07BFBA"/>
      </w:rPr>
      <mc:AlternateContent>
        <mc:Choice Requires="wpg">
          <w:drawing>
            <wp:anchor distT="0" distB="0" distL="114300" distR="114300" simplePos="0" relativeHeight="251658240" behindDoc="1" locked="0" layoutInCell="1" allowOverlap="1" wp14:anchorId="1454B621" wp14:editId="592587E6">
              <wp:simplePos x="0" y="0"/>
              <wp:positionH relativeFrom="column">
                <wp:posOffset>-720090</wp:posOffset>
              </wp:positionH>
              <wp:positionV relativeFrom="paragraph">
                <wp:posOffset>-180340</wp:posOffset>
              </wp:positionV>
              <wp:extent cx="7768590" cy="1227455"/>
              <wp:effectExtent l="0" t="0" r="3810" b="0"/>
              <wp:wrapNone/>
              <wp:docPr id="802304702" name="Grupo 5"/>
              <wp:cNvGraphicFramePr/>
              <a:graphic xmlns:a="http://schemas.openxmlformats.org/drawingml/2006/main">
                <a:graphicData uri="http://schemas.microsoft.com/office/word/2010/wordprocessingGroup">
                  <wpg:wgp>
                    <wpg:cNvGrpSpPr/>
                    <wpg:grpSpPr>
                      <a:xfrm>
                        <a:off x="0" y="0"/>
                        <a:ext cx="7768590" cy="1227455"/>
                        <a:chOff x="0" y="0"/>
                        <a:chExt cx="7768590" cy="1227455"/>
                      </a:xfrm>
                    </wpg:grpSpPr>
                    <pic:pic xmlns:pic="http://schemas.openxmlformats.org/drawingml/2006/picture">
                      <pic:nvPicPr>
                        <pic:cNvPr id="410853002" name="Imagen 1" descr="Gráfico, Icono&#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8590" cy="1227455"/>
                        </a:xfrm>
                        <a:prstGeom prst="rect">
                          <a:avLst/>
                        </a:prstGeom>
                        <a:noFill/>
                        <a:ln>
                          <a:noFill/>
                        </a:ln>
                      </pic:spPr>
                    </pic:pic>
                    <pic:pic xmlns:pic="http://schemas.openxmlformats.org/drawingml/2006/picture">
                      <pic:nvPicPr>
                        <pic:cNvPr id="1163354351" name="Imagen 277445007"/>
                        <pic:cNvPicPr>
                          <a:picLocks noChangeAspect="1"/>
                        </pic:cNvPicPr>
                      </pic:nvPicPr>
                      <pic:blipFill>
                        <a:blip r:embed="rId2">
                          <a:extLst>
                            <a:ext uri="{28A0092B-C50C-407E-A947-70E740481C1C}">
                              <a14:useLocalDpi xmlns:a14="http://schemas.microsoft.com/office/drawing/2010/main" val="0"/>
                            </a:ext>
                          </a:extLst>
                        </a:blip>
                        <a:srcRect t="1604" b="1604"/>
                        <a:stretch>
                          <a:fillRect/>
                        </a:stretch>
                      </pic:blipFill>
                      <pic:spPr bwMode="auto">
                        <a:xfrm>
                          <a:off x="716890" y="460858"/>
                          <a:ext cx="1590675" cy="30924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A1D0B8B" id="Grupo 5" o:spid="_x0000_s1026" style="position:absolute;margin-left:-56.7pt;margin-top:-14.2pt;width:611.7pt;height:96.65pt;z-index:-251658240" coordsize="77685,1227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alt="Gráfico, Icono&#10;&#10;Descripción generada automáticamente" style="position:absolute;width:77685;height:12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">
                <v:imagedata r:id="rId3" o:title="Gráfico, Icono&#10;&#10;Descripción generada automáticamente"/>
              </v:shape>
              <v:shape id="Imagen 277445007" o:spid="_x0000_s1028" type="#_x0000_t75" style="position:absolute;left:7168;top:4608;width:15907;height:3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">
                <v:imagedata r:id="rId4" o:title="" croptop="1051f" cropbottom="1051f"/>
              </v:shape>
            </v:group>
          </w:pict>
        </mc:Fallback>
      </mc:AlternateContent>
    </w:r>
    <w:r w:rsidR="009D653F" w:rsidRPr="007325AE">
      <w:rPr>
        <w:rFonts w:ascii="Arial Black" w:hAnsi="Arial Black"/>
        <w:b/>
        <w:color w:val="07BFBA"/>
      </w:rPr>
      <w:t>BOLETÍN DE INDICADOR</w:t>
    </w:r>
    <w:r w:rsidR="00C56C5B">
      <w:rPr>
        <w:rFonts w:ascii="Arial Black" w:hAnsi="Arial Black"/>
        <w:b/>
        <w:color w:val="07BFBA"/>
      </w:rPr>
      <w:t xml:space="preserve"> </w:t>
    </w:r>
    <w:r w:rsidR="0018232A">
      <w:rPr>
        <w:rFonts w:ascii="Arial Black" w:hAnsi="Arial Black"/>
        <w:b/>
        <w:color w:val="07BFBA"/>
      </w:rPr>
      <w:t>649</w:t>
    </w:r>
    <w:r w:rsidR="00C56C5B" w:rsidRPr="00831CF4">
      <w:rPr>
        <w:rFonts w:ascii="Arial Black" w:hAnsi="Arial Black"/>
        <w:b/>
        <w:color w:val="07BFBA"/>
      </w:rPr>
      <w:t>/2</w:t>
    </w:r>
    <w:r w:rsidR="00046E13">
      <w:rPr>
        <w:rFonts w:ascii="Arial Black" w:hAnsi="Arial Black"/>
        <w:b/>
        <w:color w:val="07BFBA"/>
      </w:rPr>
      <w:t>6</w:t>
    </w:r>
  </w:p>
  <w:p w14:paraId="33E53F3E" w14:textId="77777777" w:rsidR="00311F8C" w:rsidRPr="007325AE" w:rsidRDefault="00311F8C" w:rsidP="00E84787">
    <w:pPr>
      <w:pStyle w:val="Encabezado"/>
      <w:tabs>
        <w:tab w:val="clear" w:pos="4320"/>
        <w:tab w:val="clear" w:pos="8640"/>
      </w:tabs>
      <w:spacing w:before="240"/>
      <w:jc w:val="right"/>
      <w:rPr>
        <w:b/>
        <w:bCs/>
        <w:noProof/>
        <w:color w:val="404040"/>
      </w:rPr>
    </w:pPr>
    <w:r w:rsidRPr="007325AE">
      <w:rPr>
        <w:b/>
        <w:bCs/>
        <w:noProof/>
        <w:color w:val="404040"/>
      </w:rPr>
      <w:t>INDICADOR TRIMESTRAL DE LA ACTIVIDAD</w:t>
    </w:r>
  </w:p>
  <w:p w14:paraId="54738DD5" w14:textId="7CB7FB38" w:rsidR="00C463BA" w:rsidRDefault="00311F8C" w:rsidP="00E84787">
    <w:pPr>
      <w:pStyle w:val="Encabezado"/>
      <w:tabs>
        <w:tab w:val="clear" w:pos="4320"/>
        <w:tab w:val="clear" w:pos="8640"/>
      </w:tabs>
      <w:jc w:val="right"/>
      <w:rPr>
        <w:b/>
        <w:bCs/>
        <w:noProof/>
        <w:color w:val="404040"/>
      </w:rPr>
    </w:pPr>
    <w:r w:rsidRPr="007325AE">
      <w:rPr>
        <w:b/>
        <w:bCs/>
        <w:noProof/>
        <w:color w:val="404040"/>
      </w:rPr>
      <w:t>ECONÓMICA ESTATAL (ITAEE)</w:t>
    </w:r>
  </w:p>
  <w:p w14:paraId="38A66BE0" w14:textId="0CAE2174" w:rsidR="002350DB" w:rsidRPr="00E62517" w:rsidRDefault="00B82CC0" w:rsidP="00530AC1">
    <w:pPr>
      <w:pStyle w:val="Encabezado"/>
      <w:tabs>
        <w:tab w:val="clear" w:pos="4320"/>
        <w:tab w:val="clear" w:pos="8640"/>
      </w:tabs>
      <w:jc w:val="right"/>
      <w:rPr>
        <w:b/>
        <w:bCs/>
        <w:noProof/>
        <w:color w:val="404040"/>
      </w:rPr>
    </w:pPr>
    <w:r>
      <w:rPr>
        <w:b/>
        <w:bCs/>
        <w:noProof/>
        <w:color w:val="404040"/>
      </w:rPr>
      <w:t>CIUDAD</w:t>
    </w:r>
    <w:r w:rsidR="00530AC1">
      <w:rPr>
        <w:b/>
        <w:bCs/>
        <w:noProof/>
        <w:color w:val="404040"/>
      </w:rPr>
      <w:t xml:space="preserve"> </w:t>
    </w:r>
    <w:r>
      <w:rPr>
        <w:b/>
        <w:bCs/>
        <w:noProof/>
        <w:color w:val="404040"/>
      </w:rPr>
      <w:t>DE MÉXICO</w:t>
    </w:r>
  </w:p>
  <w:p w14:paraId="5B29BBFA" w14:textId="7B18A08E" w:rsidR="009D653F" w:rsidRPr="007325AE" w:rsidRDefault="00882A4F" w:rsidP="00E84787">
    <w:pPr>
      <w:pStyle w:val="Encabezado"/>
      <w:tabs>
        <w:tab w:val="clear" w:pos="4320"/>
        <w:tab w:val="clear" w:pos="8640"/>
      </w:tabs>
      <w:jc w:val="right"/>
      <w:rPr>
        <w:bCs/>
        <w:color w:val="404040"/>
      </w:rPr>
    </w:pPr>
    <w:r>
      <w:rPr>
        <w:bCs/>
        <w:color w:val="404040"/>
      </w:rPr>
      <w:t>29</w:t>
    </w:r>
    <w:r w:rsidR="007325AE">
      <w:rPr>
        <w:bCs/>
        <w:color w:val="404040"/>
      </w:rPr>
      <w:t xml:space="preserve"> de </w:t>
    </w:r>
    <w:r w:rsidR="0084387E">
      <w:rPr>
        <w:bCs/>
        <w:color w:val="404040"/>
      </w:rPr>
      <w:t>octubre</w:t>
    </w:r>
    <w:r w:rsidR="005D4AF4" w:rsidRPr="007325AE">
      <w:rPr>
        <w:bCs/>
        <w:color w:val="404040"/>
      </w:rPr>
      <w:t xml:space="preserve"> </w:t>
    </w:r>
    <w:r w:rsidR="003E5CAB" w:rsidRPr="007325AE">
      <w:rPr>
        <w:bCs/>
        <w:color w:val="404040"/>
      </w:rPr>
      <w:t>de</w:t>
    </w:r>
    <w:r w:rsidR="009D653F" w:rsidRPr="007325AE">
      <w:rPr>
        <w:bCs/>
        <w:color w:val="404040"/>
      </w:rPr>
      <w:t xml:space="preserve"> 202</w:t>
    </w:r>
    <w:r w:rsidR="005D4AF4">
      <w:rPr>
        <w:bCs/>
        <w:color w:val="404040"/>
      </w:rPr>
      <w:t>6</w:t>
    </w:r>
  </w:p>
  <w:p w14:paraId="426703C4" w14:textId="28E68AAE" w:rsidR="00A21624" w:rsidRPr="007325AE" w:rsidRDefault="009D653F" w:rsidP="00E84787">
    <w:pPr>
      <w:pStyle w:val="Encabezado"/>
      <w:tabs>
        <w:tab w:val="clear" w:pos="4320"/>
        <w:tab w:val="clear" w:pos="8640"/>
      </w:tabs>
      <w:jc w:val="right"/>
      <w:rPr>
        <w:bCs/>
        <w:color w:val="404040"/>
      </w:rPr>
    </w:pPr>
    <w:r w:rsidRPr="007325AE">
      <w:rPr>
        <w:bCs/>
        <w:color w:val="404040"/>
      </w:rPr>
      <w:t xml:space="preserve">Página </w:t>
    </w:r>
    <w:r w:rsidRPr="007325AE">
      <w:rPr>
        <w:bCs/>
        <w:color w:val="404040"/>
      </w:rPr>
      <w:fldChar w:fldCharType="begin"/>
    </w:r>
    <w:r w:rsidRPr="007325AE">
      <w:rPr>
        <w:bCs/>
        <w:color w:val="404040"/>
      </w:rPr>
      <w:instrText xml:space="preserve"> PAGE  \* Arabic </w:instrText>
    </w:r>
    <w:r w:rsidRPr="007325AE">
      <w:rPr>
        <w:bCs/>
        <w:color w:val="404040"/>
      </w:rPr>
      <w:fldChar w:fldCharType="separate"/>
    </w:r>
    <w:r w:rsidRPr="007325AE">
      <w:rPr>
        <w:bCs/>
        <w:color w:val="404040"/>
      </w:rPr>
      <w:t>1</w:t>
    </w:r>
    <w:r w:rsidRPr="007325AE">
      <w:rPr>
        <w:bCs/>
        <w:color w:val="404040"/>
      </w:rPr>
      <w:fldChar w:fldCharType="end"/>
    </w:r>
    <w:r w:rsidRPr="007325AE">
      <w:rPr>
        <w:bCs/>
        <w:color w:val="404040"/>
      </w:rPr>
      <w:t>/</w:t>
    </w:r>
    <w:r w:rsidR="0048518E" w:rsidRPr="007325AE">
      <w:rPr>
        <w:bCs/>
        <w:color w:val="404040"/>
      </w:rPr>
      <w:t>1</w:t>
    </w:r>
    <w:r w:rsidR="00D63C73" w:rsidRPr="007325AE">
      <w:rPr>
        <w:bCs/>
        <w:color w:val="404040"/>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0803B4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71271AE"/>
    <w:multiLevelType w:val="hybridMultilevel"/>
    <w:tmpl w:val="8A987FEE"/>
    <w:lvl w:ilvl="0" w:tplc="609CC24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742F74"/>
    <w:multiLevelType w:val="hybridMultilevel"/>
    <w:tmpl w:val="48EC0FFC"/>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4" w15:restartNumberingAfterBreak="0">
    <w:nsid w:val="0937386B"/>
    <w:multiLevelType w:val="hybridMultilevel"/>
    <w:tmpl w:val="3578994A"/>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5" w15:restartNumberingAfterBreak="0">
    <w:nsid w:val="0B3F19FA"/>
    <w:multiLevelType w:val="hybridMultilevel"/>
    <w:tmpl w:val="B388F7A8"/>
    <w:lvl w:ilvl="0" w:tplc="0C32261E">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0DFE0BA8"/>
    <w:multiLevelType w:val="hybridMultilevel"/>
    <w:tmpl w:val="DAD020F4"/>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7" w15:restartNumberingAfterBreak="0">
    <w:nsid w:val="124E721B"/>
    <w:multiLevelType w:val="hybridMultilevel"/>
    <w:tmpl w:val="95B6E40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3A139D0"/>
    <w:multiLevelType w:val="hybridMultilevel"/>
    <w:tmpl w:val="D7A8C186"/>
    <w:lvl w:ilvl="0" w:tplc="3E909774">
      <w:start w:val="1"/>
      <w:numFmt w:val="upperRoman"/>
      <w:lvlText w:val="%1."/>
      <w:lvlJc w:val="left"/>
      <w:pPr>
        <w:ind w:left="8092"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8C03E05"/>
    <w:multiLevelType w:val="hybridMultilevel"/>
    <w:tmpl w:val="1BE8FD3C"/>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10" w15:restartNumberingAfterBreak="0">
    <w:nsid w:val="18E07E62"/>
    <w:multiLevelType w:val="hybridMultilevel"/>
    <w:tmpl w:val="A01859F8"/>
    <w:lvl w:ilvl="0" w:tplc="CCB83306">
      <w:start w:val="1"/>
      <w:numFmt w:val="upperRoman"/>
      <w:lvlText w:val="%1I."/>
      <w:lvlJc w:val="center"/>
      <w:pPr>
        <w:ind w:left="720" w:hanging="360"/>
      </w:pPr>
      <w:rPr>
        <w:rFonts w:ascii="Arial" w:hAnsi="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18F31AD"/>
    <w:multiLevelType w:val="hybridMultilevel"/>
    <w:tmpl w:val="4036C3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23BD4183"/>
    <w:multiLevelType w:val="hybridMultilevel"/>
    <w:tmpl w:val="F006B4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4202A60"/>
    <w:multiLevelType w:val="hybridMultilevel"/>
    <w:tmpl w:val="96908FE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261F2BAE"/>
    <w:multiLevelType w:val="singleLevel"/>
    <w:tmpl w:val="FFFFFFFF"/>
    <w:lvl w:ilvl="0">
      <w:numFmt w:val="decimal"/>
      <w:lvlText w:val="*"/>
      <w:lvlJc w:val="left"/>
    </w:lvl>
  </w:abstractNum>
  <w:abstractNum w:abstractNumId="15" w15:restartNumberingAfterBreak="0">
    <w:nsid w:val="26BF303E"/>
    <w:multiLevelType w:val="hybridMultilevel"/>
    <w:tmpl w:val="C9DCB1F4"/>
    <w:lvl w:ilvl="0" w:tplc="080A0001">
      <w:start w:val="1"/>
      <w:numFmt w:val="bullet"/>
      <w:lvlText w:val=""/>
      <w:lvlJc w:val="left"/>
      <w:pPr>
        <w:ind w:left="2628" w:hanging="360"/>
      </w:pPr>
      <w:rPr>
        <w:rFonts w:ascii="Symbol" w:hAnsi="Symbol" w:hint="default"/>
      </w:rPr>
    </w:lvl>
    <w:lvl w:ilvl="1" w:tplc="080A0003" w:tentative="1">
      <w:start w:val="1"/>
      <w:numFmt w:val="bullet"/>
      <w:lvlText w:val="o"/>
      <w:lvlJc w:val="left"/>
      <w:pPr>
        <w:ind w:left="3348" w:hanging="360"/>
      </w:pPr>
      <w:rPr>
        <w:rFonts w:ascii="Courier New" w:hAnsi="Courier New" w:cs="Courier New" w:hint="default"/>
      </w:rPr>
    </w:lvl>
    <w:lvl w:ilvl="2" w:tplc="080A0005" w:tentative="1">
      <w:start w:val="1"/>
      <w:numFmt w:val="bullet"/>
      <w:lvlText w:val=""/>
      <w:lvlJc w:val="left"/>
      <w:pPr>
        <w:ind w:left="4068" w:hanging="360"/>
      </w:pPr>
      <w:rPr>
        <w:rFonts w:ascii="Wingdings" w:hAnsi="Wingdings" w:hint="default"/>
      </w:rPr>
    </w:lvl>
    <w:lvl w:ilvl="3" w:tplc="080A0001" w:tentative="1">
      <w:start w:val="1"/>
      <w:numFmt w:val="bullet"/>
      <w:lvlText w:val=""/>
      <w:lvlJc w:val="left"/>
      <w:pPr>
        <w:ind w:left="4788" w:hanging="360"/>
      </w:pPr>
      <w:rPr>
        <w:rFonts w:ascii="Symbol" w:hAnsi="Symbol" w:hint="default"/>
      </w:rPr>
    </w:lvl>
    <w:lvl w:ilvl="4" w:tplc="080A0003" w:tentative="1">
      <w:start w:val="1"/>
      <w:numFmt w:val="bullet"/>
      <w:lvlText w:val="o"/>
      <w:lvlJc w:val="left"/>
      <w:pPr>
        <w:ind w:left="5508" w:hanging="360"/>
      </w:pPr>
      <w:rPr>
        <w:rFonts w:ascii="Courier New" w:hAnsi="Courier New" w:cs="Courier New" w:hint="default"/>
      </w:rPr>
    </w:lvl>
    <w:lvl w:ilvl="5" w:tplc="080A0005" w:tentative="1">
      <w:start w:val="1"/>
      <w:numFmt w:val="bullet"/>
      <w:lvlText w:val=""/>
      <w:lvlJc w:val="left"/>
      <w:pPr>
        <w:ind w:left="6228" w:hanging="360"/>
      </w:pPr>
      <w:rPr>
        <w:rFonts w:ascii="Wingdings" w:hAnsi="Wingdings" w:hint="default"/>
      </w:rPr>
    </w:lvl>
    <w:lvl w:ilvl="6" w:tplc="080A0001" w:tentative="1">
      <w:start w:val="1"/>
      <w:numFmt w:val="bullet"/>
      <w:lvlText w:val=""/>
      <w:lvlJc w:val="left"/>
      <w:pPr>
        <w:ind w:left="6948" w:hanging="360"/>
      </w:pPr>
      <w:rPr>
        <w:rFonts w:ascii="Symbol" w:hAnsi="Symbol" w:hint="default"/>
      </w:rPr>
    </w:lvl>
    <w:lvl w:ilvl="7" w:tplc="080A0003" w:tentative="1">
      <w:start w:val="1"/>
      <w:numFmt w:val="bullet"/>
      <w:lvlText w:val="o"/>
      <w:lvlJc w:val="left"/>
      <w:pPr>
        <w:ind w:left="7668" w:hanging="360"/>
      </w:pPr>
      <w:rPr>
        <w:rFonts w:ascii="Courier New" w:hAnsi="Courier New" w:cs="Courier New" w:hint="default"/>
      </w:rPr>
    </w:lvl>
    <w:lvl w:ilvl="8" w:tplc="080A0005" w:tentative="1">
      <w:start w:val="1"/>
      <w:numFmt w:val="bullet"/>
      <w:lvlText w:val=""/>
      <w:lvlJc w:val="left"/>
      <w:pPr>
        <w:ind w:left="8388" w:hanging="360"/>
      </w:pPr>
      <w:rPr>
        <w:rFonts w:ascii="Wingdings" w:hAnsi="Wingdings" w:hint="default"/>
      </w:rPr>
    </w:lvl>
  </w:abstractNum>
  <w:abstractNum w:abstractNumId="16" w15:restartNumberingAfterBreak="0">
    <w:nsid w:val="27576D76"/>
    <w:multiLevelType w:val="hybridMultilevel"/>
    <w:tmpl w:val="454CDCAA"/>
    <w:lvl w:ilvl="0" w:tplc="080A0001">
      <w:start w:val="1"/>
      <w:numFmt w:val="bullet"/>
      <w:lvlText w:val=""/>
      <w:lvlJc w:val="left"/>
      <w:pPr>
        <w:ind w:left="2422" w:hanging="360"/>
      </w:pPr>
      <w:rPr>
        <w:rFonts w:ascii="Symbol" w:hAnsi="Symbol" w:hint="default"/>
      </w:rPr>
    </w:lvl>
    <w:lvl w:ilvl="1" w:tplc="080A0003" w:tentative="1">
      <w:start w:val="1"/>
      <w:numFmt w:val="bullet"/>
      <w:lvlText w:val="o"/>
      <w:lvlJc w:val="left"/>
      <w:pPr>
        <w:ind w:left="3142" w:hanging="360"/>
      </w:pPr>
      <w:rPr>
        <w:rFonts w:ascii="Courier New" w:hAnsi="Courier New" w:cs="Courier New" w:hint="default"/>
      </w:rPr>
    </w:lvl>
    <w:lvl w:ilvl="2" w:tplc="080A0005" w:tentative="1">
      <w:start w:val="1"/>
      <w:numFmt w:val="bullet"/>
      <w:lvlText w:val=""/>
      <w:lvlJc w:val="left"/>
      <w:pPr>
        <w:ind w:left="3862" w:hanging="360"/>
      </w:pPr>
      <w:rPr>
        <w:rFonts w:ascii="Wingdings" w:hAnsi="Wingdings" w:hint="default"/>
      </w:rPr>
    </w:lvl>
    <w:lvl w:ilvl="3" w:tplc="080A0001" w:tentative="1">
      <w:start w:val="1"/>
      <w:numFmt w:val="bullet"/>
      <w:lvlText w:val=""/>
      <w:lvlJc w:val="left"/>
      <w:pPr>
        <w:ind w:left="4582" w:hanging="360"/>
      </w:pPr>
      <w:rPr>
        <w:rFonts w:ascii="Symbol" w:hAnsi="Symbol" w:hint="default"/>
      </w:rPr>
    </w:lvl>
    <w:lvl w:ilvl="4" w:tplc="080A0003" w:tentative="1">
      <w:start w:val="1"/>
      <w:numFmt w:val="bullet"/>
      <w:lvlText w:val="o"/>
      <w:lvlJc w:val="left"/>
      <w:pPr>
        <w:ind w:left="5302" w:hanging="360"/>
      </w:pPr>
      <w:rPr>
        <w:rFonts w:ascii="Courier New" w:hAnsi="Courier New" w:cs="Courier New" w:hint="default"/>
      </w:rPr>
    </w:lvl>
    <w:lvl w:ilvl="5" w:tplc="080A0005" w:tentative="1">
      <w:start w:val="1"/>
      <w:numFmt w:val="bullet"/>
      <w:lvlText w:val=""/>
      <w:lvlJc w:val="left"/>
      <w:pPr>
        <w:ind w:left="6022" w:hanging="360"/>
      </w:pPr>
      <w:rPr>
        <w:rFonts w:ascii="Wingdings" w:hAnsi="Wingdings" w:hint="default"/>
      </w:rPr>
    </w:lvl>
    <w:lvl w:ilvl="6" w:tplc="080A0001" w:tentative="1">
      <w:start w:val="1"/>
      <w:numFmt w:val="bullet"/>
      <w:lvlText w:val=""/>
      <w:lvlJc w:val="left"/>
      <w:pPr>
        <w:ind w:left="6742" w:hanging="360"/>
      </w:pPr>
      <w:rPr>
        <w:rFonts w:ascii="Symbol" w:hAnsi="Symbol" w:hint="default"/>
      </w:rPr>
    </w:lvl>
    <w:lvl w:ilvl="7" w:tplc="080A0003" w:tentative="1">
      <w:start w:val="1"/>
      <w:numFmt w:val="bullet"/>
      <w:lvlText w:val="o"/>
      <w:lvlJc w:val="left"/>
      <w:pPr>
        <w:ind w:left="7462" w:hanging="360"/>
      </w:pPr>
      <w:rPr>
        <w:rFonts w:ascii="Courier New" w:hAnsi="Courier New" w:cs="Courier New" w:hint="default"/>
      </w:rPr>
    </w:lvl>
    <w:lvl w:ilvl="8" w:tplc="080A0005" w:tentative="1">
      <w:start w:val="1"/>
      <w:numFmt w:val="bullet"/>
      <w:lvlText w:val=""/>
      <w:lvlJc w:val="left"/>
      <w:pPr>
        <w:ind w:left="8182" w:hanging="360"/>
      </w:pPr>
      <w:rPr>
        <w:rFonts w:ascii="Wingdings" w:hAnsi="Wingdings" w:hint="default"/>
      </w:rPr>
    </w:lvl>
  </w:abstractNum>
  <w:abstractNum w:abstractNumId="17" w15:restartNumberingAfterBreak="0">
    <w:nsid w:val="2C8D6BF8"/>
    <w:multiLevelType w:val="hybridMultilevel"/>
    <w:tmpl w:val="C450D34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FC854E1"/>
    <w:multiLevelType w:val="hybridMultilevel"/>
    <w:tmpl w:val="D290744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04D26A0"/>
    <w:multiLevelType w:val="multilevel"/>
    <w:tmpl w:val="EF704C50"/>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57E6A2F"/>
    <w:multiLevelType w:val="hybridMultilevel"/>
    <w:tmpl w:val="B33457E8"/>
    <w:lvl w:ilvl="0" w:tplc="D530396A">
      <w:start w:val="1"/>
      <w:numFmt w:val="decimal"/>
      <w:lvlText w:val="%1."/>
      <w:lvlJc w:val="left"/>
      <w:pPr>
        <w:ind w:left="720" w:hanging="360"/>
      </w:pPr>
      <w:rPr>
        <w:rFonts w:hint="default"/>
        <w:b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82931C1"/>
    <w:multiLevelType w:val="hybridMultilevel"/>
    <w:tmpl w:val="D04C7B3A"/>
    <w:lvl w:ilvl="0" w:tplc="FFFFFFFF">
      <w:start w:val="1"/>
      <w:numFmt w:val="bullet"/>
      <w:lvlText w:val=""/>
      <w:lvlJc w:val="left"/>
      <w:pPr>
        <w:tabs>
          <w:tab w:val="num" w:pos="1723"/>
        </w:tabs>
        <w:ind w:left="1723" w:hanging="360"/>
      </w:pPr>
      <w:rPr>
        <w:rFonts w:ascii="Symbol" w:hAnsi="Symbol" w:hint="default"/>
      </w:rPr>
    </w:lvl>
    <w:lvl w:ilvl="1" w:tplc="FFFFFFFF" w:tentative="1">
      <w:start w:val="1"/>
      <w:numFmt w:val="bullet"/>
      <w:lvlText w:val="o"/>
      <w:lvlJc w:val="left"/>
      <w:pPr>
        <w:tabs>
          <w:tab w:val="num" w:pos="2443"/>
        </w:tabs>
        <w:ind w:left="2443" w:hanging="360"/>
      </w:pPr>
      <w:rPr>
        <w:rFonts w:ascii="Courier New" w:hAnsi="Courier New" w:hint="default"/>
      </w:rPr>
    </w:lvl>
    <w:lvl w:ilvl="2" w:tplc="FFFFFFFF" w:tentative="1">
      <w:start w:val="1"/>
      <w:numFmt w:val="bullet"/>
      <w:lvlText w:val=""/>
      <w:lvlJc w:val="left"/>
      <w:pPr>
        <w:tabs>
          <w:tab w:val="num" w:pos="3163"/>
        </w:tabs>
        <w:ind w:left="3163" w:hanging="360"/>
      </w:pPr>
      <w:rPr>
        <w:rFonts w:ascii="Wingdings" w:hAnsi="Wingdings" w:hint="default"/>
      </w:rPr>
    </w:lvl>
    <w:lvl w:ilvl="3" w:tplc="FFFFFFFF" w:tentative="1">
      <w:start w:val="1"/>
      <w:numFmt w:val="bullet"/>
      <w:lvlText w:val=""/>
      <w:lvlJc w:val="left"/>
      <w:pPr>
        <w:tabs>
          <w:tab w:val="num" w:pos="3883"/>
        </w:tabs>
        <w:ind w:left="3883" w:hanging="360"/>
      </w:pPr>
      <w:rPr>
        <w:rFonts w:ascii="Symbol" w:hAnsi="Symbol" w:hint="default"/>
      </w:rPr>
    </w:lvl>
    <w:lvl w:ilvl="4" w:tplc="FFFFFFFF" w:tentative="1">
      <w:start w:val="1"/>
      <w:numFmt w:val="bullet"/>
      <w:lvlText w:val="o"/>
      <w:lvlJc w:val="left"/>
      <w:pPr>
        <w:tabs>
          <w:tab w:val="num" w:pos="4603"/>
        </w:tabs>
        <w:ind w:left="4603" w:hanging="360"/>
      </w:pPr>
      <w:rPr>
        <w:rFonts w:ascii="Courier New" w:hAnsi="Courier New" w:hint="default"/>
      </w:rPr>
    </w:lvl>
    <w:lvl w:ilvl="5" w:tplc="FFFFFFFF" w:tentative="1">
      <w:start w:val="1"/>
      <w:numFmt w:val="bullet"/>
      <w:lvlText w:val=""/>
      <w:lvlJc w:val="left"/>
      <w:pPr>
        <w:tabs>
          <w:tab w:val="num" w:pos="5323"/>
        </w:tabs>
        <w:ind w:left="5323" w:hanging="360"/>
      </w:pPr>
      <w:rPr>
        <w:rFonts w:ascii="Wingdings" w:hAnsi="Wingdings" w:hint="default"/>
      </w:rPr>
    </w:lvl>
    <w:lvl w:ilvl="6" w:tplc="FFFFFFFF" w:tentative="1">
      <w:start w:val="1"/>
      <w:numFmt w:val="bullet"/>
      <w:lvlText w:val=""/>
      <w:lvlJc w:val="left"/>
      <w:pPr>
        <w:tabs>
          <w:tab w:val="num" w:pos="6043"/>
        </w:tabs>
        <w:ind w:left="6043" w:hanging="360"/>
      </w:pPr>
      <w:rPr>
        <w:rFonts w:ascii="Symbol" w:hAnsi="Symbol" w:hint="default"/>
      </w:rPr>
    </w:lvl>
    <w:lvl w:ilvl="7" w:tplc="FFFFFFFF" w:tentative="1">
      <w:start w:val="1"/>
      <w:numFmt w:val="bullet"/>
      <w:lvlText w:val="o"/>
      <w:lvlJc w:val="left"/>
      <w:pPr>
        <w:tabs>
          <w:tab w:val="num" w:pos="6763"/>
        </w:tabs>
        <w:ind w:left="6763" w:hanging="360"/>
      </w:pPr>
      <w:rPr>
        <w:rFonts w:ascii="Courier New" w:hAnsi="Courier New" w:hint="default"/>
      </w:rPr>
    </w:lvl>
    <w:lvl w:ilvl="8" w:tplc="FFFFFFFF" w:tentative="1">
      <w:start w:val="1"/>
      <w:numFmt w:val="bullet"/>
      <w:lvlText w:val=""/>
      <w:lvlJc w:val="left"/>
      <w:pPr>
        <w:tabs>
          <w:tab w:val="num" w:pos="7483"/>
        </w:tabs>
        <w:ind w:left="7483" w:hanging="360"/>
      </w:pPr>
      <w:rPr>
        <w:rFonts w:ascii="Wingdings" w:hAnsi="Wingdings" w:hint="default"/>
      </w:rPr>
    </w:lvl>
  </w:abstractNum>
  <w:abstractNum w:abstractNumId="22" w15:restartNumberingAfterBreak="0">
    <w:nsid w:val="3BEE6391"/>
    <w:multiLevelType w:val="multilevel"/>
    <w:tmpl w:val="1D78F85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CA65FA4"/>
    <w:multiLevelType w:val="hybridMultilevel"/>
    <w:tmpl w:val="6E0A0A3A"/>
    <w:lvl w:ilvl="0" w:tplc="C992654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D970A15"/>
    <w:multiLevelType w:val="multilevel"/>
    <w:tmpl w:val="CD70D858"/>
    <w:lvl w:ilvl="0">
      <w:start w:val="1"/>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3EFD2963"/>
    <w:multiLevelType w:val="hybridMultilevel"/>
    <w:tmpl w:val="D190F9D8"/>
    <w:lvl w:ilvl="0" w:tplc="FFFFFFFF">
      <w:start w:val="1"/>
      <w:numFmt w:val="bullet"/>
      <w:lvlText w:val=""/>
      <w:legacy w:legacy="1" w:legacySpace="0" w:legacyIndent="360"/>
      <w:lvlJc w:val="left"/>
      <w:pPr>
        <w:ind w:left="2628"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10E03D6"/>
    <w:multiLevelType w:val="hybridMultilevel"/>
    <w:tmpl w:val="B9A0DBAA"/>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27" w15:restartNumberingAfterBreak="0">
    <w:nsid w:val="45440849"/>
    <w:multiLevelType w:val="hybridMultilevel"/>
    <w:tmpl w:val="EF80BC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961592E"/>
    <w:multiLevelType w:val="hybridMultilevel"/>
    <w:tmpl w:val="683AD13C"/>
    <w:lvl w:ilvl="0" w:tplc="080A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A3F0DA8"/>
    <w:multiLevelType w:val="hybridMultilevel"/>
    <w:tmpl w:val="C466FEE4"/>
    <w:lvl w:ilvl="0" w:tplc="2BEA138A">
      <w:start w:val="1"/>
      <w:numFmt w:val="upperRoman"/>
      <w:lvlText w:val="%1."/>
      <w:lvlJc w:val="center"/>
      <w:pPr>
        <w:ind w:left="1440" w:hanging="360"/>
      </w:pPr>
      <w:rPr>
        <w:rFonts w:ascii="Arial" w:hAnsi="Arial" w:hint="default"/>
        <w:b/>
        <w:bCs w:val="0"/>
        <w:i w:val="0"/>
        <w:sz w:val="26"/>
        <w:szCs w:val="26"/>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0" w15:restartNumberingAfterBreak="0">
    <w:nsid w:val="4E000E50"/>
    <w:multiLevelType w:val="hybridMultilevel"/>
    <w:tmpl w:val="8A5A495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555E36E8"/>
    <w:multiLevelType w:val="hybridMultilevel"/>
    <w:tmpl w:val="7C0C4F44"/>
    <w:lvl w:ilvl="0" w:tplc="32903B5A">
      <w:start w:val="1"/>
      <w:numFmt w:val="decimal"/>
      <w:lvlText w:val="%1"/>
      <w:lvlJc w:val="left"/>
      <w:pPr>
        <w:ind w:left="700" w:hanging="570"/>
      </w:pPr>
      <w:rPr>
        <w:rFonts w:hint="default"/>
        <w:vertAlign w:val="superscript"/>
      </w:rPr>
    </w:lvl>
    <w:lvl w:ilvl="1" w:tplc="080A0019" w:tentative="1">
      <w:start w:val="1"/>
      <w:numFmt w:val="lowerLetter"/>
      <w:lvlText w:val="%2."/>
      <w:lvlJc w:val="left"/>
      <w:pPr>
        <w:ind w:left="1210" w:hanging="360"/>
      </w:pPr>
    </w:lvl>
    <w:lvl w:ilvl="2" w:tplc="080A001B" w:tentative="1">
      <w:start w:val="1"/>
      <w:numFmt w:val="lowerRoman"/>
      <w:lvlText w:val="%3."/>
      <w:lvlJc w:val="right"/>
      <w:pPr>
        <w:ind w:left="1930" w:hanging="180"/>
      </w:pPr>
    </w:lvl>
    <w:lvl w:ilvl="3" w:tplc="080A000F" w:tentative="1">
      <w:start w:val="1"/>
      <w:numFmt w:val="decimal"/>
      <w:lvlText w:val="%4."/>
      <w:lvlJc w:val="left"/>
      <w:pPr>
        <w:ind w:left="2650" w:hanging="360"/>
      </w:pPr>
    </w:lvl>
    <w:lvl w:ilvl="4" w:tplc="080A0019" w:tentative="1">
      <w:start w:val="1"/>
      <w:numFmt w:val="lowerLetter"/>
      <w:lvlText w:val="%5."/>
      <w:lvlJc w:val="left"/>
      <w:pPr>
        <w:ind w:left="3370" w:hanging="360"/>
      </w:pPr>
    </w:lvl>
    <w:lvl w:ilvl="5" w:tplc="080A001B" w:tentative="1">
      <w:start w:val="1"/>
      <w:numFmt w:val="lowerRoman"/>
      <w:lvlText w:val="%6."/>
      <w:lvlJc w:val="right"/>
      <w:pPr>
        <w:ind w:left="4090" w:hanging="180"/>
      </w:pPr>
    </w:lvl>
    <w:lvl w:ilvl="6" w:tplc="080A000F" w:tentative="1">
      <w:start w:val="1"/>
      <w:numFmt w:val="decimal"/>
      <w:lvlText w:val="%7."/>
      <w:lvlJc w:val="left"/>
      <w:pPr>
        <w:ind w:left="4810" w:hanging="360"/>
      </w:pPr>
    </w:lvl>
    <w:lvl w:ilvl="7" w:tplc="080A0019" w:tentative="1">
      <w:start w:val="1"/>
      <w:numFmt w:val="lowerLetter"/>
      <w:lvlText w:val="%8."/>
      <w:lvlJc w:val="left"/>
      <w:pPr>
        <w:ind w:left="5530" w:hanging="360"/>
      </w:pPr>
    </w:lvl>
    <w:lvl w:ilvl="8" w:tplc="080A001B" w:tentative="1">
      <w:start w:val="1"/>
      <w:numFmt w:val="lowerRoman"/>
      <w:lvlText w:val="%9."/>
      <w:lvlJc w:val="right"/>
      <w:pPr>
        <w:ind w:left="6250" w:hanging="180"/>
      </w:pPr>
    </w:lvl>
  </w:abstractNum>
  <w:abstractNum w:abstractNumId="32" w15:restartNumberingAfterBreak="0">
    <w:nsid w:val="57BC08B2"/>
    <w:multiLevelType w:val="multilevel"/>
    <w:tmpl w:val="9518519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B5D3E61"/>
    <w:multiLevelType w:val="hybridMultilevel"/>
    <w:tmpl w:val="7F94EAB0"/>
    <w:lvl w:ilvl="0" w:tplc="FEA24B6C">
      <w:start w:val="1"/>
      <w:numFmt w:val="upperRoman"/>
      <w:lvlText w:val="%1."/>
      <w:lvlJc w:val="center"/>
      <w:pPr>
        <w:ind w:left="1080" w:hanging="720"/>
      </w:pPr>
      <w:rPr>
        <w:rFonts w:ascii="Arial" w:hAnsi="Arial" w:hint="default"/>
        <w:b/>
        <w:bCs w:val="0"/>
        <w:i w:val="0"/>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C5B48E4"/>
    <w:multiLevelType w:val="hybridMultilevel"/>
    <w:tmpl w:val="0BA8674A"/>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5" w15:restartNumberingAfterBreak="0">
    <w:nsid w:val="5E5C33B7"/>
    <w:multiLevelType w:val="hybridMultilevel"/>
    <w:tmpl w:val="AF6AF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45199D"/>
    <w:multiLevelType w:val="hybridMultilevel"/>
    <w:tmpl w:val="BBB47BDC"/>
    <w:lvl w:ilvl="0" w:tplc="7C007F22">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65082A59"/>
    <w:multiLevelType w:val="hybridMultilevel"/>
    <w:tmpl w:val="C34EFAD0"/>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8" w15:restartNumberingAfterBreak="0">
    <w:nsid w:val="677E097B"/>
    <w:multiLevelType w:val="hybridMultilevel"/>
    <w:tmpl w:val="C256E852"/>
    <w:lvl w:ilvl="0" w:tplc="D8E67286">
      <w:start w:val="1"/>
      <w:numFmt w:val="bullet"/>
      <w:lvlText w:val=""/>
      <w:lvlJc w:val="left"/>
      <w:pPr>
        <w:tabs>
          <w:tab w:val="num" w:pos="2029"/>
        </w:tabs>
        <w:ind w:left="2029" w:hanging="360"/>
      </w:pPr>
      <w:rPr>
        <w:rFonts w:ascii="Symbol" w:hAnsi="Symbol" w:hint="default"/>
        <w:color w:val="auto"/>
      </w:rPr>
    </w:lvl>
    <w:lvl w:ilvl="1" w:tplc="0C0A0003" w:tentative="1">
      <w:start w:val="1"/>
      <w:numFmt w:val="bullet"/>
      <w:lvlText w:val="o"/>
      <w:lvlJc w:val="left"/>
      <w:pPr>
        <w:tabs>
          <w:tab w:val="num" w:pos="2749"/>
        </w:tabs>
        <w:ind w:left="2749" w:hanging="360"/>
      </w:pPr>
      <w:rPr>
        <w:rFonts w:ascii="Courier New" w:hAnsi="Courier New" w:cs="Courier New" w:hint="default"/>
      </w:rPr>
    </w:lvl>
    <w:lvl w:ilvl="2" w:tplc="0C0A0005" w:tentative="1">
      <w:start w:val="1"/>
      <w:numFmt w:val="bullet"/>
      <w:lvlText w:val=""/>
      <w:lvlJc w:val="left"/>
      <w:pPr>
        <w:tabs>
          <w:tab w:val="num" w:pos="3469"/>
        </w:tabs>
        <w:ind w:left="3469" w:hanging="360"/>
      </w:pPr>
      <w:rPr>
        <w:rFonts w:ascii="Wingdings" w:hAnsi="Wingdings" w:hint="default"/>
      </w:rPr>
    </w:lvl>
    <w:lvl w:ilvl="3" w:tplc="0C0A0001" w:tentative="1">
      <w:start w:val="1"/>
      <w:numFmt w:val="bullet"/>
      <w:lvlText w:val=""/>
      <w:lvlJc w:val="left"/>
      <w:pPr>
        <w:tabs>
          <w:tab w:val="num" w:pos="4189"/>
        </w:tabs>
        <w:ind w:left="4189" w:hanging="360"/>
      </w:pPr>
      <w:rPr>
        <w:rFonts w:ascii="Symbol" w:hAnsi="Symbol" w:hint="default"/>
      </w:rPr>
    </w:lvl>
    <w:lvl w:ilvl="4" w:tplc="0C0A0003" w:tentative="1">
      <w:start w:val="1"/>
      <w:numFmt w:val="bullet"/>
      <w:lvlText w:val="o"/>
      <w:lvlJc w:val="left"/>
      <w:pPr>
        <w:tabs>
          <w:tab w:val="num" w:pos="4909"/>
        </w:tabs>
        <w:ind w:left="4909" w:hanging="360"/>
      </w:pPr>
      <w:rPr>
        <w:rFonts w:ascii="Courier New" w:hAnsi="Courier New" w:cs="Courier New" w:hint="default"/>
      </w:rPr>
    </w:lvl>
    <w:lvl w:ilvl="5" w:tplc="0C0A0005" w:tentative="1">
      <w:start w:val="1"/>
      <w:numFmt w:val="bullet"/>
      <w:lvlText w:val=""/>
      <w:lvlJc w:val="left"/>
      <w:pPr>
        <w:tabs>
          <w:tab w:val="num" w:pos="5629"/>
        </w:tabs>
        <w:ind w:left="5629" w:hanging="360"/>
      </w:pPr>
      <w:rPr>
        <w:rFonts w:ascii="Wingdings" w:hAnsi="Wingdings" w:hint="default"/>
      </w:rPr>
    </w:lvl>
    <w:lvl w:ilvl="6" w:tplc="0C0A0001" w:tentative="1">
      <w:start w:val="1"/>
      <w:numFmt w:val="bullet"/>
      <w:lvlText w:val=""/>
      <w:lvlJc w:val="left"/>
      <w:pPr>
        <w:tabs>
          <w:tab w:val="num" w:pos="6349"/>
        </w:tabs>
        <w:ind w:left="6349" w:hanging="360"/>
      </w:pPr>
      <w:rPr>
        <w:rFonts w:ascii="Symbol" w:hAnsi="Symbol" w:hint="default"/>
      </w:rPr>
    </w:lvl>
    <w:lvl w:ilvl="7" w:tplc="0C0A0003" w:tentative="1">
      <w:start w:val="1"/>
      <w:numFmt w:val="bullet"/>
      <w:lvlText w:val="o"/>
      <w:lvlJc w:val="left"/>
      <w:pPr>
        <w:tabs>
          <w:tab w:val="num" w:pos="7069"/>
        </w:tabs>
        <w:ind w:left="7069" w:hanging="360"/>
      </w:pPr>
      <w:rPr>
        <w:rFonts w:ascii="Courier New" w:hAnsi="Courier New" w:cs="Courier New" w:hint="default"/>
      </w:rPr>
    </w:lvl>
    <w:lvl w:ilvl="8" w:tplc="0C0A0005" w:tentative="1">
      <w:start w:val="1"/>
      <w:numFmt w:val="bullet"/>
      <w:lvlText w:val=""/>
      <w:lvlJc w:val="left"/>
      <w:pPr>
        <w:tabs>
          <w:tab w:val="num" w:pos="7789"/>
        </w:tabs>
        <w:ind w:left="7789" w:hanging="360"/>
      </w:pPr>
      <w:rPr>
        <w:rFonts w:ascii="Wingdings" w:hAnsi="Wingdings" w:hint="default"/>
      </w:rPr>
    </w:lvl>
  </w:abstractNum>
  <w:abstractNum w:abstractNumId="39" w15:restartNumberingAfterBreak="0">
    <w:nsid w:val="6FB379B7"/>
    <w:multiLevelType w:val="hybridMultilevel"/>
    <w:tmpl w:val="70B67648"/>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40" w15:restartNumberingAfterBreak="0">
    <w:nsid w:val="72643ECB"/>
    <w:multiLevelType w:val="hybridMultilevel"/>
    <w:tmpl w:val="C352B3A6"/>
    <w:lvl w:ilvl="0" w:tplc="81143F46">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41" w15:restartNumberingAfterBreak="0">
    <w:nsid w:val="7B3D36FD"/>
    <w:multiLevelType w:val="hybridMultilevel"/>
    <w:tmpl w:val="B8A8B8C0"/>
    <w:lvl w:ilvl="0" w:tplc="80CA5218">
      <w:start w:val="2"/>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D452561"/>
    <w:multiLevelType w:val="hybridMultilevel"/>
    <w:tmpl w:val="6CC4F5E8"/>
    <w:lvl w:ilvl="0" w:tplc="0C0A0001">
      <w:start w:val="1"/>
      <w:numFmt w:val="bullet"/>
      <w:lvlText w:val=""/>
      <w:lvlJc w:val="left"/>
      <w:pPr>
        <w:tabs>
          <w:tab w:val="num" w:pos="1040"/>
        </w:tabs>
        <w:ind w:left="1040" w:hanging="360"/>
      </w:pPr>
      <w:rPr>
        <w:rFonts w:ascii="Symbol" w:hAnsi="Symbol" w:hint="default"/>
      </w:rPr>
    </w:lvl>
    <w:lvl w:ilvl="1" w:tplc="0C0A0003" w:tentative="1">
      <w:start w:val="1"/>
      <w:numFmt w:val="bullet"/>
      <w:lvlText w:val="o"/>
      <w:lvlJc w:val="left"/>
      <w:pPr>
        <w:tabs>
          <w:tab w:val="num" w:pos="1760"/>
        </w:tabs>
        <w:ind w:left="1760" w:hanging="360"/>
      </w:pPr>
      <w:rPr>
        <w:rFonts w:ascii="Courier New" w:hAnsi="Courier New" w:cs="Courier New" w:hint="default"/>
      </w:rPr>
    </w:lvl>
    <w:lvl w:ilvl="2" w:tplc="0C0A0005" w:tentative="1">
      <w:start w:val="1"/>
      <w:numFmt w:val="bullet"/>
      <w:lvlText w:val=""/>
      <w:lvlJc w:val="left"/>
      <w:pPr>
        <w:tabs>
          <w:tab w:val="num" w:pos="2480"/>
        </w:tabs>
        <w:ind w:left="2480" w:hanging="360"/>
      </w:pPr>
      <w:rPr>
        <w:rFonts w:ascii="Wingdings" w:hAnsi="Wingdings" w:hint="default"/>
      </w:rPr>
    </w:lvl>
    <w:lvl w:ilvl="3" w:tplc="0C0A0001" w:tentative="1">
      <w:start w:val="1"/>
      <w:numFmt w:val="bullet"/>
      <w:lvlText w:val=""/>
      <w:lvlJc w:val="left"/>
      <w:pPr>
        <w:tabs>
          <w:tab w:val="num" w:pos="3200"/>
        </w:tabs>
        <w:ind w:left="3200" w:hanging="360"/>
      </w:pPr>
      <w:rPr>
        <w:rFonts w:ascii="Symbol" w:hAnsi="Symbol" w:hint="default"/>
      </w:rPr>
    </w:lvl>
    <w:lvl w:ilvl="4" w:tplc="0C0A0003" w:tentative="1">
      <w:start w:val="1"/>
      <w:numFmt w:val="bullet"/>
      <w:lvlText w:val="o"/>
      <w:lvlJc w:val="left"/>
      <w:pPr>
        <w:tabs>
          <w:tab w:val="num" w:pos="3920"/>
        </w:tabs>
        <w:ind w:left="3920" w:hanging="360"/>
      </w:pPr>
      <w:rPr>
        <w:rFonts w:ascii="Courier New" w:hAnsi="Courier New" w:cs="Courier New" w:hint="default"/>
      </w:rPr>
    </w:lvl>
    <w:lvl w:ilvl="5" w:tplc="0C0A0005" w:tentative="1">
      <w:start w:val="1"/>
      <w:numFmt w:val="bullet"/>
      <w:lvlText w:val=""/>
      <w:lvlJc w:val="left"/>
      <w:pPr>
        <w:tabs>
          <w:tab w:val="num" w:pos="4640"/>
        </w:tabs>
        <w:ind w:left="4640" w:hanging="360"/>
      </w:pPr>
      <w:rPr>
        <w:rFonts w:ascii="Wingdings" w:hAnsi="Wingdings" w:hint="default"/>
      </w:rPr>
    </w:lvl>
    <w:lvl w:ilvl="6" w:tplc="0C0A0001" w:tentative="1">
      <w:start w:val="1"/>
      <w:numFmt w:val="bullet"/>
      <w:lvlText w:val=""/>
      <w:lvlJc w:val="left"/>
      <w:pPr>
        <w:tabs>
          <w:tab w:val="num" w:pos="5360"/>
        </w:tabs>
        <w:ind w:left="5360" w:hanging="360"/>
      </w:pPr>
      <w:rPr>
        <w:rFonts w:ascii="Symbol" w:hAnsi="Symbol" w:hint="default"/>
      </w:rPr>
    </w:lvl>
    <w:lvl w:ilvl="7" w:tplc="0C0A0003" w:tentative="1">
      <w:start w:val="1"/>
      <w:numFmt w:val="bullet"/>
      <w:lvlText w:val="o"/>
      <w:lvlJc w:val="left"/>
      <w:pPr>
        <w:tabs>
          <w:tab w:val="num" w:pos="6080"/>
        </w:tabs>
        <w:ind w:left="6080" w:hanging="360"/>
      </w:pPr>
      <w:rPr>
        <w:rFonts w:ascii="Courier New" w:hAnsi="Courier New" w:cs="Courier New" w:hint="default"/>
      </w:rPr>
    </w:lvl>
    <w:lvl w:ilvl="8" w:tplc="0C0A0005" w:tentative="1">
      <w:start w:val="1"/>
      <w:numFmt w:val="bullet"/>
      <w:lvlText w:val=""/>
      <w:lvlJc w:val="left"/>
      <w:pPr>
        <w:tabs>
          <w:tab w:val="num" w:pos="6800"/>
        </w:tabs>
        <w:ind w:left="6800" w:hanging="360"/>
      </w:pPr>
      <w:rPr>
        <w:rFonts w:ascii="Wingdings" w:hAnsi="Wingdings" w:hint="default"/>
      </w:rPr>
    </w:lvl>
  </w:abstractNum>
  <w:abstractNum w:abstractNumId="43" w15:restartNumberingAfterBreak="0">
    <w:nsid w:val="7ED50DBD"/>
    <w:multiLevelType w:val="hybridMultilevel"/>
    <w:tmpl w:val="57C210DC"/>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44" w15:restartNumberingAfterBreak="0">
    <w:nsid w:val="7F40135A"/>
    <w:multiLevelType w:val="multilevel"/>
    <w:tmpl w:val="47944F40"/>
    <w:lvl w:ilvl="0">
      <w:start w:val="1"/>
      <w:numFmt w:val="decimal"/>
      <w:lvlText w:val="%1."/>
      <w:lvlJc w:val="left"/>
      <w:pPr>
        <w:tabs>
          <w:tab w:val="num" w:pos="660"/>
        </w:tabs>
        <w:ind w:left="660" w:hanging="6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810946589">
    <w:abstractNumId w:val="1"/>
    <w:lvlOverride w:ilvl="0">
      <w:lvl w:ilvl="0">
        <w:start w:val="1"/>
        <w:numFmt w:val="bullet"/>
        <w:lvlText w:val=""/>
        <w:legacy w:legacy="1" w:legacySpace="0" w:legacyIndent="360"/>
        <w:lvlJc w:val="left"/>
        <w:pPr>
          <w:ind w:left="2628" w:hanging="360"/>
        </w:pPr>
        <w:rPr>
          <w:rFonts w:ascii="Symbol" w:hAnsi="Symbol" w:hint="default"/>
        </w:rPr>
      </w:lvl>
    </w:lvlOverride>
  </w:num>
  <w:num w:numId="2" w16cid:durableId="929894619">
    <w:abstractNumId w:val="1"/>
    <w:lvlOverride w:ilvl="0">
      <w:lvl w:ilvl="0">
        <w:start w:val="1"/>
        <w:numFmt w:val="bullet"/>
        <w:lvlText w:val=""/>
        <w:legacy w:legacy="1" w:legacySpace="0" w:legacyIndent="360"/>
        <w:lvlJc w:val="left"/>
        <w:pPr>
          <w:ind w:left="2628" w:hanging="360"/>
        </w:pPr>
        <w:rPr>
          <w:rFonts w:ascii="Symbol" w:hAnsi="Symbol" w:hint="default"/>
        </w:rPr>
      </w:lvl>
    </w:lvlOverride>
  </w:num>
  <w:num w:numId="3" w16cid:durableId="1399784963">
    <w:abstractNumId w:val="11"/>
  </w:num>
  <w:num w:numId="4" w16cid:durableId="342636439">
    <w:abstractNumId w:val="14"/>
  </w:num>
  <w:num w:numId="5" w16cid:durableId="183635469">
    <w:abstractNumId w:val="18"/>
  </w:num>
  <w:num w:numId="6" w16cid:durableId="1134955158">
    <w:abstractNumId w:val="8"/>
  </w:num>
  <w:num w:numId="7" w16cid:durableId="1409694789">
    <w:abstractNumId w:val="12"/>
  </w:num>
  <w:num w:numId="8" w16cid:durableId="1790201920">
    <w:abstractNumId w:val="1"/>
    <w:lvlOverride w:ilvl="0">
      <w:lvl w:ilvl="0">
        <w:start w:val="1"/>
        <w:numFmt w:val="bullet"/>
        <w:lvlText w:val=""/>
        <w:legacy w:legacy="1" w:legacySpace="0" w:legacyIndent="360"/>
        <w:lvlJc w:val="left"/>
        <w:pPr>
          <w:ind w:left="1040" w:hanging="360"/>
        </w:pPr>
        <w:rPr>
          <w:rFonts w:ascii="Symbol" w:hAnsi="Symbol" w:hint="default"/>
        </w:rPr>
      </w:lvl>
    </w:lvlOverride>
  </w:num>
  <w:num w:numId="9" w16cid:durableId="214661980">
    <w:abstractNumId w:val="1"/>
    <w:lvlOverride w:ilvl="0">
      <w:lvl w:ilvl="0">
        <w:start w:val="1"/>
        <w:numFmt w:val="bullet"/>
        <w:lvlText w:val=""/>
        <w:legacy w:legacy="1" w:legacySpace="0" w:legacyIndent="360"/>
        <w:lvlJc w:val="left"/>
        <w:pPr>
          <w:ind w:left="1040" w:hanging="360"/>
        </w:pPr>
        <w:rPr>
          <w:rFonts w:ascii="Symbol" w:hAnsi="Symbol" w:hint="default"/>
        </w:rPr>
      </w:lvl>
    </w:lvlOverride>
  </w:num>
  <w:num w:numId="10" w16cid:durableId="1275402068">
    <w:abstractNumId w:val="1"/>
    <w:lvlOverride w:ilvl="0">
      <w:lvl w:ilvl="0">
        <w:start w:val="1"/>
        <w:numFmt w:val="bullet"/>
        <w:lvlText w:val=""/>
        <w:legacy w:legacy="1" w:legacySpace="0" w:legacyIndent="360"/>
        <w:lvlJc w:val="left"/>
        <w:pPr>
          <w:ind w:left="1040" w:hanging="360"/>
        </w:pPr>
        <w:rPr>
          <w:rFonts w:ascii="Symbol" w:hAnsi="Symbol" w:hint="default"/>
        </w:rPr>
      </w:lvl>
    </w:lvlOverride>
  </w:num>
  <w:num w:numId="11" w16cid:durableId="1574049537">
    <w:abstractNumId w:val="38"/>
  </w:num>
  <w:num w:numId="12" w16cid:durableId="1006903845">
    <w:abstractNumId w:val="42"/>
  </w:num>
  <w:num w:numId="13" w16cid:durableId="1837380934">
    <w:abstractNumId w:val="44"/>
  </w:num>
  <w:num w:numId="14" w16cid:durableId="244530762">
    <w:abstractNumId w:val="24"/>
  </w:num>
  <w:num w:numId="15" w16cid:durableId="853884109">
    <w:abstractNumId w:val="19"/>
  </w:num>
  <w:num w:numId="16" w16cid:durableId="1402023993">
    <w:abstractNumId w:val="32"/>
  </w:num>
  <w:num w:numId="17" w16cid:durableId="1596593957">
    <w:abstractNumId w:val="22"/>
  </w:num>
  <w:num w:numId="18" w16cid:durableId="1841851081">
    <w:abstractNumId w:val="30"/>
  </w:num>
  <w:num w:numId="19" w16cid:durableId="1896815982">
    <w:abstractNumId w:val="13"/>
  </w:num>
  <w:num w:numId="20" w16cid:durableId="1931036205">
    <w:abstractNumId w:val="0"/>
  </w:num>
  <w:num w:numId="21" w16cid:durableId="1024136314">
    <w:abstractNumId w:val="20"/>
  </w:num>
  <w:num w:numId="22" w16cid:durableId="735782815">
    <w:abstractNumId w:val="7"/>
  </w:num>
  <w:num w:numId="23" w16cid:durableId="1303459433">
    <w:abstractNumId w:val="26"/>
  </w:num>
  <w:num w:numId="24" w16cid:durableId="1036662141">
    <w:abstractNumId w:val="25"/>
  </w:num>
  <w:num w:numId="25" w16cid:durableId="1478835282">
    <w:abstractNumId w:val="34"/>
  </w:num>
  <w:num w:numId="26" w16cid:durableId="1899777076">
    <w:abstractNumId w:val="39"/>
  </w:num>
  <w:num w:numId="27" w16cid:durableId="898368160">
    <w:abstractNumId w:val="16"/>
  </w:num>
  <w:num w:numId="28" w16cid:durableId="895969903">
    <w:abstractNumId w:val="15"/>
  </w:num>
  <w:num w:numId="29" w16cid:durableId="847670419">
    <w:abstractNumId w:val="3"/>
  </w:num>
  <w:num w:numId="30" w16cid:durableId="638532938">
    <w:abstractNumId w:val="9"/>
  </w:num>
  <w:num w:numId="31" w16cid:durableId="2035962378">
    <w:abstractNumId w:val="27"/>
  </w:num>
  <w:num w:numId="32" w16cid:durableId="1262690454">
    <w:abstractNumId w:val="35"/>
  </w:num>
  <w:num w:numId="33" w16cid:durableId="1069420810">
    <w:abstractNumId w:val="4"/>
  </w:num>
  <w:num w:numId="34" w16cid:durableId="65618249">
    <w:abstractNumId w:val="43"/>
  </w:num>
  <w:num w:numId="35" w16cid:durableId="1740325805">
    <w:abstractNumId w:val="40"/>
  </w:num>
  <w:num w:numId="36" w16cid:durableId="1722288168">
    <w:abstractNumId w:val="6"/>
  </w:num>
  <w:num w:numId="37" w16cid:durableId="302197107">
    <w:abstractNumId w:val="37"/>
  </w:num>
  <w:num w:numId="38" w16cid:durableId="461969374">
    <w:abstractNumId w:val="21"/>
  </w:num>
  <w:num w:numId="39" w16cid:durableId="1892842944">
    <w:abstractNumId w:val="28"/>
  </w:num>
  <w:num w:numId="40" w16cid:durableId="929503071">
    <w:abstractNumId w:val="41"/>
  </w:num>
  <w:num w:numId="41" w16cid:durableId="637222073">
    <w:abstractNumId w:val="17"/>
  </w:num>
  <w:num w:numId="42" w16cid:durableId="375278304">
    <w:abstractNumId w:val="36"/>
  </w:num>
  <w:num w:numId="43" w16cid:durableId="1215122255">
    <w:abstractNumId w:val="33"/>
  </w:num>
  <w:num w:numId="44" w16cid:durableId="1972897860">
    <w:abstractNumId w:val="31"/>
  </w:num>
  <w:num w:numId="45" w16cid:durableId="468128432">
    <w:abstractNumId w:val="10"/>
  </w:num>
  <w:num w:numId="46" w16cid:durableId="118571454">
    <w:abstractNumId w:val="29"/>
  </w:num>
  <w:num w:numId="47" w16cid:durableId="1257400446">
    <w:abstractNumId w:val="23"/>
  </w:num>
  <w:num w:numId="48" w16cid:durableId="1205947203">
    <w:abstractNumId w:val="5"/>
  </w:num>
  <w:num w:numId="49" w16cid:durableId="1450776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68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F7A"/>
    <w:rsid w:val="000001B0"/>
    <w:rsid w:val="0000043F"/>
    <w:rsid w:val="000006B7"/>
    <w:rsid w:val="00000BEA"/>
    <w:rsid w:val="00000D42"/>
    <w:rsid w:val="000011CA"/>
    <w:rsid w:val="0000180F"/>
    <w:rsid w:val="00001FB3"/>
    <w:rsid w:val="00002379"/>
    <w:rsid w:val="00002466"/>
    <w:rsid w:val="00002605"/>
    <w:rsid w:val="00002665"/>
    <w:rsid w:val="000027BD"/>
    <w:rsid w:val="00002B26"/>
    <w:rsid w:val="00002FD9"/>
    <w:rsid w:val="00003B70"/>
    <w:rsid w:val="00003C25"/>
    <w:rsid w:val="00003C68"/>
    <w:rsid w:val="00003D9B"/>
    <w:rsid w:val="00004013"/>
    <w:rsid w:val="00004291"/>
    <w:rsid w:val="000042CB"/>
    <w:rsid w:val="0000458A"/>
    <w:rsid w:val="00004BF1"/>
    <w:rsid w:val="00004D58"/>
    <w:rsid w:val="00005009"/>
    <w:rsid w:val="000050C6"/>
    <w:rsid w:val="000056F9"/>
    <w:rsid w:val="00005940"/>
    <w:rsid w:val="00005EB0"/>
    <w:rsid w:val="00006620"/>
    <w:rsid w:val="00006652"/>
    <w:rsid w:val="0000684A"/>
    <w:rsid w:val="00006B5A"/>
    <w:rsid w:val="00006B9D"/>
    <w:rsid w:val="00006DE4"/>
    <w:rsid w:val="00006E66"/>
    <w:rsid w:val="000076D4"/>
    <w:rsid w:val="000078B1"/>
    <w:rsid w:val="00007A1A"/>
    <w:rsid w:val="00010A59"/>
    <w:rsid w:val="000112A7"/>
    <w:rsid w:val="0001151F"/>
    <w:rsid w:val="0001160F"/>
    <w:rsid w:val="00011840"/>
    <w:rsid w:val="00011AC0"/>
    <w:rsid w:val="00011BD3"/>
    <w:rsid w:val="0001201C"/>
    <w:rsid w:val="00012278"/>
    <w:rsid w:val="00012A27"/>
    <w:rsid w:val="00012E16"/>
    <w:rsid w:val="0001302A"/>
    <w:rsid w:val="000132A4"/>
    <w:rsid w:val="00013319"/>
    <w:rsid w:val="00013BF2"/>
    <w:rsid w:val="00013C3E"/>
    <w:rsid w:val="00013E55"/>
    <w:rsid w:val="0001447E"/>
    <w:rsid w:val="000144BA"/>
    <w:rsid w:val="000144ED"/>
    <w:rsid w:val="00014BA2"/>
    <w:rsid w:val="00014E1E"/>
    <w:rsid w:val="00014FBD"/>
    <w:rsid w:val="00015137"/>
    <w:rsid w:val="00015302"/>
    <w:rsid w:val="00015A5A"/>
    <w:rsid w:val="00016590"/>
    <w:rsid w:val="0001686F"/>
    <w:rsid w:val="00016B4E"/>
    <w:rsid w:val="00016BCD"/>
    <w:rsid w:val="00016CD6"/>
    <w:rsid w:val="00016D3A"/>
    <w:rsid w:val="0001718D"/>
    <w:rsid w:val="000176AC"/>
    <w:rsid w:val="00017B51"/>
    <w:rsid w:val="00017DF3"/>
    <w:rsid w:val="00020AF5"/>
    <w:rsid w:val="00021432"/>
    <w:rsid w:val="00021492"/>
    <w:rsid w:val="000216A3"/>
    <w:rsid w:val="00021926"/>
    <w:rsid w:val="0002195E"/>
    <w:rsid w:val="000219FC"/>
    <w:rsid w:val="00021E62"/>
    <w:rsid w:val="00022563"/>
    <w:rsid w:val="000228C4"/>
    <w:rsid w:val="00022C2F"/>
    <w:rsid w:val="00022CA3"/>
    <w:rsid w:val="00025324"/>
    <w:rsid w:val="00025DCB"/>
    <w:rsid w:val="000260EE"/>
    <w:rsid w:val="00026698"/>
    <w:rsid w:val="00026745"/>
    <w:rsid w:val="000268DB"/>
    <w:rsid w:val="0002696A"/>
    <w:rsid w:val="00026998"/>
    <w:rsid w:val="00026B3C"/>
    <w:rsid w:val="00026B52"/>
    <w:rsid w:val="00026F8D"/>
    <w:rsid w:val="000274DB"/>
    <w:rsid w:val="00027D1F"/>
    <w:rsid w:val="00027EBA"/>
    <w:rsid w:val="0003031B"/>
    <w:rsid w:val="00030480"/>
    <w:rsid w:val="0003065F"/>
    <w:rsid w:val="000308BA"/>
    <w:rsid w:val="00030D10"/>
    <w:rsid w:val="00030F55"/>
    <w:rsid w:val="0003119F"/>
    <w:rsid w:val="00031231"/>
    <w:rsid w:val="000314D3"/>
    <w:rsid w:val="00031BCF"/>
    <w:rsid w:val="00031CEA"/>
    <w:rsid w:val="00031F45"/>
    <w:rsid w:val="000320C6"/>
    <w:rsid w:val="00032714"/>
    <w:rsid w:val="00032891"/>
    <w:rsid w:val="00032B16"/>
    <w:rsid w:val="00033603"/>
    <w:rsid w:val="00033A14"/>
    <w:rsid w:val="00033ACC"/>
    <w:rsid w:val="0003447A"/>
    <w:rsid w:val="000344A5"/>
    <w:rsid w:val="00034BC3"/>
    <w:rsid w:val="000353F3"/>
    <w:rsid w:val="00035600"/>
    <w:rsid w:val="000357CC"/>
    <w:rsid w:val="00035991"/>
    <w:rsid w:val="00035B2D"/>
    <w:rsid w:val="00035DA7"/>
    <w:rsid w:val="00036196"/>
    <w:rsid w:val="00036581"/>
    <w:rsid w:val="00036599"/>
    <w:rsid w:val="00036D72"/>
    <w:rsid w:val="00037089"/>
    <w:rsid w:val="00037177"/>
    <w:rsid w:val="00037381"/>
    <w:rsid w:val="00037CC4"/>
    <w:rsid w:val="0004066E"/>
    <w:rsid w:val="00040766"/>
    <w:rsid w:val="00040F75"/>
    <w:rsid w:val="00041E29"/>
    <w:rsid w:val="00041FF7"/>
    <w:rsid w:val="0004225C"/>
    <w:rsid w:val="00042A47"/>
    <w:rsid w:val="00042E89"/>
    <w:rsid w:val="00043535"/>
    <w:rsid w:val="00043B32"/>
    <w:rsid w:val="00043E2B"/>
    <w:rsid w:val="00044296"/>
    <w:rsid w:val="00044699"/>
    <w:rsid w:val="00044700"/>
    <w:rsid w:val="00044C5E"/>
    <w:rsid w:val="00044F7F"/>
    <w:rsid w:val="00044FA9"/>
    <w:rsid w:val="0004500F"/>
    <w:rsid w:val="000450E9"/>
    <w:rsid w:val="0004529C"/>
    <w:rsid w:val="0004596A"/>
    <w:rsid w:val="00045AF1"/>
    <w:rsid w:val="00045B2C"/>
    <w:rsid w:val="00045C6D"/>
    <w:rsid w:val="00045D18"/>
    <w:rsid w:val="00045E9B"/>
    <w:rsid w:val="00046139"/>
    <w:rsid w:val="000465BF"/>
    <w:rsid w:val="00046822"/>
    <w:rsid w:val="00046A78"/>
    <w:rsid w:val="00046AB6"/>
    <w:rsid w:val="00046D06"/>
    <w:rsid w:val="00046E13"/>
    <w:rsid w:val="000471CD"/>
    <w:rsid w:val="0004735D"/>
    <w:rsid w:val="0004744D"/>
    <w:rsid w:val="0004777C"/>
    <w:rsid w:val="000501E0"/>
    <w:rsid w:val="000507D2"/>
    <w:rsid w:val="00050934"/>
    <w:rsid w:val="00050FB5"/>
    <w:rsid w:val="00051C72"/>
    <w:rsid w:val="00051D1C"/>
    <w:rsid w:val="00051D9E"/>
    <w:rsid w:val="00052216"/>
    <w:rsid w:val="00052784"/>
    <w:rsid w:val="00052F04"/>
    <w:rsid w:val="00052F1E"/>
    <w:rsid w:val="0005322C"/>
    <w:rsid w:val="00053631"/>
    <w:rsid w:val="000536D2"/>
    <w:rsid w:val="00053B2C"/>
    <w:rsid w:val="00053D27"/>
    <w:rsid w:val="00053EB7"/>
    <w:rsid w:val="00053FEE"/>
    <w:rsid w:val="000540AE"/>
    <w:rsid w:val="0005430F"/>
    <w:rsid w:val="0005463E"/>
    <w:rsid w:val="00054A4F"/>
    <w:rsid w:val="00054BE5"/>
    <w:rsid w:val="00055047"/>
    <w:rsid w:val="00055B54"/>
    <w:rsid w:val="00055C9B"/>
    <w:rsid w:val="00056182"/>
    <w:rsid w:val="0005680F"/>
    <w:rsid w:val="00056F51"/>
    <w:rsid w:val="000573F5"/>
    <w:rsid w:val="0005740F"/>
    <w:rsid w:val="00057F37"/>
    <w:rsid w:val="00057FCD"/>
    <w:rsid w:val="000602B0"/>
    <w:rsid w:val="0006045B"/>
    <w:rsid w:val="0006056C"/>
    <w:rsid w:val="000605ED"/>
    <w:rsid w:val="00060A90"/>
    <w:rsid w:val="00060C62"/>
    <w:rsid w:val="0006176B"/>
    <w:rsid w:val="0006228A"/>
    <w:rsid w:val="00063614"/>
    <w:rsid w:val="00063838"/>
    <w:rsid w:val="0006433F"/>
    <w:rsid w:val="000646BA"/>
    <w:rsid w:val="000648D8"/>
    <w:rsid w:val="00064BBC"/>
    <w:rsid w:val="00064E9D"/>
    <w:rsid w:val="00064FDB"/>
    <w:rsid w:val="00065106"/>
    <w:rsid w:val="000651F1"/>
    <w:rsid w:val="00065708"/>
    <w:rsid w:val="00065A07"/>
    <w:rsid w:val="00065BC1"/>
    <w:rsid w:val="0006634F"/>
    <w:rsid w:val="00066638"/>
    <w:rsid w:val="00066EA7"/>
    <w:rsid w:val="00066F41"/>
    <w:rsid w:val="00067112"/>
    <w:rsid w:val="0006782D"/>
    <w:rsid w:val="00067976"/>
    <w:rsid w:val="00067D76"/>
    <w:rsid w:val="00067FCA"/>
    <w:rsid w:val="0007012A"/>
    <w:rsid w:val="0007017F"/>
    <w:rsid w:val="00070431"/>
    <w:rsid w:val="000705F3"/>
    <w:rsid w:val="00070669"/>
    <w:rsid w:val="000707FF"/>
    <w:rsid w:val="00070864"/>
    <w:rsid w:val="0007134A"/>
    <w:rsid w:val="0007145A"/>
    <w:rsid w:val="0007165A"/>
    <w:rsid w:val="000718A1"/>
    <w:rsid w:val="00071F0D"/>
    <w:rsid w:val="00071F33"/>
    <w:rsid w:val="000725AC"/>
    <w:rsid w:val="00072B18"/>
    <w:rsid w:val="000730F3"/>
    <w:rsid w:val="00073491"/>
    <w:rsid w:val="000739D2"/>
    <w:rsid w:val="00073E58"/>
    <w:rsid w:val="00073EF4"/>
    <w:rsid w:val="000748B1"/>
    <w:rsid w:val="000753EC"/>
    <w:rsid w:val="0007567F"/>
    <w:rsid w:val="00075B3A"/>
    <w:rsid w:val="00075DEC"/>
    <w:rsid w:val="00076234"/>
    <w:rsid w:val="000767F7"/>
    <w:rsid w:val="00076EE9"/>
    <w:rsid w:val="000771E3"/>
    <w:rsid w:val="000774FA"/>
    <w:rsid w:val="00077545"/>
    <w:rsid w:val="00077763"/>
    <w:rsid w:val="00077C46"/>
    <w:rsid w:val="00077ECE"/>
    <w:rsid w:val="0008027F"/>
    <w:rsid w:val="0008060A"/>
    <w:rsid w:val="0008084D"/>
    <w:rsid w:val="000809B5"/>
    <w:rsid w:val="00080D54"/>
    <w:rsid w:val="00080DC3"/>
    <w:rsid w:val="00081417"/>
    <w:rsid w:val="000814ED"/>
    <w:rsid w:val="0008175A"/>
    <w:rsid w:val="0008195B"/>
    <w:rsid w:val="00081973"/>
    <w:rsid w:val="00082187"/>
    <w:rsid w:val="0008254D"/>
    <w:rsid w:val="000826F7"/>
    <w:rsid w:val="00082AE3"/>
    <w:rsid w:val="00082F11"/>
    <w:rsid w:val="00083173"/>
    <w:rsid w:val="0008325D"/>
    <w:rsid w:val="000834DD"/>
    <w:rsid w:val="000834F9"/>
    <w:rsid w:val="00083769"/>
    <w:rsid w:val="000838EB"/>
    <w:rsid w:val="00083FB5"/>
    <w:rsid w:val="000843D7"/>
    <w:rsid w:val="00084687"/>
    <w:rsid w:val="00084A57"/>
    <w:rsid w:val="00084B97"/>
    <w:rsid w:val="00084BED"/>
    <w:rsid w:val="00084EDB"/>
    <w:rsid w:val="00084FF2"/>
    <w:rsid w:val="000850FA"/>
    <w:rsid w:val="0008524D"/>
    <w:rsid w:val="00085314"/>
    <w:rsid w:val="000856E9"/>
    <w:rsid w:val="000857E4"/>
    <w:rsid w:val="00085CF4"/>
    <w:rsid w:val="00085E34"/>
    <w:rsid w:val="00085F5E"/>
    <w:rsid w:val="00086295"/>
    <w:rsid w:val="00086EDE"/>
    <w:rsid w:val="0008756B"/>
    <w:rsid w:val="000875A5"/>
    <w:rsid w:val="00087B0E"/>
    <w:rsid w:val="00087CFE"/>
    <w:rsid w:val="00087DB7"/>
    <w:rsid w:val="00087F01"/>
    <w:rsid w:val="0009025D"/>
    <w:rsid w:val="00090B52"/>
    <w:rsid w:val="00090B9C"/>
    <w:rsid w:val="00090CF7"/>
    <w:rsid w:val="00090D7B"/>
    <w:rsid w:val="00090E7C"/>
    <w:rsid w:val="00091474"/>
    <w:rsid w:val="000915F7"/>
    <w:rsid w:val="00091C23"/>
    <w:rsid w:val="00091EEF"/>
    <w:rsid w:val="00092298"/>
    <w:rsid w:val="00092764"/>
    <w:rsid w:val="0009292F"/>
    <w:rsid w:val="00092C02"/>
    <w:rsid w:val="00092F4C"/>
    <w:rsid w:val="000939F8"/>
    <w:rsid w:val="0009421A"/>
    <w:rsid w:val="00094496"/>
    <w:rsid w:val="00094FE3"/>
    <w:rsid w:val="000950E7"/>
    <w:rsid w:val="00095360"/>
    <w:rsid w:val="00095361"/>
    <w:rsid w:val="000954A2"/>
    <w:rsid w:val="000955AA"/>
    <w:rsid w:val="00095781"/>
    <w:rsid w:val="000957BC"/>
    <w:rsid w:val="00095A6A"/>
    <w:rsid w:val="00095BAC"/>
    <w:rsid w:val="00095EA0"/>
    <w:rsid w:val="00096737"/>
    <w:rsid w:val="00096F5B"/>
    <w:rsid w:val="00097AEA"/>
    <w:rsid w:val="00097C0A"/>
    <w:rsid w:val="00097C29"/>
    <w:rsid w:val="00097C41"/>
    <w:rsid w:val="00097FE0"/>
    <w:rsid w:val="000A0344"/>
    <w:rsid w:val="000A0823"/>
    <w:rsid w:val="000A0EF3"/>
    <w:rsid w:val="000A1655"/>
    <w:rsid w:val="000A19CF"/>
    <w:rsid w:val="000A1E7C"/>
    <w:rsid w:val="000A1F9D"/>
    <w:rsid w:val="000A21D6"/>
    <w:rsid w:val="000A260D"/>
    <w:rsid w:val="000A28FB"/>
    <w:rsid w:val="000A2B67"/>
    <w:rsid w:val="000A2F4F"/>
    <w:rsid w:val="000A31EF"/>
    <w:rsid w:val="000A3354"/>
    <w:rsid w:val="000A3733"/>
    <w:rsid w:val="000A403F"/>
    <w:rsid w:val="000A43B0"/>
    <w:rsid w:val="000A45F0"/>
    <w:rsid w:val="000A4880"/>
    <w:rsid w:val="000A4A28"/>
    <w:rsid w:val="000A4D4C"/>
    <w:rsid w:val="000A4FEA"/>
    <w:rsid w:val="000A538C"/>
    <w:rsid w:val="000A53E6"/>
    <w:rsid w:val="000A5727"/>
    <w:rsid w:val="000A574B"/>
    <w:rsid w:val="000A5B04"/>
    <w:rsid w:val="000A5E2A"/>
    <w:rsid w:val="000A614E"/>
    <w:rsid w:val="000A61D5"/>
    <w:rsid w:val="000A6416"/>
    <w:rsid w:val="000A643B"/>
    <w:rsid w:val="000A682B"/>
    <w:rsid w:val="000A707A"/>
    <w:rsid w:val="000A754D"/>
    <w:rsid w:val="000A78BA"/>
    <w:rsid w:val="000A7BB9"/>
    <w:rsid w:val="000A7F9A"/>
    <w:rsid w:val="000B0710"/>
    <w:rsid w:val="000B0E46"/>
    <w:rsid w:val="000B1790"/>
    <w:rsid w:val="000B1C11"/>
    <w:rsid w:val="000B1D13"/>
    <w:rsid w:val="000B29B8"/>
    <w:rsid w:val="000B2A27"/>
    <w:rsid w:val="000B2BEA"/>
    <w:rsid w:val="000B3013"/>
    <w:rsid w:val="000B325A"/>
    <w:rsid w:val="000B34BA"/>
    <w:rsid w:val="000B380F"/>
    <w:rsid w:val="000B3BFC"/>
    <w:rsid w:val="000B3EFC"/>
    <w:rsid w:val="000B4292"/>
    <w:rsid w:val="000B46F6"/>
    <w:rsid w:val="000B473C"/>
    <w:rsid w:val="000B4A6A"/>
    <w:rsid w:val="000B50FB"/>
    <w:rsid w:val="000B515D"/>
    <w:rsid w:val="000B5587"/>
    <w:rsid w:val="000B5A74"/>
    <w:rsid w:val="000B5C4E"/>
    <w:rsid w:val="000B5FA3"/>
    <w:rsid w:val="000B6AF6"/>
    <w:rsid w:val="000B7A65"/>
    <w:rsid w:val="000B7F0C"/>
    <w:rsid w:val="000B7FF2"/>
    <w:rsid w:val="000C04CE"/>
    <w:rsid w:val="000C0E36"/>
    <w:rsid w:val="000C1051"/>
    <w:rsid w:val="000C13BF"/>
    <w:rsid w:val="000C1F04"/>
    <w:rsid w:val="000C2477"/>
    <w:rsid w:val="000C2594"/>
    <w:rsid w:val="000C2892"/>
    <w:rsid w:val="000C2B3C"/>
    <w:rsid w:val="000C2D4D"/>
    <w:rsid w:val="000C305A"/>
    <w:rsid w:val="000C30D7"/>
    <w:rsid w:val="000C3105"/>
    <w:rsid w:val="000C34DD"/>
    <w:rsid w:val="000C354E"/>
    <w:rsid w:val="000C37BC"/>
    <w:rsid w:val="000C38E4"/>
    <w:rsid w:val="000C3B6E"/>
    <w:rsid w:val="000C482F"/>
    <w:rsid w:val="000C4992"/>
    <w:rsid w:val="000C4CF1"/>
    <w:rsid w:val="000C4FA1"/>
    <w:rsid w:val="000C5299"/>
    <w:rsid w:val="000C5468"/>
    <w:rsid w:val="000C55CC"/>
    <w:rsid w:val="000C5852"/>
    <w:rsid w:val="000C5A24"/>
    <w:rsid w:val="000C5D0E"/>
    <w:rsid w:val="000C5DB2"/>
    <w:rsid w:val="000C6081"/>
    <w:rsid w:val="000C60C9"/>
    <w:rsid w:val="000C6641"/>
    <w:rsid w:val="000C66A1"/>
    <w:rsid w:val="000C6A4A"/>
    <w:rsid w:val="000C6AFD"/>
    <w:rsid w:val="000C702C"/>
    <w:rsid w:val="000C74A7"/>
    <w:rsid w:val="000D05E9"/>
    <w:rsid w:val="000D06FA"/>
    <w:rsid w:val="000D0B60"/>
    <w:rsid w:val="000D0BD6"/>
    <w:rsid w:val="000D0DDA"/>
    <w:rsid w:val="000D0ED5"/>
    <w:rsid w:val="000D113E"/>
    <w:rsid w:val="000D1169"/>
    <w:rsid w:val="000D121C"/>
    <w:rsid w:val="000D15C5"/>
    <w:rsid w:val="000D1687"/>
    <w:rsid w:val="000D1DAF"/>
    <w:rsid w:val="000D1DF4"/>
    <w:rsid w:val="000D28A5"/>
    <w:rsid w:val="000D2CD8"/>
    <w:rsid w:val="000D31C1"/>
    <w:rsid w:val="000D36B2"/>
    <w:rsid w:val="000D36BF"/>
    <w:rsid w:val="000D39FD"/>
    <w:rsid w:val="000D3E10"/>
    <w:rsid w:val="000D47E1"/>
    <w:rsid w:val="000D4833"/>
    <w:rsid w:val="000D49D2"/>
    <w:rsid w:val="000D4A88"/>
    <w:rsid w:val="000D4BBC"/>
    <w:rsid w:val="000D4D90"/>
    <w:rsid w:val="000D4E26"/>
    <w:rsid w:val="000D4F00"/>
    <w:rsid w:val="000D5000"/>
    <w:rsid w:val="000D5176"/>
    <w:rsid w:val="000D5AC6"/>
    <w:rsid w:val="000D5EDB"/>
    <w:rsid w:val="000D6C0F"/>
    <w:rsid w:val="000D6F1E"/>
    <w:rsid w:val="000D7A95"/>
    <w:rsid w:val="000D7BBD"/>
    <w:rsid w:val="000E039A"/>
    <w:rsid w:val="000E03C0"/>
    <w:rsid w:val="000E0654"/>
    <w:rsid w:val="000E0EA9"/>
    <w:rsid w:val="000E13AF"/>
    <w:rsid w:val="000E19B3"/>
    <w:rsid w:val="000E1CA2"/>
    <w:rsid w:val="000E28E2"/>
    <w:rsid w:val="000E2970"/>
    <w:rsid w:val="000E2B40"/>
    <w:rsid w:val="000E2F84"/>
    <w:rsid w:val="000E35A3"/>
    <w:rsid w:val="000E369A"/>
    <w:rsid w:val="000E3CC1"/>
    <w:rsid w:val="000E3DA6"/>
    <w:rsid w:val="000E45BC"/>
    <w:rsid w:val="000E49B2"/>
    <w:rsid w:val="000E4CDF"/>
    <w:rsid w:val="000E5331"/>
    <w:rsid w:val="000E535E"/>
    <w:rsid w:val="000E5526"/>
    <w:rsid w:val="000E56FA"/>
    <w:rsid w:val="000E59FC"/>
    <w:rsid w:val="000E5A5A"/>
    <w:rsid w:val="000E5D6B"/>
    <w:rsid w:val="000E5FE0"/>
    <w:rsid w:val="000E62A5"/>
    <w:rsid w:val="000E62DF"/>
    <w:rsid w:val="000E6D5D"/>
    <w:rsid w:val="000E7022"/>
    <w:rsid w:val="000E7168"/>
    <w:rsid w:val="000E7248"/>
    <w:rsid w:val="000E72A0"/>
    <w:rsid w:val="000E7575"/>
    <w:rsid w:val="000E76DD"/>
    <w:rsid w:val="000E79E5"/>
    <w:rsid w:val="000F04CC"/>
    <w:rsid w:val="000F05D5"/>
    <w:rsid w:val="000F13A0"/>
    <w:rsid w:val="000F1BD1"/>
    <w:rsid w:val="000F1DEB"/>
    <w:rsid w:val="000F1F7A"/>
    <w:rsid w:val="000F202E"/>
    <w:rsid w:val="000F2E14"/>
    <w:rsid w:val="000F3025"/>
    <w:rsid w:val="000F30DD"/>
    <w:rsid w:val="000F3491"/>
    <w:rsid w:val="000F3986"/>
    <w:rsid w:val="000F39D9"/>
    <w:rsid w:val="000F3C45"/>
    <w:rsid w:val="000F3C91"/>
    <w:rsid w:val="000F3DE6"/>
    <w:rsid w:val="000F448C"/>
    <w:rsid w:val="000F44E7"/>
    <w:rsid w:val="000F49F1"/>
    <w:rsid w:val="000F4A5C"/>
    <w:rsid w:val="000F4C41"/>
    <w:rsid w:val="000F4FA7"/>
    <w:rsid w:val="000F50B5"/>
    <w:rsid w:val="000F52D1"/>
    <w:rsid w:val="000F536A"/>
    <w:rsid w:val="000F537C"/>
    <w:rsid w:val="000F541D"/>
    <w:rsid w:val="000F5AD1"/>
    <w:rsid w:val="000F5C8B"/>
    <w:rsid w:val="000F63C7"/>
    <w:rsid w:val="000F64D7"/>
    <w:rsid w:val="000F69FA"/>
    <w:rsid w:val="000F6F6D"/>
    <w:rsid w:val="000F7577"/>
    <w:rsid w:val="000F7974"/>
    <w:rsid w:val="000F79E0"/>
    <w:rsid w:val="000F7ECD"/>
    <w:rsid w:val="000F7F0E"/>
    <w:rsid w:val="000F7F38"/>
    <w:rsid w:val="000F7FB5"/>
    <w:rsid w:val="0010019B"/>
    <w:rsid w:val="00100317"/>
    <w:rsid w:val="001004C1"/>
    <w:rsid w:val="001004EE"/>
    <w:rsid w:val="00100C42"/>
    <w:rsid w:val="001011EC"/>
    <w:rsid w:val="00101391"/>
    <w:rsid w:val="001017C1"/>
    <w:rsid w:val="00101A86"/>
    <w:rsid w:val="00101E92"/>
    <w:rsid w:val="00101F40"/>
    <w:rsid w:val="00102298"/>
    <w:rsid w:val="00102C79"/>
    <w:rsid w:val="00102EC2"/>
    <w:rsid w:val="0010321B"/>
    <w:rsid w:val="001036EE"/>
    <w:rsid w:val="00103847"/>
    <w:rsid w:val="00103913"/>
    <w:rsid w:val="00104AB7"/>
    <w:rsid w:val="00105234"/>
    <w:rsid w:val="00105316"/>
    <w:rsid w:val="001057E1"/>
    <w:rsid w:val="00105E16"/>
    <w:rsid w:val="00105E2B"/>
    <w:rsid w:val="0010619C"/>
    <w:rsid w:val="0010664D"/>
    <w:rsid w:val="00106A20"/>
    <w:rsid w:val="00106D16"/>
    <w:rsid w:val="00107B62"/>
    <w:rsid w:val="00107D86"/>
    <w:rsid w:val="00110510"/>
    <w:rsid w:val="001105B9"/>
    <w:rsid w:val="0011076D"/>
    <w:rsid w:val="00110DB1"/>
    <w:rsid w:val="00110DF0"/>
    <w:rsid w:val="0011149E"/>
    <w:rsid w:val="001114D0"/>
    <w:rsid w:val="00111703"/>
    <w:rsid w:val="001119D9"/>
    <w:rsid w:val="00111AA3"/>
    <w:rsid w:val="00111F29"/>
    <w:rsid w:val="00111F40"/>
    <w:rsid w:val="00112688"/>
    <w:rsid w:val="00113348"/>
    <w:rsid w:val="00113404"/>
    <w:rsid w:val="001134B4"/>
    <w:rsid w:val="00113D35"/>
    <w:rsid w:val="00113DE8"/>
    <w:rsid w:val="0011424C"/>
    <w:rsid w:val="0011478A"/>
    <w:rsid w:val="001149C9"/>
    <w:rsid w:val="00114AF7"/>
    <w:rsid w:val="00114B56"/>
    <w:rsid w:val="00114B96"/>
    <w:rsid w:val="00114E47"/>
    <w:rsid w:val="00115123"/>
    <w:rsid w:val="00115A20"/>
    <w:rsid w:val="00115F66"/>
    <w:rsid w:val="00116560"/>
    <w:rsid w:val="00116647"/>
    <w:rsid w:val="00116A85"/>
    <w:rsid w:val="00116CA9"/>
    <w:rsid w:val="00116F84"/>
    <w:rsid w:val="00117471"/>
    <w:rsid w:val="00117BB9"/>
    <w:rsid w:val="00117D38"/>
    <w:rsid w:val="00117D7A"/>
    <w:rsid w:val="00120112"/>
    <w:rsid w:val="001201B0"/>
    <w:rsid w:val="001203C6"/>
    <w:rsid w:val="00120EA1"/>
    <w:rsid w:val="00121789"/>
    <w:rsid w:val="0012181E"/>
    <w:rsid w:val="00121E0C"/>
    <w:rsid w:val="00122048"/>
    <w:rsid w:val="001224BA"/>
    <w:rsid w:val="001228A0"/>
    <w:rsid w:val="00122B7D"/>
    <w:rsid w:val="00122BFD"/>
    <w:rsid w:val="00122DEA"/>
    <w:rsid w:val="00122DFC"/>
    <w:rsid w:val="00123C48"/>
    <w:rsid w:val="00123EFF"/>
    <w:rsid w:val="001241F7"/>
    <w:rsid w:val="00124D1A"/>
    <w:rsid w:val="001251AF"/>
    <w:rsid w:val="0012523B"/>
    <w:rsid w:val="0012526F"/>
    <w:rsid w:val="0012554D"/>
    <w:rsid w:val="00125654"/>
    <w:rsid w:val="00125974"/>
    <w:rsid w:val="00125BC8"/>
    <w:rsid w:val="00125D0D"/>
    <w:rsid w:val="00125D9D"/>
    <w:rsid w:val="00125DC1"/>
    <w:rsid w:val="001263E8"/>
    <w:rsid w:val="00127810"/>
    <w:rsid w:val="0012798A"/>
    <w:rsid w:val="001300A8"/>
    <w:rsid w:val="001301E6"/>
    <w:rsid w:val="001304F2"/>
    <w:rsid w:val="00130C4C"/>
    <w:rsid w:val="00130F93"/>
    <w:rsid w:val="00131198"/>
    <w:rsid w:val="001313EB"/>
    <w:rsid w:val="0013141C"/>
    <w:rsid w:val="00131C29"/>
    <w:rsid w:val="00131CCF"/>
    <w:rsid w:val="00131E42"/>
    <w:rsid w:val="00131E80"/>
    <w:rsid w:val="0013222E"/>
    <w:rsid w:val="001322B2"/>
    <w:rsid w:val="0013279C"/>
    <w:rsid w:val="001328D2"/>
    <w:rsid w:val="00133484"/>
    <w:rsid w:val="001337A8"/>
    <w:rsid w:val="00133CE6"/>
    <w:rsid w:val="00134045"/>
    <w:rsid w:val="001345AC"/>
    <w:rsid w:val="001345C4"/>
    <w:rsid w:val="00134904"/>
    <w:rsid w:val="001349AB"/>
    <w:rsid w:val="00134A36"/>
    <w:rsid w:val="00134BB0"/>
    <w:rsid w:val="00134F4E"/>
    <w:rsid w:val="00134FB0"/>
    <w:rsid w:val="001350AC"/>
    <w:rsid w:val="001352A5"/>
    <w:rsid w:val="001352EC"/>
    <w:rsid w:val="0013543B"/>
    <w:rsid w:val="001357FC"/>
    <w:rsid w:val="00135A2E"/>
    <w:rsid w:val="00135E0B"/>
    <w:rsid w:val="001360FB"/>
    <w:rsid w:val="001361A8"/>
    <w:rsid w:val="001362EC"/>
    <w:rsid w:val="001365A5"/>
    <w:rsid w:val="001368CC"/>
    <w:rsid w:val="00136AB1"/>
    <w:rsid w:val="00136BA7"/>
    <w:rsid w:val="001370C1"/>
    <w:rsid w:val="00137196"/>
    <w:rsid w:val="001372CA"/>
    <w:rsid w:val="00137AFD"/>
    <w:rsid w:val="00137E55"/>
    <w:rsid w:val="00137EBB"/>
    <w:rsid w:val="0014012A"/>
    <w:rsid w:val="001405D6"/>
    <w:rsid w:val="00140AD8"/>
    <w:rsid w:val="00140BE4"/>
    <w:rsid w:val="00141130"/>
    <w:rsid w:val="001411DE"/>
    <w:rsid w:val="00141399"/>
    <w:rsid w:val="00141962"/>
    <w:rsid w:val="00141A0B"/>
    <w:rsid w:val="00141AF4"/>
    <w:rsid w:val="00141F00"/>
    <w:rsid w:val="00142241"/>
    <w:rsid w:val="00142A85"/>
    <w:rsid w:val="00142C36"/>
    <w:rsid w:val="00142E09"/>
    <w:rsid w:val="0014377B"/>
    <w:rsid w:val="00143D3A"/>
    <w:rsid w:val="00143E85"/>
    <w:rsid w:val="00144D09"/>
    <w:rsid w:val="0014542A"/>
    <w:rsid w:val="00145808"/>
    <w:rsid w:val="00145F65"/>
    <w:rsid w:val="001460E0"/>
    <w:rsid w:val="00146902"/>
    <w:rsid w:val="00146DFA"/>
    <w:rsid w:val="00147068"/>
    <w:rsid w:val="00147B68"/>
    <w:rsid w:val="00147BB3"/>
    <w:rsid w:val="0015018D"/>
    <w:rsid w:val="00150228"/>
    <w:rsid w:val="001502C3"/>
    <w:rsid w:val="001504E8"/>
    <w:rsid w:val="00150536"/>
    <w:rsid w:val="0015172E"/>
    <w:rsid w:val="00151ADE"/>
    <w:rsid w:val="00152D63"/>
    <w:rsid w:val="00152DCD"/>
    <w:rsid w:val="001533B2"/>
    <w:rsid w:val="001534CA"/>
    <w:rsid w:val="0015369A"/>
    <w:rsid w:val="0015386A"/>
    <w:rsid w:val="00153E85"/>
    <w:rsid w:val="001540F9"/>
    <w:rsid w:val="00154107"/>
    <w:rsid w:val="00154330"/>
    <w:rsid w:val="00154E90"/>
    <w:rsid w:val="001553D8"/>
    <w:rsid w:val="001557A9"/>
    <w:rsid w:val="00155878"/>
    <w:rsid w:val="0015599D"/>
    <w:rsid w:val="00155A36"/>
    <w:rsid w:val="0015694E"/>
    <w:rsid w:val="001569A5"/>
    <w:rsid w:val="001569B1"/>
    <w:rsid w:val="001572AC"/>
    <w:rsid w:val="001573F1"/>
    <w:rsid w:val="0015755C"/>
    <w:rsid w:val="001600C9"/>
    <w:rsid w:val="00160308"/>
    <w:rsid w:val="001604E1"/>
    <w:rsid w:val="0016052B"/>
    <w:rsid w:val="00160957"/>
    <w:rsid w:val="00160B56"/>
    <w:rsid w:val="0016159C"/>
    <w:rsid w:val="00161833"/>
    <w:rsid w:val="00161E62"/>
    <w:rsid w:val="00161F05"/>
    <w:rsid w:val="00162797"/>
    <w:rsid w:val="00162A20"/>
    <w:rsid w:val="00162C49"/>
    <w:rsid w:val="00163025"/>
    <w:rsid w:val="00163515"/>
    <w:rsid w:val="0016370B"/>
    <w:rsid w:val="00163928"/>
    <w:rsid w:val="00164660"/>
    <w:rsid w:val="0016487E"/>
    <w:rsid w:val="00164CD1"/>
    <w:rsid w:val="0016528B"/>
    <w:rsid w:val="001655BD"/>
    <w:rsid w:val="00165810"/>
    <w:rsid w:val="00165A24"/>
    <w:rsid w:val="00165E36"/>
    <w:rsid w:val="0016614B"/>
    <w:rsid w:val="001665FD"/>
    <w:rsid w:val="0016686D"/>
    <w:rsid w:val="00166D6D"/>
    <w:rsid w:val="00167104"/>
    <w:rsid w:val="0016723A"/>
    <w:rsid w:val="001678BE"/>
    <w:rsid w:val="00167A72"/>
    <w:rsid w:val="001705B4"/>
    <w:rsid w:val="0017080F"/>
    <w:rsid w:val="00170972"/>
    <w:rsid w:val="00170BD4"/>
    <w:rsid w:val="001711E3"/>
    <w:rsid w:val="00171898"/>
    <w:rsid w:val="00171F36"/>
    <w:rsid w:val="00172464"/>
    <w:rsid w:val="00172600"/>
    <w:rsid w:val="00172614"/>
    <w:rsid w:val="00172672"/>
    <w:rsid w:val="00172AA4"/>
    <w:rsid w:val="0017308E"/>
    <w:rsid w:val="00173309"/>
    <w:rsid w:val="0017357E"/>
    <w:rsid w:val="001735A8"/>
    <w:rsid w:val="00173881"/>
    <w:rsid w:val="00173C90"/>
    <w:rsid w:val="001740E5"/>
    <w:rsid w:val="001741F4"/>
    <w:rsid w:val="00174587"/>
    <w:rsid w:val="0017474C"/>
    <w:rsid w:val="00174783"/>
    <w:rsid w:val="00175CF4"/>
    <w:rsid w:val="00175D59"/>
    <w:rsid w:val="001763FA"/>
    <w:rsid w:val="001763FC"/>
    <w:rsid w:val="00176592"/>
    <w:rsid w:val="001768FD"/>
    <w:rsid w:val="0017695A"/>
    <w:rsid w:val="00176A27"/>
    <w:rsid w:val="00176A60"/>
    <w:rsid w:val="00176B20"/>
    <w:rsid w:val="00176E7D"/>
    <w:rsid w:val="00177026"/>
    <w:rsid w:val="00177187"/>
    <w:rsid w:val="001773BC"/>
    <w:rsid w:val="001774E6"/>
    <w:rsid w:val="00177F98"/>
    <w:rsid w:val="00180475"/>
    <w:rsid w:val="00180887"/>
    <w:rsid w:val="00180A83"/>
    <w:rsid w:val="00180D65"/>
    <w:rsid w:val="001813AB"/>
    <w:rsid w:val="001819C6"/>
    <w:rsid w:val="00181B78"/>
    <w:rsid w:val="00181F2C"/>
    <w:rsid w:val="0018211C"/>
    <w:rsid w:val="001821F8"/>
    <w:rsid w:val="0018232A"/>
    <w:rsid w:val="0018246A"/>
    <w:rsid w:val="00182CBE"/>
    <w:rsid w:val="00182EBE"/>
    <w:rsid w:val="001831B3"/>
    <w:rsid w:val="0018334A"/>
    <w:rsid w:val="0018396A"/>
    <w:rsid w:val="00183E55"/>
    <w:rsid w:val="001845FA"/>
    <w:rsid w:val="0018521A"/>
    <w:rsid w:val="0018522B"/>
    <w:rsid w:val="00185425"/>
    <w:rsid w:val="00185457"/>
    <w:rsid w:val="001854A8"/>
    <w:rsid w:val="001854BC"/>
    <w:rsid w:val="00185B67"/>
    <w:rsid w:val="00185D40"/>
    <w:rsid w:val="0018660B"/>
    <w:rsid w:val="00186C17"/>
    <w:rsid w:val="00187284"/>
    <w:rsid w:val="0018761A"/>
    <w:rsid w:val="0018787A"/>
    <w:rsid w:val="00187A73"/>
    <w:rsid w:val="00187FD1"/>
    <w:rsid w:val="00190098"/>
    <w:rsid w:val="00190180"/>
    <w:rsid w:val="001908C1"/>
    <w:rsid w:val="00190A43"/>
    <w:rsid w:val="00190D0B"/>
    <w:rsid w:val="001912FB"/>
    <w:rsid w:val="00191608"/>
    <w:rsid w:val="00191664"/>
    <w:rsid w:val="00192065"/>
    <w:rsid w:val="00194085"/>
    <w:rsid w:val="001941AA"/>
    <w:rsid w:val="00194F73"/>
    <w:rsid w:val="001951D5"/>
    <w:rsid w:val="00195EC2"/>
    <w:rsid w:val="00195F99"/>
    <w:rsid w:val="0019638E"/>
    <w:rsid w:val="00196502"/>
    <w:rsid w:val="0019676B"/>
    <w:rsid w:val="00196BF1"/>
    <w:rsid w:val="00197041"/>
    <w:rsid w:val="001979A3"/>
    <w:rsid w:val="00197FE3"/>
    <w:rsid w:val="001A016C"/>
    <w:rsid w:val="001A0422"/>
    <w:rsid w:val="001A060B"/>
    <w:rsid w:val="001A0BEE"/>
    <w:rsid w:val="001A0C8F"/>
    <w:rsid w:val="001A0FF5"/>
    <w:rsid w:val="001A102F"/>
    <w:rsid w:val="001A1970"/>
    <w:rsid w:val="001A1A27"/>
    <w:rsid w:val="001A1A61"/>
    <w:rsid w:val="001A1B39"/>
    <w:rsid w:val="001A1ED0"/>
    <w:rsid w:val="001A1EFA"/>
    <w:rsid w:val="001A1FAC"/>
    <w:rsid w:val="001A1FC1"/>
    <w:rsid w:val="001A27EE"/>
    <w:rsid w:val="001A2EA2"/>
    <w:rsid w:val="001A35A6"/>
    <w:rsid w:val="001A368A"/>
    <w:rsid w:val="001A3963"/>
    <w:rsid w:val="001A3BD3"/>
    <w:rsid w:val="001A41DF"/>
    <w:rsid w:val="001A43F5"/>
    <w:rsid w:val="001A4B66"/>
    <w:rsid w:val="001A4CA5"/>
    <w:rsid w:val="001A4E0E"/>
    <w:rsid w:val="001A4E8C"/>
    <w:rsid w:val="001A4EF7"/>
    <w:rsid w:val="001A4F6E"/>
    <w:rsid w:val="001A5A21"/>
    <w:rsid w:val="001A5A62"/>
    <w:rsid w:val="001A5ABD"/>
    <w:rsid w:val="001A5CE0"/>
    <w:rsid w:val="001A5CF7"/>
    <w:rsid w:val="001A5F5A"/>
    <w:rsid w:val="001A60E2"/>
    <w:rsid w:val="001A61EF"/>
    <w:rsid w:val="001A6417"/>
    <w:rsid w:val="001A69F0"/>
    <w:rsid w:val="001A75E7"/>
    <w:rsid w:val="001A79AA"/>
    <w:rsid w:val="001A7ACF"/>
    <w:rsid w:val="001A7C06"/>
    <w:rsid w:val="001A7C3B"/>
    <w:rsid w:val="001A7F95"/>
    <w:rsid w:val="001B0292"/>
    <w:rsid w:val="001B07B0"/>
    <w:rsid w:val="001B0992"/>
    <w:rsid w:val="001B0AC4"/>
    <w:rsid w:val="001B0E89"/>
    <w:rsid w:val="001B109A"/>
    <w:rsid w:val="001B1120"/>
    <w:rsid w:val="001B14DC"/>
    <w:rsid w:val="001B15E2"/>
    <w:rsid w:val="001B163A"/>
    <w:rsid w:val="001B22AA"/>
    <w:rsid w:val="001B23FB"/>
    <w:rsid w:val="001B253D"/>
    <w:rsid w:val="001B277C"/>
    <w:rsid w:val="001B277F"/>
    <w:rsid w:val="001B2C6A"/>
    <w:rsid w:val="001B2F19"/>
    <w:rsid w:val="001B35B2"/>
    <w:rsid w:val="001B35ED"/>
    <w:rsid w:val="001B3634"/>
    <w:rsid w:val="001B369D"/>
    <w:rsid w:val="001B4355"/>
    <w:rsid w:val="001B450E"/>
    <w:rsid w:val="001B46DB"/>
    <w:rsid w:val="001B4C4E"/>
    <w:rsid w:val="001B4F75"/>
    <w:rsid w:val="001B503D"/>
    <w:rsid w:val="001B517A"/>
    <w:rsid w:val="001B5DDB"/>
    <w:rsid w:val="001B62D3"/>
    <w:rsid w:val="001B6315"/>
    <w:rsid w:val="001B6640"/>
    <w:rsid w:val="001B6AB8"/>
    <w:rsid w:val="001B7087"/>
    <w:rsid w:val="001B74F4"/>
    <w:rsid w:val="001B75DC"/>
    <w:rsid w:val="001B7B83"/>
    <w:rsid w:val="001B7D8B"/>
    <w:rsid w:val="001C0136"/>
    <w:rsid w:val="001C0566"/>
    <w:rsid w:val="001C081A"/>
    <w:rsid w:val="001C0A10"/>
    <w:rsid w:val="001C0A6E"/>
    <w:rsid w:val="001C0AD1"/>
    <w:rsid w:val="001C0BCC"/>
    <w:rsid w:val="001C117D"/>
    <w:rsid w:val="001C120F"/>
    <w:rsid w:val="001C151F"/>
    <w:rsid w:val="001C1B4F"/>
    <w:rsid w:val="001C1F9C"/>
    <w:rsid w:val="001C226A"/>
    <w:rsid w:val="001C236E"/>
    <w:rsid w:val="001C2966"/>
    <w:rsid w:val="001C29C0"/>
    <w:rsid w:val="001C29E7"/>
    <w:rsid w:val="001C3119"/>
    <w:rsid w:val="001C32C6"/>
    <w:rsid w:val="001C34FF"/>
    <w:rsid w:val="001C3E2D"/>
    <w:rsid w:val="001C47BB"/>
    <w:rsid w:val="001C48C7"/>
    <w:rsid w:val="001C4A9E"/>
    <w:rsid w:val="001C581F"/>
    <w:rsid w:val="001C5F84"/>
    <w:rsid w:val="001C674A"/>
    <w:rsid w:val="001C6CAB"/>
    <w:rsid w:val="001C6CC1"/>
    <w:rsid w:val="001C6EDD"/>
    <w:rsid w:val="001C7130"/>
    <w:rsid w:val="001C72FC"/>
    <w:rsid w:val="001C7B74"/>
    <w:rsid w:val="001C7E70"/>
    <w:rsid w:val="001D0068"/>
    <w:rsid w:val="001D01C6"/>
    <w:rsid w:val="001D092F"/>
    <w:rsid w:val="001D1298"/>
    <w:rsid w:val="001D1AEF"/>
    <w:rsid w:val="001D244E"/>
    <w:rsid w:val="001D24F1"/>
    <w:rsid w:val="001D286C"/>
    <w:rsid w:val="001D3031"/>
    <w:rsid w:val="001D32B9"/>
    <w:rsid w:val="001D33B8"/>
    <w:rsid w:val="001D3775"/>
    <w:rsid w:val="001D3897"/>
    <w:rsid w:val="001D3AD1"/>
    <w:rsid w:val="001D403E"/>
    <w:rsid w:val="001D45D2"/>
    <w:rsid w:val="001D478B"/>
    <w:rsid w:val="001D4816"/>
    <w:rsid w:val="001D4910"/>
    <w:rsid w:val="001D4970"/>
    <w:rsid w:val="001D57E6"/>
    <w:rsid w:val="001D5F02"/>
    <w:rsid w:val="001D6178"/>
    <w:rsid w:val="001D6186"/>
    <w:rsid w:val="001D62AF"/>
    <w:rsid w:val="001D62CE"/>
    <w:rsid w:val="001D637E"/>
    <w:rsid w:val="001D6652"/>
    <w:rsid w:val="001D6811"/>
    <w:rsid w:val="001D69E5"/>
    <w:rsid w:val="001D6B3D"/>
    <w:rsid w:val="001D6ED5"/>
    <w:rsid w:val="001D7104"/>
    <w:rsid w:val="001E00C9"/>
    <w:rsid w:val="001E00CD"/>
    <w:rsid w:val="001E021E"/>
    <w:rsid w:val="001E0360"/>
    <w:rsid w:val="001E075F"/>
    <w:rsid w:val="001E0933"/>
    <w:rsid w:val="001E0E13"/>
    <w:rsid w:val="001E14CB"/>
    <w:rsid w:val="001E14E8"/>
    <w:rsid w:val="001E1627"/>
    <w:rsid w:val="001E18BD"/>
    <w:rsid w:val="001E1A7C"/>
    <w:rsid w:val="001E1D8A"/>
    <w:rsid w:val="001E1DBA"/>
    <w:rsid w:val="001E1EF2"/>
    <w:rsid w:val="001E290B"/>
    <w:rsid w:val="001E3321"/>
    <w:rsid w:val="001E385F"/>
    <w:rsid w:val="001E39E4"/>
    <w:rsid w:val="001E45E7"/>
    <w:rsid w:val="001E490C"/>
    <w:rsid w:val="001E4B87"/>
    <w:rsid w:val="001E4C68"/>
    <w:rsid w:val="001E4D2B"/>
    <w:rsid w:val="001E50FD"/>
    <w:rsid w:val="001E5310"/>
    <w:rsid w:val="001E5529"/>
    <w:rsid w:val="001E5920"/>
    <w:rsid w:val="001E59DC"/>
    <w:rsid w:val="001E5DD7"/>
    <w:rsid w:val="001E5EEE"/>
    <w:rsid w:val="001E5F4A"/>
    <w:rsid w:val="001E6553"/>
    <w:rsid w:val="001E7358"/>
    <w:rsid w:val="001E76C3"/>
    <w:rsid w:val="001E7964"/>
    <w:rsid w:val="001E7C72"/>
    <w:rsid w:val="001E7EDD"/>
    <w:rsid w:val="001F02CD"/>
    <w:rsid w:val="001F0B7F"/>
    <w:rsid w:val="001F0CD0"/>
    <w:rsid w:val="001F0F71"/>
    <w:rsid w:val="001F1279"/>
    <w:rsid w:val="001F15B1"/>
    <w:rsid w:val="001F19D1"/>
    <w:rsid w:val="001F1B69"/>
    <w:rsid w:val="001F1C8F"/>
    <w:rsid w:val="001F1D9A"/>
    <w:rsid w:val="001F2354"/>
    <w:rsid w:val="001F2740"/>
    <w:rsid w:val="001F2C3A"/>
    <w:rsid w:val="001F2C6B"/>
    <w:rsid w:val="001F2CC5"/>
    <w:rsid w:val="001F3531"/>
    <w:rsid w:val="001F3550"/>
    <w:rsid w:val="001F3696"/>
    <w:rsid w:val="001F379E"/>
    <w:rsid w:val="001F3F85"/>
    <w:rsid w:val="001F42FF"/>
    <w:rsid w:val="001F44B4"/>
    <w:rsid w:val="001F44D3"/>
    <w:rsid w:val="001F4510"/>
    <w:rsid w:val="001F4A9F"/>
    <w:rsid w:val="001F4BA5"/>
    <w:rsid w:val="001F58D3"/>
    <w:rsid w:val="001F5957"/>
    <w:rsid w:val="001F59C6"/>
    <w:rsid w:val="001F60DA"/>
    <w:rsid w:val="001F65A4"/>
    <w:rsid w:val="001F65E0"/>
    <w:rsid w:val="001F6B53"/>
    <w:rsid w:val="001F6ED1"/>
    <w:rsid w:val="001F6EE3"/>
    <w:rsid w:val="001F700D"/>
    <w:rsid w:val="001F7362"/>
    <w:rsid w:val="001F75A9"/>
    <w:rsid w:val="001F7AE9"/>
    <w:rsid w:val="001F7CBF"/>
    <w:rsid w:val="001F7CFD"/>
    <w:rsid w:val="0020084F"/>
    <w:rsid w:val="002011D5"/>
    <w:rsid w:val="00201467"/>
    <w:rsid w:val="002019D6"/>
    <w:rsid w:val="00201B14"/>
    <w:rsid w:val="00201C2D"/>
    <w:rsid w:val="00202014"/>
    <w:rsid w:val="0020233B"/>
    <w:rsid w:val="002025F9"/>
    <w:rsid w:val="00202E6B"/>
    <w:rsid w:val="00202F63"/>
    <w:rsid w:val="00203367"/>
    <w:rsid w:val="00203C06"/>
    <w:rsid w:val="00203DA7"/>
    <w:rsid w:val="0020437F"/>
    <w:rsid w:val="00204438"/>
    <w:rsid w:val="00204508"/>
    <w:rsid w:val="0020474D"/>
    <w:rsid w:val="00204A44"/>
    <w:rsid w:val="00204B47"/>
    <w:rsid w:val="00204BFC"/>
    <w:rsid w:val="00204F6E"/>
    <w:rsid w:val="00204FAB"/>
    <w:rsid w:val="002054AD"/>
    <w:rsid w:val="00206147"/>
    <w:rsid w:val="002064F3"/>
    <w:rsid w:val="00206652"/>
    <w:rsid w:val="002069A8"/>
    <w:rsid w:val="00206B2B"/>
    <w:rsid w:val="00206C70"/>
    <w:rsid w:val="00206EE7"/>
    <w:rsid w:val="00207281"/>
    <w:rsid w:val="00207765"/>
    <w:rsid w:val="0020789A"/>
    <w:rsid w:val="00207936"/>
    <w:rsid w:val="00207AA6"/>
    <w:rsid w:val="00207C83"/>
    <w:rsid w:val="002103B6"/>
    <w:rsid w:val="00210869"/>
    <w:rsid w:val="002116AD"/>
    <w:rsid w:val="00211999"/>
    <w:rsid w:val="002119E9"/>
    <w:rsid w:val="00211B44"/>
    <w:rsid w:val="00212012"/>
    <w:rsid w:val="002120A6"/>
    <w:rsid w:val="002122B8"/>
    <w:rsid w:val="002123A4"/>
    <w:rsid w:val="002126CD"/>
    <w:rsid w:val="00212A54"/>
    <w:rsid w:val="00212EC9"/>
    <w:rsid w:val="00213694"/>
    <w:rsid w:val="00213773"/>
    <w:rsid w:val="00213A90"/>
    <w:rsid w:val="00213B0E"/>
    <w:rsid w:val="00213CBC"/>
    <w:rsid w:val="002141CF"/>
    <w:rsid w:val="002141FB"/>
    <w:rsid w:val="00214258"/>
    <w:rsid w:val="00214447"/>
    <w:rsid w:val="002146CA"/>
    <w:rsid w:val="002147D6"/>
    <w:rsid w:val="00214A2A"/>
    <w:rsid w:val="00214BEB"/>
    <w:rsid w:val="002154C2"/>
    <w:rsid w:val="0021575B"/>
    <w:rsid w:val="00215783"/>
    <w:rsid w:val="00215B8C"/>
    <w:rsid w:val="00215D33"/>
    <w:rsid w:val="0021669B"/>
    <w:rsid w:val="002166C7"/>
    <w:rsid w:val="00216876"/>
    <w:rsid w:val="002168C9"/>
    <w:rsid w:val="00217451"/>
    <w:rsid w:val="00217A1B"/>
    <w:rsid w:val="002200D2"/>
    <w:rsid w:val="0022018A"/>
    <w:rsid w:val="00220846"/>
    <w:rsid w:val="00220ADA"/>
    <w:rsid w:val="00220B7B"/>
    <w:rsid w:val="00221074"/>
    <w:rsid w:val="002213D9"/>
    <w:rsid w:val="0022180E"/>
    <w:rsid w:val="0022184E"/>
    <w:rsid w:val="00221B60"/>
    <w:rsid w:val="002220BA"/>
    <w:rsid w:val="00222546"/>
    <w:rsid w:val="00222671"/>
    <w:rsid w:val="00222691"/>
    <w:rsid w:val="00222796"/>
    <w:rsid w:val="002227B3"/>
    <w:rsid w:val="002227F5"/>
    <w:rsid w:val="00222CE3"/>
    <w:rsid w:val="002235D7"/>
    <w:rsid w:val="002239C4"/>
    <w:rsid w:val="00223FB0"/>
    <w:rsid w:val="00224107"/>
    <w:rsid w:val="0022410F"/>
    <w:rsid w:val="00224617"/>
    <w:rsid w:val="00224B00"/>
    <w:rsid w:val="00225591"/>
    <w:rsid w:val="00225690"/>
    <w:rsid w:val="0022574F"/>
    <w:rsid w:val="00225910"/>
    <w:rsid w:val="0022593A"/>
    <w:rsid w:val="00225B52"/>
    <w:rsid w:val="00225CE3"/>
    <w:rsid w:val="00225D3F"/>
    <w:rsid w:val="002260D7"/>
    <w:rsid w:val="00226496"/>
    <w:rsid w:val="002266A8"/>
    <w:rsid w:val="002269E8"/>
    <w:rsid w:val="00226B17"/>
    <w:rsid w:val="0022712B"/>
    <w:rsid w:val="002273DB"/>
    <w:rsid w:val="0022740B"/>
    <w:rsid w:val="002276A4"/>
    <w:rsid w:val="00227843"/>
    <w:rsid w:val="00227A99"/>
    <w:rsid w:val="00227C8B"/>
    <w:rsid w:val="002300AC"/>
    <w:rsid w:val="00230A44"/>
    <w:rsid w:val="00230A52"/>
    <w:rsid w:val="00230BC4"/>
    <w:rsid w:val="00230FA5"/>
    <w:rsid w:val="00231131"/>
    <w:rsid w:val="00231167"/>
    <w:rsid w:val="0023170E"/>
    <w:rsid w:val="00231839"/>
    <w:rsid w:val="00231AD5"/>
    <w:rsid w:val="00232371"/>
    <w:rsid w:val="00232423"/>
    <w:rsid w:val="0023262B"/>
    <w:rsid w:val="00232A4E"/>
    <w:rsid w:val="0023307F"/>
    <w:rsid w:val="00233A7D"/>
    <w:rsid w:val="00233A82"/>
    <w:rsid w:val="00234035"/>
    <w:rsid w:val="002346C6"/>
    <w:rsid w:val="0023476D"/>
    <w:rsid w:val="0023482B"/>
    <w:rsid w:val="0023482C"/>
    <w:rsid w:val="00234AA4"/>
    <w:rsid w:val="00234BFD"/>
    <w:rsid w:val="00234C7F"/>
    <w:rsid w:val="00234E62"/>
    <w:rsid w:val="00234F8F"/>
    <w:rsid w:val="002350DB"/>
    <w:rsid w:val="00235214"/>
    <w:rsid w:val="00235290"/>
    <w:rsid w:val="00235A33"/>
    <w:rsid w:val="00235AD3"/>
    <w:rsid w:val="0023658F"/>
    <w:rsid w:val="002365F6"/>
    <w:rsid w:val="00236872"/>
    <w:rsid w:val="00236890"/>
    <w:rsid w:val="002368C0"/>
    <w:rsid w:val="002369FD"/>
    <w:rsid w:val="00236AA1"/>
    <w:rsid w:val="00236AC0"/>
    <w:rsid w:val="00236BDE"/>
    <w:rsid w:val="00236CC2"/>
    <w:rsid w:val="00236CDE"/>
    <w:rsid w:val="0023763A"/>
    <w:rsid w:val="00237D7D"/>
    <w:rsid w:val="002404D1"/>
    <w:rsid w:val="00240513"/>
    <w:rsid w:val="002405C8"/>
    <w:rsid w:val="0024064F"/>
    <w:rsid w:val="002406F6"/>
    <w:rsid w:val="00240ECB"/>
    <w:rsid w:val="002415DA"/>
    <w:rsid w:val="00241857"/>
    <w:rsid w:val="00242006"/>
    <w:rsid w:val="0024285E"/>
    <w:rsid w:val="00242997"/>
    <w:rsid w:val="00242F79"/>
    <w:rsid w:val="00242FA8"/>
    <w:rsid w:val="0024307E"/>
    <w:rsid w:val="0024310E"/>
    <w:rsid w:val="00243161"/>
    <w:rsid w:val="00243204"/>
    <w:rsid w:val="002436E9"/>
    <w:rsid w:val="0024393A"/>
    <w:rsid w:val="00243AC5"/>
    <w:rsid w:val="00243C6A"/>
    <w:rsid w:val="00243F11"/>
    <w:rsid w:val="0024405D"/>
    <w:rsid w:val="00244317"/>
    <w:rsid w:val="00244516"/>
    <w:rsid w:val="00244745"/>
    <w:rsid w:val="00244A0C"/>
    <w:rsid w:val="00244CF8"/>
    <w:rsid w:val="002454F0"/>
    <w:rsid w:val="002456C9"/>
    <w:rsid w:val="002456FB"/>
    <w:rsid w:val="00245AA2"/>
    <w:rsid w:val="00245B9E"/>
    <w:rsid w:val="002465AC"/>
    <w:rsid w:val="002465EC"/>
    <w:rsid w:val="00246614"/>
    <w:rsid w:val="00246724"/>
    <w:rsid w:val="00246907"/>
    <w:rsid w:val="00246A93"/>
    <w:rsid w:val="00246B28"/>
    <w:rsid w:val="00246C0E"/>
    <w:rsid w:val="00246C85"/>
    <w:rsid w:val="00246EC9"/>
    <w:rsid w:val="00246FE9"/>
    <w:rsid w:val="00247130"/>
    <w:rsid w:val="0024723E"/>
    <w:rsid w:val="00247760"/>
    <w:rsid w:val="002477A7"/>
    <w:rsid w:val="00247D26"/>
    <w:rsid w:val="00247E6F"/>
    <w:rsid w:val="00247FD9"/>
    <w:rsid w:val="0025003A"/>
    <w:rsid w:val="00250260"/>
    <w:rsid w:val="00250FD5"/>
    <w:rsid w:val="00251167"/>
    <w:rsid w:val="002511BA"/>
    <w:rsid w:val="00251A55"/>
    <w:rsid w:val="00252682"/>
    <w:rsid w:val="002526B9"/>
    <w:rsid w:val="00252770"/>
    <w:rsid w:val="00252DD3"/>
    <w:rsid w:val="00252E6B"/>
    <w:rsid w:val="0025338F"/>
    <w:rsid w:val="00253572"/>
    <w:rsid w:val="0025394F"/>
    <w:rsid w:val="002539AA"/>
    <w:rsid w:val="00253B15"/>
    <w:rsid w:val="00253B97"/>
    <w:rsid w:val="002544CB"/>
    <w:rsid w:val="00254724"/>
    <w:rsid w:val="00255BAA"/>
    <w:rsid w:val="00255D8E"/>
    <w:rsid w:val="0025607F"/>
    <w:rsid w:val="0025646F"/>
    <w:rsid w:val="00256584"/>
    <w:rsid w:val="00256C48"/>
    <w:rsid w:val="00256D20"/>
    <w:rsid w:val="00256ED6"/>
    <w:rsid w:val="00256EF8"/>
    <w:rsid w:val="002570D5"/>
    <w:rsid w:val="00257177"/>
    <w:rsid w:val="00257305"/>
    <w:rsid w:val="00257730"/>
    <w:rsid w:val="00257803"/>
    <w:rsid w:val="00257B74"/>
    <w:rsid w:val="00257CCE"/>
    <w:rsid w:val="00257CD8"/>
    <w:rsid w:val="002604FD"/>
    <w:rsid w:val="00260F56"/>
    <w:rsid w:val="002610D8"/>
    <w:rsid w:val="0026151A"/>
    <w:rsid w:val="00261A6C"/>
    <w:rsid w:val="00262720"/>
    <w:rsid w:val="002629E2"/>
    <w:rsid w:val="00262BA8"/>
    <w:rsid w:val="00262BC8"/>
    <w:rsid w:val="002636D4"/>
    <w:rsid w:val="002641D9"/>
    <w:rsid w:val="002643C5"/>
    <w:rsid w:val="00264917"/>
    <w:rsid w:val="00264D97"/>
    <w:rsid w:val="0026510C"/>
    <w:rsid w:val="002651EC"/>
    <w:rsid w:val="00265DC2"/>
    <w:rsid w:val="002660A9"/>
    <w:rsid w:val="002660F1"/>
    <w:rsid w:val="0026638C"/>
    <w:rsid w:val="00266632"/>
    <w:rsid w:val="002668AF"/>
    <w:rsid w:val="00266F00"/>
    <w:rsid w:val="002670EF"/>
    <w:rsid w:val="002671A2"/>
    <w:rsid w:val="00267A38"/>
    <w:rsid w:val="00267EE2"/>
    <w:rsid w:val="00267F5F"/>
    <w:rsid w:val="002702F4"/>
    <w:rsid w:val="00270965"/>
    <w:rsid w:val="00270A01"/>
    <w:rsid w:val="00270EC6"/>
    <w:rsid w:val="00271A07"/>
    <w:rsid w:val="00271E5D"/>
    <w:rsid w:val="00272082"/>
    <w:rsid w:val="002720FE"/>
    <w:rsid w:val="002720FF"/>
    <w:rsid w:val="00272C8F"/>
    <w:rsid w:val="002731BB"/>
    <w:rsid w:val="0027349D"/>
    <w:rsid w:val="00273516"/>
    <w:rsid w:val="00273985"/>
    <w:rsid w:val="00273B82"/>
    <w:rsid w:val="00273E7A"/>
    <w:rsid w:val="00274372"/>
    <w:rsid w:val="0027475A"/>
    <w:rsid w:val="00274E9A"/>
    <w:rsid w:val="00274F5F"/>
    <w:rsid w:val="0027549F"/>
    <w:rsid w:val="002754B7"/>
    <w:rsid w:val="0027559C"/>
    <w:rsid w:val="00275F56"/>
    <w:rsid w:val="002765B7"/>
    <w:rsid w:val="00276EAA"/>
    <w:rsid w:val="0027735F"/>
    <w:rsid w:val="00277713"/>
    <w:rsid w:val="00277B81"/>
    <w:rsid w:val="00277DBC"/>
    <w:rsid w:val="00277E73"/>
    <w:rsid w:val="00277F64"/>
    <w:rsid w:val="002801A3"/>
    <w:rsid w:val="00280550"/>
    <w:rsid w:val="0028067C"/>
    <w:rsid w:val="00281063"/>
    <w:rsid w:val="00281676"/>
    <w:rsid w:val="00281C41"/>
    <w:rsid w:val="00281E32"/>
    <w:rsid w:val="002823B9"/>
    <w:rsid w:val="00282479"/>
    <w:rsid w:val="0028276E"/>
    <w:rsid w:val="002827F3"/>
    <w:rsid w:val="002829BD"/>
    <w:rsid w:val="00282A6C"/>
    <w:rsid w:val="00282B3E"/>
    <w:rsid w:val="00282C1F"/>
    <w:rsid w:val="00282C67"/>
    <w:rsid w:val="00282C6C"/>
    <w:rsid w:val="00282F99"/>
    <w:rsid w:val="002832DF"/>
    <w:rsid w:val="00283451"/>
    <w:rsid w:val="002835E8"/>
    <w:rsid w:val="00283B7F"/>
    <w:rsid w:val="0028435E"/>
    <w:rsid w:val="0028468D"/>
    <w:rsid w:val="0028470C"/>
    <w:rsid w:val="00284B5F"/>
    <w:rsid w:val="00284EAE"/>
    <w:rsid w:val="002851E6"/>
    <w:rsid w:val="0028560C"/>
    <w:rsid w:val="00285879"/>
    <w:rsid w:val="0028596B"/>
    <w:rsid w:val="00285FB9"/>
    <w:rsid w:val="00286219"/>
    <w:rsid w:val="00286579"/>
    <w:rsid w:val="002867FC"/>
    <w:rsid w:val="00286A03"/>
    <w:rsid w:val="00287514"/>
    <w:rsid w:val="0028791B"/>
    <w:rsid w:val="00287C57"/>
    <w:rsid w:val="00287E44"/>
    <w:rsid w:val="00287F79"/>
    <w:rsid w:val="00290024"/>
    <w:rsid w:val="00290044"/>
    <w:rsid w:val="002900A9"/>
    <w:rsid w:val="00290153"/>
    <w:rsid w:val="00290585"/>
    <w:rsid w:val="00290C43"/>
    <w:rsid w:val="00290C90"/>
    <w:rsid w:val="00290DCB"/>
    <w:rsid w:val="00291260"/>
    <w:rsid w:val="002916DB"/>
    <w:rsid w:val="0029190A"/>
    <w:rsid w:val="00292220"/>
    <w:rsid w:val="00292877"/>
    <w:rsid w:val="00293047"/>
    <w:rsid w:val="00293271"/>
    <w:rsid w:val="00293422"/>
    <w:rsid w:val="00293472"/>
    <w:rsid w:val="00293587"/>
    <w:rsid w:val="00293896"/>
    <w:rsid w:val="00293C63"/>
    <w:rsid w:val="00293C65"/>
    <w:rsid w:val="00293D08"/>
    <w:rsid w:val="00293E51"/>
    <w:rsid w:val="00293ED1"/>
    <w:rsid w:val="0029418C"/>
    <w:rsid w:val="00294214"/>
    <w:rsid w:val="00294599"/>
    <w:rsid w:val="002949F6"/>
    <w:rsid w:val="00294A06"/>
    <w:rsid w:val="00294DD1"/>
    <w:rsid w:val="00294FFB"/>
    <w:rsid w:val="002954FD"/>
    <w:rsid w:val="002958FA"/>
    <w:rsid w:val="00296242"/>
    <w:rsid w:val="0029627F"/>
    <w:rsid w:val="002963EC"/>
    <w:rsid w:val="00296CE6"/>
    <w:rsid w:val="002973DF"/>
    <w:rsid w:val="00297D6A"/>
    <w:rsid w:val="002A0190"/>
    <w:rsid w:val="002A0983"/>
    <w:rsid w:val="002A0BF5"/>
    <w:rsid w:val="002A0C81"/>
    <w:rsid w:val="002A1128"/>
    <w:rsid w:val="002A158C"/>
    <w:rsid w:val="002A1739"/>
    <w:rsid w:val="002A1C9E"/>
    <w:rsid w:val="002A1FBF"/>
    <w:rsid w:val="002A24EB"/>
    <w:rsid w:val="002A2C5E"/>
    <w:rsid w:val="002A2D66"/>
    <w:rsid w:val="002A4206"/>
    <w:rsid w:val="002A428E"/>
    <w:rsid w:val="002A432F"/>
    <w:rsid w:val="002A46FA"/>
    <w:rsid w:val="002A4737"/>
    <w:rsid w:val="002A4916"/>
    <w:rsid w:val="002A5227"/>
    <w:rsid w:val="002A53C5"/>
    <w:rsid w:val="002A57BC"/>
    <w:rsid w:val="002A581C"/>
    <w:rsid w:val="002A72C8"/>
    <w:rsid w:val="002A78AA"/>
    <w:rsid w:val="002B00FE"/>
    <w:rsid w:val="002B0E27"/>
    <w:rsid w:val="002B10B6"/>
    <w:rsid w:val="002B10D3"/>
    <w:rsid w:val="002B1113"/>
    <w:rsid w:val="002B1867"/>
    <w:rsid w:val="002B1BD1"/>
    <w:rsid w:val="002B1EA3"/>
    <w:rsid w:val="002B2A55"/>
    <w:rsid w:val="002B2DA9"/>
    <w:rsid w:val="002B30C8"/>
    <w:rsid w:val="002B31FA"/>
    <w:rsid w:val="002B3280"/>
    <w:rsid w:val="002B33D5"/>
    <w:rsid w:val="002B3434"/>
    <w:rsid w:val="002B3A06"/>
    <w:rsid w:val="002B4383"/>
    <w:rsid w:val="002B4552"/>
    <w:rsid w:val="002B4C84"/>
    <w:rsid w:val="002B4E76"/>
    <w:rsid w:val="002B55DA"/>
    <w:rsid w:val="002B5746"/>
    <w:rsid w:val="002B58C7"/>
    <w:rsid w:val="002B5F21"/>
    <w:rsid w:val="002B63D3"/>
    <w:rsid w:val="002B6815"/>
    <w:rsid w:val="002B6AB1"/>
    <w:rsid w:val="002B6CBF"/>
    <w:rsid w:val="002B71D1"/>
    <w:rsid w:val="002B73DE"/>
    <w:rsid w:val="002B78CF"/>
    <w:rsid w:val="002B78D2"/>
    <w:rsid w:val="002B7A50"/>
    <w:rsid w:val="002B7ECC"/>
    <w:rsid w:val="002C0144"/>
    <w:rsid w:val="002C0CAC"/>
    <w:rsid w:val="002C1475"/>
    <w:rsid w:val="002C1500"/>
    <w:rsid w:val="002C1F28"/>
    <w:rsid w:val="002C23CF"/>
    <w:rsid w:val="002C254B"/>
    <w:rsid w:val="002C25DE"/>
    <w:rsid w:val="002C262F"/>
    <w:rsid w:val="002C27E8"/>
    <w:rsid w:val="002C2ACB"/>
    <w:rsid w:val="002C2F60"/>
    <w:rsid w:val="002C373F"/>
    <w:rsid w:val="002C391F"/>
    <w:rsid w:val="002C39C4"/>
    <w:rsid w:val="002C3EC2"/>
    <w:rsid w:val="002C41CB"/>
    <w:rsid w:val="002C47E2"/>
    <w:rsid w:val="002C5C58"/>
    <w:rsid w:val="002C61B5"/>
    <w:rsid w:val="002C634E"/>
    <w:rsid w:val="002C6A1A"/>
    <w:rsid w:val="002C6B67"/>
    <w:rsid w:val="002C73EE"/>
    <w:rsid w:val="002C7660"/>
    <w:rsid w:val="002C7718"/>
    <w:rsid w:val="002C77AD"/>
    <w:rsid w:val="002C77DB"/>
    <w:rsid w:val="002C77F7"/>
    <w:rsid w:val="002C7CD4"/>
    <w:rsid w:val="002C7FC6"/>
    <w:rsid w:val="002D0321"/>
    <w:rsid w:val="002D06A5"/>
    <w:rsid w:val="002D0E7A"/>
    <w:rsid w:val="002D1089"/>
    <w:rsid w:val="002D129E"/>
    <w:rsid w:val="002D155B"/>
    <w:rsid w:val="002D1A33"/>
    <w:rsid w:val="002D1AD3"/>
    <w:rsid w:val="002D2065"/>
    <w:rsid w:val="002D2768"/>
    <w:rsid w:val="002D3337"/>
    <w:rsid w:val="002D3C49"/>
    <w:rsid w:val="002D40A5"/>
    <w:rsid w:val="002D47E5"/>
    <w:rsid w:val="002D48E1"/>
    <w:rsid w:val="002D4DF7"/>
    <w:rsid w:val="002D53DF"/>
    <w:rsid w:val="002D5847"/>
    <w:rsid w:val="002D5B3B"/>
    <w:rsid w:val="002D61C8"/>
    <w:rsid w:val="002D629E"/>
    <w:rsid w:val="002D6967"/>
    <w:rsid w:val="002D6E7A"/>
    <w:rsid w:val="002D6E9A"/>
    <w:rsid w:val="002D6F57"/>
    <w:rsid w:val="002D70C3"/>
    <w:rsid w:val="002D726B"/>
    <w:rsid w:val="002D75DB"/>
    <w:rsid w:val="002D7F19"/>
    <w:rsid w:val="002E0067"/>
    <w:rsid w:val="002E02D0"/>
    <w:rsid w:val="002E0489"/>
    <w:rsid w:val="002E04C0"/>
    <w:rsid w:val="002E0544"/>
    <w:rsid w:val="002E1DF4"/>
    <w:rsid w:val="002E2C3B"/>
    <w:rsid w:val="002E32B3"/>
    <w:rsid w:val="002E3B9B"/>
    <w:rsid w:val="002E3BD3"/>
    <w:rsid w:val="002E3C37"/>
    <w:rsid w:val="002E3CD0"/>
    <w:rsid w:val="002E4BA7"/>
    <w:rsid w:val="002E4D3D"/>
    <w:rsid w:val="002E4DD1"/>
    <w:rsid w:val="002E59FB"/>
    <w:rsid w:val="002E5A77"/>
    <w:rsid w:val="002E5CA7"/>
    <w:rsid w:val="002E6377"/>
    <w:rsid w:val="002E64C3"/>
    <w:rsid w:val="002E668B"/>
    <w:rsid w:val="002E70AB"/>
    <w:rsid w:val="002E7113"/>
    <w:rsid w:val="002E7235"/>
    <w:rsid w:val="002E7822"/>
    <w:rsid w:val="002E7C80"/>
    <w:rsid w:val="002E7DEA"/>
    <w:rsid w:val="002E7FAC"/>
    <w:rsid w:val="002F01B0"/>
    <w:rsid w:val="002F024B"/>
    <w:rsid w:val="002F0276"/>
    <w:rsid w:val="002F039E"/>
    <w:rsid w:val="002F0B42"/>
    <w:rsid w:val="002F10E7"/>
    <w:rsid w:val="002F11F9"/>
    <w:rsid w:val="002F1274"/>
    <w:rsid w:val="002F13E0"/>
    <w:rsid w:val="002F16CB"/>
    <w:rsid w:val="002F1742"/>
    <w:rsid w:val="002F197C"/>
    <w:rsid w:val="002F1AB0"/>
    <w:rsid w:val="002F238B"/>
    <w:rsid w:val="002F2626"/>
    <w:rsid w:val="002F2799"/>
    <w:rsid w:val="002F3038"/>
    <w:rsid w:val="002F3C64"/>
    <w:rsid w:val="002F4431"/>
    <w:rsid w:val="002F4687"/>
    <w:rsid w:val="002F47E7"/>
    <w:rsid w:val="002F510D"/>
    <w:rsid w:val="002F5F61"/>
    <w:rsid w:val="002F63E6"/>
    <w:rsid w:val="002F7729"/>
    <w:rsid w:val="002F794D"/>
    <w:rsid w:val="002F7D2A"/>
    <w:rsid w:val="002F7E4E"/>
    <w:rsid w:val="00300081"/>
    <w:rsid w:val="0030023E"/>
    <w:rsid w:val="0030059B"/>
    <w:rsid w:val="00300812"/>
    <w:rsid w:val="0030094D"/>
    <w:rsid w:val="00300D44"/>
    <w:rsid w:val="00300FC5"/>
    <w:rsid w:val="00301277"/>
    <w:rsid w:val="00301837"/>
    <w:rsid w:val="003018AA"/>
    <w:rsid w:val="003019CD"/>
    <w:rsid w:val="00301FCA"/>
    <w:rsid w:val="003023BE"/>
    <w:rsid w:val="00302DA3"/>
    <w:rsid w:val="0030341B"/>
    <w:rsid w:val="003034D2"/>
    <w:rsid w:val="0030373E"/>
    <w:rsid w:val="00303A1B"/>
    <w:rsid w:val="00303F56"/>
    <w:rsid w:val="003045BE"/>
    <w:rsid w:val="00304E8C"/>
    <w:rsid w:val="0030518C"/>
    <w:rsid w:val="00305204"/>
    <w:rsid w:val="003054E0"/>
    <w:rsid w:val="00305F09"/>
    <w:rsid w:val="00305F53"/>
    <w:rsid w:val="003060F3"/>
    <w:rsid w:val="0030612A"/>
    <w:rsid w:val="003068EC"/>
    <w:rsid w:val="00306C01"/>
    <w:rsid w:val="0030759B"/>
    <w:rsid w:val="003076C4"/>
    <w:rsid w:val="003079A6"/>
    <w:rsid w:val="0031001A"/>
    <w:rsid w:val="003106C8"/>
    <w:rsid w:val="00310B73"/>
    <w:rsid w:val="00310E3F"/>
    <w:rsid w:val="00311270"/>
    <w:rsid w:val="0031175D"/>
    <w:rsid w:val="00311800"/>
    <w:rsid w:val="003119DD"/>
    <w:rsid w:val="00311F8C"/>
    <w:rsid w:val="003120E7"/>
    <w:rsid w:val="00312297"/>
    <w:rsid w:val="003124C8"/>
    <w:rsid w:val="00313367"/>
    <w:rsid w:val="0031354F"/>
    <w:rsid w:val="003138CF"/>
    <w:rsid w:val="00314614"/>
    <w:rsid w:val="00314739"/>
    <w:rsid w:val="00314773"/>
    <w:rsid w:val="003149C2"/>
    <w:rsid w:val="00314F8A"/>
    <w:rsid w:val="003151F3"/>
    <w:rsid w:val="003152FA"/>
    <w:rsid w:val="003154DB"/>
    <w:rsid w:val="003156BC"/>
    <w:rsid w:val="00316198"/>
    <w:rsid w:val="00316512"/>
    <w:rsid w:val="00316779"/>
    <w:rsid w:val="00316A45"/>
    <w:rsid w:val="00316C18"/>
    <w:rsid w:val="00316C5F"/>
    <w:rsid w:val="00316C7C"/>
    <w:rsid w:val="00317AB7"/>
    <w:rsid w:val="00317DA5"/>
    <w:rsid w:val="003200B7"/>
    <w:rsid w:val="003201D0"/>
    <w:rsid w:val="003205E0"/>
    <w:rsid w:val="003207AE"/>
    <w:rsid w:val="00321017"/>
    <w:rsid w:val="00321386"/>
    <w:rsid w:val="00321788"/>
    <w:rsid w:val="00321848"/>
    <w:rsid w:val="00321AF7"/>
    <w:rsid w:val="00321CB3"/>
    <w:rsid w:val="00321D35"/>
    <w:rsid w:val="00321FA7"/>
    <w:rsid w:val="00322341"/>
    <w:rsid w:val="0032244A"/>
    <w:rsid w:val="00322AFC"/>
    <w:rsid w:val="0032345B"/>
    <w:rsid w:val="003235FE"/>
    <w:rsid w:val="00323CBA"/>
    <w:rsid w:val="00324A1E"/>
    <w:rsid w:val="00324FF5"/>
    <w:rsid w:val="00325656"/>
    <w:rsid w:val="003256A0"/>
    <w:rsid w:val="00325BAB"/>
    <w:rsid w:val="0032608F"/>
    <w:rsid w:val="003265DE"/>
    <w:rsid w:val="00326A08"/>
    <w:rsid w:val="00327314"/>
    <w:rsid w:val="00327355"/>
    <w:rsid w:val="003273D2"/>
    <w:rsid w:val="003275D6"/>
    <w:rsid w:val="0032761B"/>
    <w:rsid w:val="0032767E"/>
    <w:rsid w:val="003277C6"/>
    <w:rsid w:val="00327845"/>
    <w:rsid w:val="0032788D"/>
    <w:rsid w:val="00327B0E"/>
    <w:rsid w:val="003302CF"/>
    <w:rsid w:val="00330559"/>
    <w:rsid w:val="00330B86"/>
    <w:rsid w:val="00330DB5"/>
    <w:rsid w:val="00330E34"/>
    <w:rsid w:val="00331306"/>
    <w:rsid w:val="00331659"/>
    <w:rsid w:val="003319C5"/>
    <w:rsid w:val="00331A58"/>
    <w:rsid w:val="003320F9"/>
    <w:rsid w:val="003327BD"/>
    <w:rsid w:val="00332CD4"/>
    <w:rsid w:val="0033308D"/>
    <w:rsid w:val="003338EB"/>
    <w:rsid w:val="00333D21"/>
    <w:rsid w:val="00334446"/>
    <w:rsid w:val="0033444C"/>
    <w:rsid w:val="00334725"/>
    <w:rsid w:val="00334739"/>
    <w:rsid w:val="00334A38"/>
    <w:rsid w:val="00334AF1"/>
    <w:rsid w:val="003353D5"/>
    <w:rsid w:val="003354CA"/>
    <w:rsid w:val="00335A53"/>
    <w:rsid w:val="00335E6E"/>
    <w:rsid w:val="0033617F"/>
    <w:rsid w:val="00336413"/>
    <w:rsid w:val="00336686"/>
    <w:rsid w:val="0033683C"/>
    <w:rsid w:val="00337311"/>
    <w:rsid w:val="003379A4"/>
    <w:rsid w:val="00337BB0"/>
    <w:rsid w:val="00337CB6"/>
    <w:rsid w:val="00337DCF"/>
    <w:rsid w:val="003403AE"/>
    <w:rsid w:val="003405B9"/>
    <w:rsid w:val="0034064A"/>
    <w:rsid w:val="0034067D"/>
    <w:rsid w:val="00340913"/>
    <w:rsid w:val="003409BD"/>
    <w:rsid w:val="00340F65"/>
    <w:rsid w:val="00341008"/>
    <w:rsid w:val="0034111B"/>
    <w:rsid w:val="00342077"/>
    <w:rsid w:val="0034219E"/>
    <w:rsid w:val="00342559"/>
    <w:rsid w:val="0034255C"/>
    <w:rsid w:val="00342D1A"/>
    <w:rsid w:val="0034328B"/>
    <w:rsid w:val="0034339B"/>
    <w:rsid w:val="00343860"/>
    <w:rsid w:val="0034390F"/>
    <w:rsid w:val="00343AB5"/>
    <w:rsid w:val="00343CCF"/>
    <w:rsid w:val="003440F9"/>
    <w:rsid w:val="0034438F"/>
    <w:rsid w:val="003448AF"/>
    <w:rsid w:val="00344BD5"/>
    <w:rsid w:val="00344CEF"/>
    <w:rsid w:val="00344F44"/>
    <w:rsid w:val="0034511C"/>
    <w:rsid w:val="00345191"/>
    <w:rsid w:val="00345505"/>
    <w:rsid w:val="0034550A"/>
    <w:rsid w:val="00345B7B"/>
    <w:rsid w:val="00345C93"/>
    <w:rsid w:val="00345EE9"/>
    <w:rsid w:val="0034620C"/>
    <w:rsid w:val="00346579"/>
    <w:rsid w:val="00346C50"/>
    <w:rsid w:val="003474B3"/>
    <w:rsid w:val="003475BA"/>
    <w:rsid w:val="00347A1B"/>
    <w:rsid w:val="00347CA3"/>
    <w:rsid w:val="00347F9F"/>
    <w:rsid w:val="00351026"/>
    <w:rsid w:val="00351032"/>
    <w:rsid w:val="0035149A"/>
    <w:rsid w:val="0035150B"/>
    <w:rsid w:val="00351668"/>
    <w:rsid w:val="00351CE8"/>
    <w:rsid w:val="00352775"/>
    <w:rsid w:val="003527F4"/>
    <w:rsid w:val="00352F14"/>
    <w:rsid w:val="003530B3"/>
    <w:rsid w:val="003532DF"/>
    <w:rsid w:val="00353744"/>
    <w:rsid w:val="00353F13"/>
    <w:rsid w:val="003549E9"/>
    <w:rsid w:val="00354C43"/>
    <w:rsid w:val="0035546F"/>
    <w:rsid w:val="003554BD"/>
    <w:rsid w:val="003554CE"/>
    <w:rsid w:val="00355A25"/>
    <w:rsid w:val="00356586"/>
    <w:rsid w:val="00356792"/>
    <w:rsid w:val="00356C59"/>
    <w:rsid w:val="00356DA5"/>
    <w:rsid w:val="00356DB7"/>
    <w:rsid w:val="00356F22"/>
    <w:rsid w:val="003571E2"/>
    <w:rsid w:val="00360107"/>
    <w:rsid w:val="00360545"/>
    <w:rsid w:val="0036097F"/>
    <w:rsid w:val="00360A82"/>
    <w:rsid w:val="00361062"/>
    <w:rsid w:val="003610F5"/>
    <w:rsid w:val="003616F4"/>
    <w:rsid w:val="00361B60"/>
    <w:rsid w:val="00361CD5"/>
    <w:rsid w:val="00361DE0"/>
    <w:rsid w:val="003628D5"/>
    <w:rsid w:val="003628E9"/>
    <w:rsid w:val="00362B5E"/>
    <w:rsid w:val="003638E9"/>
    <w:rsid w:val="003641CC"/>
    <w:rsid w:val="003643A5"/>
    <w:rsid w:val="0036443D"/>
    <w:rsid w:val="003644CA"/>
    <w:rsid w:val="003647FD"/>
    <w:rsid w:val="00364D97"/>
    <w:rsid w:val="003652A3"/>
    <w:rsid w:val="0036533F"/>
    <w:rsid w:val="00365370"/>
    <w:rsid w:val="003661C9"/>
    <w:rsid w:val="00366598"/>
    <w:rsid w:val="0036693A"/>
    <w:rsid w:val="00366AFA"/>
    <w:rsid w:val="00366C31"/>
    <w:rsid w:val="00366E4E"/>
    <w:rsid w:val="0036725C"/>
    <w:rsid w:val="003676E5"/>
    <w:rsid w:val="003676EA"/>
    <w:rsid w:val="00367886"/>
    <w:rsid w:val="00367AD9"/>
    <w:rsid w:val="00367CC7"/>
    <w:rsid w:val="00370219"/>
    <w:rsid w:val="0037051E"/>
    <w:rsid w:val="00370859"/>
    <w:rsid w:val="00370DE5"/>
    <w:rsid w:val="00370E59"/>
    <w:rsid w:val="00371208"/>
    <w:rsid w:val="003718D9"/>
    <w:rsid w:val="0037207D"/>
    <w:rsid w:val="00372389"/>
    <w:rsid w:val="00372564"/>
    <w:rsid w:val="00372644"/>
    <w:rsid w:val="00372B18"/>
    <w:rsid w:val="0037334A"/>
    <w:rsid w:val="003734B3"/>
    <w:rsid w:val="003736C5"/>
    <w:rsid w:val="003737F3"/>
    <w:rsid w:val="00373D8A"/>
    <w:rsid w:val="00373E1E"/>
    <w:rsid w:val="00373EC2"/>
    <w:rsid w:val="0037443B"/>
    <w:rsid w:val="00374D3E"/>
    <w:rsid w:val="0037525E"/>
    <w:rsid w:val="00375820"/>
    <w:rsid w:val="00375B14"/>
    <w:rsid w:val="00375D85"/>
    <w:rsid w:val="00375E4D"/>
    <w:rsid w:val="00375E50"/>
    <w:rsid w:val="003760FD"/>
    <w:rsid w:val="003769D5"/>
    <w:rsid w:val="00376A9C"/>
    <w:rsid w:val="00377475"/>
    <w:rsid w:val="003774BC"/>
    <w:rsid w:val="0037752D"/>
    <w:rsid w:val="00377A8C"/>
    <w:rsid w:val="00380027"/>
    <w:rsid w:val="0038053C"/>
    <w:rsid w:val="0038054C"/>
    <w:rsid w:val="003805E1"/>
    <w:rsid w:val="0038061C"/>
    <w:rsid w:val="00381137"/>
    <w:rsid w:val="00381168"/>
    <w:rsid w:val="00381BE5"/>
    <w:rsid w:val="00381E3D"/>
    <w:rsid w:val="003820DA"/>
    <w:rsid w:val="003823B4"/>
    <w:rsid w:val="003825F4"/>
    <w:rsid w:val="00383110"/>
    <w:rsid w:val="00383181"/>
    <w:rsid w:val="003831C2"/>
    <w:rsid w:val="00383338"/>
    <w:rsid w:val="0038339B"/>
    <w:rsid w:val="003834FA"/>
    <w:rsid w:val="0038369B"/>
    <w:rsid w:val="00383701"/>
    <w:rsid w:val="00383761"/>
    <w:rsid w:val="003837F6"/>
    <w:rsid w:val="00383BC1"/>
    <w:rsid w:val="003840B4"/>
    <w:rsid w:val="00384187"/>
    <w:rsid w:val="0038458A"/>
    <w:rsid w:val="0038468A"/>
    <w:rsid w:val="00384701"/>
    <w:rsid w:val="00384744"/>
    <w:rsid w:val="00384900"/>
    <w:rsid w:val="00384D8F"/>
    <w:rsid w:val="00384DCE"/>
    <w:rsid w:val="00384EF8"/>
    <w:rsid w:val="00384F29"/>
    <w:rsid w:val="00385547"/>
    <w:rsid w:val="003861D3"/>
    <w:rsid w:val="003865E7"/>
    <w:rsid w:val="0038679F"/>
    <w:rsid w:val="00386891"/>
    <w:rsid w:val="00386A21"/>
    <w:rsid w:val="0038726A"/>
    <w:rsid w:val="0038735C"/>
    <w:rsid w:val="003874B4"/>
    <w:rsid w:val="00387631"/>
    <w:rsid w:val="00387823"/>
    <w:rsid w:val="00387954"/>
    <w:rsid w:val="00387C94"/>
    <w:rsid w:val="00390044"/>
    <w:rsid w:val="0039009A"/>
    <w:rsid w:val="003903FB"/>
    <w:rsid w:val="00390644"/>
    <w:rsid w:val="0039066F"/>
    <w:rsid w:val="00390D50"/>
    <w:rsid w:val="00390EAD"/>
    <w:rsid w:val="00390EAF"/>
    <w:rsid w:val="00391A79"/>
    <w:rsid w:val="00391B86"/>
    <w:rsid w:val="00391CBB"/>
    <w:rsid w:val="00391D7C"/>
    <w:rsid w:val="00391D90"/>
    <w:rsid w:val="00391DDE"/>
    <w:rsid w:val="0039208E"/>
    <w:rsid w:val="003923A6"/>
    <w:rsid w:val="0039257A"/>
    <w:rsid w:val="0039290C"/>
    <w:rsid w:val="00393231"/>
    <w:rsid w:val="003936D4"/>
    <w:rsid w:val="0039372B"/>
    <w:rsid w:val="0039383D"/>
    <w:rsid w:val="0039433B"/>
    <w:rsid w:val="003946B9"/>
    <w:rsid w:val="0039471E"/>
    <w:rsid w:val="00394888"/>
    <w:rsid w:val="003948BF"/>
    <w:rsid w:val="00394917"/>
    <w:rsid w:val="00394FE8"/>
    <w:rsid w:val="00395069"/>
    <w:rsid w:val="003955AD"/>
    <w:rsid w:val="00395A0A"/>
    <w:rsid w:val="00396911"/>
    <w:rsid w:val="00396943"/>
    <w:rsid w:val="00396A80"/>
    <w:rsid w:val="00396C46"/>
    <w:rsid w:val="00397854"/>
    <w:rsid w:val="00397BC5"/>
    <w:rsid w:val="00397BF1"/>
    <w:rsid w:val="003A0756"/>
    <w:rsid w:val="003A0A67"/>
    <w:rsid w:val="003A0E1D"/>
    <w:rsid w:val="003A1273"/>
    <w:rsid w:val="003A1596"/>
    <w:rsid w:val="003A1C56"/>
    <w:rsid w:val="003A1FEA"/>
    <w:rsid w:val="003A24A7"/>
    <w:rsid w:val="003A2DAC"/>
    <w:rsid w:val="003A2DB7"/>
    <w:rsid w:val="003A2E86"/>
    <w:rsid w:val="003A319D"/>
    <w:rsid w:val="003A344A"/>
    <w:rsid w:val="003A3622"/>
    <w:rsid w:val="003A36D4"/>
    <w:rsid w:val="003A3C3F"/>
    <w:rsid w:val="003A4139"/>
    <w:rsid w:val="003A4409"/>
    <w:rsid w:val="003A495B"/>
    <w:rsid w:val="003A4B2F"/>
    <w:rsid w:val="003A4C4A"/>
    <w:rsid w:val="003A4F9E"/>
    <w:rsid w:val="003A5033"/>
    <w:rsid w:val="003A53AA"/>
    <w:rsid w:val="003A54CF"/>
    <w:rsid w:val="003A5A21"/>
    <w:rsid w:val="003A5AFD"/>
    <w:rsid w:val="003A5B38"/>
    <w:rsid w:val="003A5E50"/>
    <w:rsid w:val="003A5EEB"/>
    <w:rsid w:val="003A5F81"/>
    <w:rsid w:val="003A6F11"/>
    <w:rsid w:val="003A6FFB"/>
    <w:rsid w:val="003A701E"/>
    <w:rsid w:val="003A7161"/>
    <w:rsid w:val="003A7200"/>
    <w:rsid w:val="003A75C6"/>
    <w:rsid w:val="003A7814"/>
    <w:rsid w:val="003A79FF"/>
    <w:rsid w:val="003A7B9B"/>
    <w:rsid w:val="003A7DFF"/>
    <w:rsid w:val="003A7E2C"/>
    <w:rsid w:val="003A7E72"/>
    <w:rsid w:val="003B00E9"/>
    <w:rsid w:val="003B02DF"/>
    <w:rsid w:val="003B0656"/>
    <w:rsid w:val="003B0A8B"/>
    <w:rsid w:val="003B0FB2"/>
    <w:rsid w:val="003B1083"/>
    <w:rsid w:val="003B12DB"/>
    <w:rsid w:val="003B1346"/>
    <w:rsid w:val="003B1C5D"/>
    <w:rsid w:val="003B1DA1"/>
    <w:rsid w:val="003B1EAD"/>
    <w:rsid w:val="003B1F1C"/>
    <w:rsid w:val="003B23A8"/>
    <w:rsid w:val="003B24A2"/>
    <w:rsid w:val="003B24DD"/>
    <w:rsid w:val="003B2BCD"/>
    <w:rsid w:val="003B32BE"/>
    <w:rsid w:val="003B3822"/>
    <w:rsid w:val="003B3BAD"/>
    <w:rsid w:val="003B3F02"/>
    <w:rsid w:val="003B3F64"/>
    <w:rsid w:val="003B40DF"/>
    <w:rsid w:val="003B4312"/>
    <w:rsid w:val="003B45DC"/>
    <w:rsid w:val="003B4644"/>
    <w:rsid w:val="003B49D4"/>
    <w:rsid w:val="003B4B26"/>
    <w:rsid w:val="003B4E29"/>
    <w:rsid w:val="003B5306"/>
    <w:rsid w:val="003B5757"/>
    <w:rsid w:val="003B59A4"/>
    <w:rsid w:val="003B5CB7"/>
    <w:rsid w:val="003B5DDD"/>
    <w:rsid w:val="003B5E92"/>
    <w:rsid w:val="003B5F7C"/>
    <w:rsid w:val="003B6179"/>
    <w:rsid w:val="003B626E"/>
    <w:rsid w:val="003B69D0"/>
    <w:rsid w:val="003B6F9F"/>
    <w:rsid w:val="003B7713"/>
    <w:rsid w:val="003B772D"/>
    <w:rsid w:val="003B7926"/>
    <w:rsid w:val="003B7B4D"/>
    <w:rsid w:val="003C0125"/>
    <w:rsid w:val="003C03F7"/>
    <w:rsid w:val="003C05CD"/>
    <w:rsid w:val="003C0A97"/>
    <w:rsid w:val="003C0FE5"/>
    <w:rsid w:val="003C14B6"/>
    <w:rsid w:val="003C1CAF"/>
    <w:rsid w:val="003C22D4"/>
    <w:rsid w:val="003C29AF"/>
    <w:rsid w:val="003C2E73"/>
    <w:rsid w:val="003C36B1"/>
    <w:rsid w:val="003C3984"/>
    <w:rsid w:val="003C3BC5"/>
    <w:rsid w:val="003C3C6C"/>
    <w:rsid w:val="003C3F73"/>
    <w:rsid w:val="003C40A2"/>
    <w:rsid w:val="003C46BB"/>
    <w:rsid w:val="003C48D9"/>
    <w:rsid w:val="003C5428"/>
    <w:rsid w:val="003C5519"/>
    <w:rsid w:val="003C5A97"/>
    <w:rsid w:val="003C616B"/>
    <w:rsid w:val="003C681D"/>
    <w:rsid w:val="003C6BED"/>
    <w:rsid w:val="003C6C96"/>
    <w:rsid w:val="003C76F4"/>
    <w:rsid w:val="003C7899"/>
    <w:rsid w:val="003C7965"/>
    <w:rsid w:val="003C7B7E"/>
    <w:rsid w:val="003C7D06"/>
    <w:rsid w:val="003C7EF7"/>
    <w:rsid w:val="003D06BD"/>
    <w:rsid w:val="003D0E1F"/>
    <w:rsid w:val="003D113B"/>
    <w:rsid w:val="003D1182"/>
    <w:rsid w:val="003D1AE0"/>
    <w:rsid w:val="003D2045"/>
    <w:rsid w:val="003D22DA"/>
    <w:rsid w:val="003D2A32"/>
    <w:rsid w:val="003D358C"/>
    <w:rsid w:val="003D3779"/>
    <w:rsid w:val="003D3B8B"/>
    <w:rsid w:val="003D4254"/>
    <w:rsid w:val="003D425A"/>
    <w:rsid w:val="003D4824"/>
    <w:rsid w:val="003D4866"/>
    <w:rsid w:val="003D507A"/>
    <w:rsid w:val="003D554B"/>
    <w:rsid w:val="003D5F76"/>
    <w:rsid w:val="003D6065"/>
    <w:rsid w:val="003D61F5"/>
    <w:rsid w:val="003D6280"/>
    <w:rsid w:val="003D66CB"/>
    <w:rsid w:val="003D687A"/>
    <w:rsid w:val="003D6D57"/>
    <w:rsid w:val="003D6E45"/>
    <w:rsid w:val="003D7125"/>
    <w:rsid w:val="003D7820"/>
    <w:rsid w:val="003D7A2D"/>
    <w:rsid w:val="003D7C91"/>
    <w:rsid w:val="003E0227"/>
    <w:rsid w:val="003E043F"/>
    <w:rsid w:val="003E07F1"/>
    <w:rsid w:val="003E08BE"/>
    <w:rsid w:val="003E0B24"/>
    <w:rsid w:val="003E0E8C"/>
    <w:rsid w:val="003E113F"/>
    <w:rsid w:val="003E1418"/>
    <w:rsid w:val="003E1867"/>
    <w:rsid w:val="003E1ABA"/>
    <w:rsid w:val="003E20CB"/>
    <w:rsid w:val="003E2169"/>
    <w:rsid w:val="003E23B1"/>
    <w:rsid w:val="003E26DE"/>
    <w:rsid w:val="003E2E74"/>
    <w:rsid w:val="003E3238"/>
    <w:rsid w:val="003E460B"/>
    <w:rsid w:val="003E47F5"/>
    <w:rsid w:val="003E4979"/>
    <w:rsid w:val="003E4B79"/>
    <w:rsid w:val="003E4B85"/>
    <w:rsid w:val="003E5231"/>
    <w:rsid w:val="003E5764"/>
    <w:rsid w:val="003E581F"/>
    <w:rsid w:val="003E59A3"/>
    <w:rsid w:val="003E5CAB"/>
    <w:rsid w:val="003E5F16"/>
    <w:rsid w:val="003E634D"/>
    <w:rsid w:val="003E644F"/>
    <w:rsid w:val="003E64BB"/>
    <w:rsid w:val="003E6AC1"/>
    <w:rsid w:val="003E6B73"/>
    <w:rsid w:val="003E7EEA"/>
    <w:rsid w:val="003F00D8"/>
    <w:rsid w:val="003F01E7"/>
    <w:rsid w:val="003F0AEA"/>
    <w:rsid w:val="003F0C6E"/>
    <w:rsid w:val="003F0CC1"/>
    <w:rsid w:val="003F110F"/>
    <w:rsid w:val="003F14F2"/>
    <w:rsid w:val="003F18CF"/>
    <w:rsid w:val="003F19FC"/>
    <w:rsid w:val="003F1B53"/>
    <w:rsid w:val="003F2BFE"/>
    <w:rsid w:val="003F3667"/>
    <w:rsid w:val="003F3A44"/>
    <w:rsid w:val="003F3B3F"/>
    <w:rsid w:val="003F450F"/>
    <w:rsid w:val="003F49D1"/>
    <w:rsid w:val="003F5548"/>
    <w:rsid w:val="003F5732"/>
    <w:rsid w:val="003F5A5B"/>
    <w:rsid w:val="003F5F0A"/>
    <w:rsid w:val="003F603A"/>
    <w:rsid w:val="003F6DF4"/>
    <w:rsid w:val="003F7022"/>
    <w:rsid w:val="003F7263"/>
    <w:rsid w:val="003F7D77"/>
    <w:rsid w:val="0040000D"/>
    <w:rsid w:val="00400237"/>
    <w:rsid w:val="004005DE"/>
    <w:rsid w:val="00400626"/>
    <w:rsid w:val="00400A5E"/>
    <w:rsid w:val="00400F1D"/>
    <w:rsid w:val="00400FB8"/>
    <w:rsid w:val="00401089"/>
    <w:rsid w:val="004015B0"/>
    <w:rsid w:val="004016AD"/>
    <w:rsid w:val="00401A15"/>
    <w:rsid w:val="00401A45"/>
    <w:rsid w:val="00401C5B"/>
    <w:rsid w:val="00401DB1"/>
    <w:rsid w:val="004020FB"/>
    <w:rsid w:val="0040230D"/>
    <w:rsid w:val="004024C2"/>
    <w:rsid w:val="0040265B"/>
    <w:rsid w:val="004028D0"/>
    <w:rsid w:val="00402940"/>
    <w:rsid w:val="00403226"/>
    <w:rsid w:val="0040342B"/>
    <w:rsid w:val="00403827"/>
    <w:rsid w:val="004040E3"/>
    <w:rsid w:val="00404C9B"/>
    <w:rsid w:val="00404D4D"/>
    <w:rsid w:val="00405132"/>
    <w:rsid w:val="00405F25"/>
    <w:rsid w:val="004068A2"/>
    <w:rsid w:val="00406FCE"/>
    <w:rsid w:val="00407731"/>
    <w:rsid w:val="00407CDA"/>
    <w:rsid w:val="00407F71"/>
    <w:rsid w:val="004100FD"/>
    <w:rsid w:val="0041029D"/>
    <w:rsid w:val="00410347"/>
    <w:rsid w:val="004104BF"/>
    <w:rsid w:val="0041068A"/>
    <w:rsid w:val="004108D7"/>
    <w:rsid w:val="00410DEC"/>
    <w:rsid w:val="0041138F"/>
    <w:rsid w:val="004118D5"/>
    <w:rsid w:val="00411BAF"/>
    <w:rsid w:val="0041209E"/>
    <w:rsid w:val="004125D6"/>
    <w:rsid w:val="00412EF3"/>
    <w:rsid w:val="00413162"/>
    <w:rsid w:val="004133CD"/>
    <w:rsid w:val="00413549"/>
    <w:rsid w:val="00413FCD"/>
    <w:rsid w:val="0041439E"/>
    <w:rsid w:val="00414538"/>
    <w:rsid w:val="00414647"/>
    <w:rsid w:val="0041479C"/>
    <w:rsid w:val="00414F9A"/>
    <w:rsid w:val="00415ECC"/>
    <w:rsid w:val="00415EF5"/>
    <w:rsid w:val="00416787"/>
    <w:rsid w:val="00416D86"/>
    <w:rsid w:val="00416DF7"/>
    <w:rsid w:val="004170FC"/>
    <w:rsid w:val="00417BFC"/>
    <w:rsid w:val="00417E9C"/>
    <w:rsid w:val="00417F13"/>
    <w:rsid w:val="004203CA"/>
    <w:rsid w:val="004208D7"/>
    <w:rsid w:val="00420948"/>
    <w:rsid w:val="00420BE6"/>
    <w:rsid w:val="00420CA2"/>
    <w:rsid w:val="00421808"/>
    <w:rsid w:val="00421878"/>
    <w:rsid w:val="004219C1"/>
    <w:rsid w:val="004228EE"/>
    <w:rsid w:val="00422BB1"/>
    <w:rsid w:val="00422BF9"/>
    <w:rsid w:val="00422D87"/>
    <w:rsid w:val="0042325A"/>
    <w:rsid w:val="0042336F"/>
    <w:rsid w:val="004234EF"/>
    <w:rsid w:val="00423884"/>
    <w:rsid w:val="00423CA0"/>
    <w:rsid w:val="00423E69"/>
    <w:rsid w:val="004242F2"/>
    <w:rsid w:val="0042441F"/>
    <w:rsid w:val="004249DB"/>
    <w:rsid w:val="00424C6D"/>
    <w:rsid w:val="00424C76"/>
    <w:rsid w:val="00424EE4"/>
    <w:rsid w:val="00425554"/>
    <w:rsid w:val="0042556A"/>
    <w:rsid w:val="00425B68"/>
    <w:rsid w:val="00425C9F"/>
    <w:rsid w:val="004268A5"/>
    <w:rsid w:val="0042695F"/>
    <w:rsid w:val="00426F4F"/>
    <w:rsid w:val="0042707F"/>
    <w:rsid w:val="0042776F"/>
    <w:rsid w:val="00427A9D"/>
    <w:rsid w:val="00427AD9"/>
    <w:rsid w:val="00427D02"/>
    <w:rsid w:val="004300E1"/>
    <w:rsid w:val="00430294"/>
    <w:rsid w:val="004309CF"/>
    <w:rsid w:val="00430B44"/>
    <w:rsid w:val="00430F27"/>
    <w:rsid w:val="0043104B"/>
    <w:rsid w:val="0043173F"/>
    <w:rsid w:val="004317C2"/>
    <w:rsid w:val="0043181D"/>
    <w:rsid w:val="00431824"/>
    <w:rsid w:val="00431AE7"/>
    <w:rsid w:val="00431D88"/>
    <w:rsid w:val="00431DC7"/>
    <w:rsid w:val="004325BF"/>
    <w:rsid w:val="0043274C"/>
    <w:rsid w:val="004328E4"/>
    <w:rsid w:val="00432937"/>
    <w:rsid w:val="00433460"/>
    <w:rsid w:val="00433550"/>
    <w:rsid w:val="00433D87"/>
    <w:rsid w:val="00433E32"/>
    <w:rsid w:val="00433ECE"/>
    <w:rsid w:val="00434370"/>
    <w:rsid w:val="004347A7"/>
    <w:rsid w:val="00434800"/>
    <w:rsid w:val="00434A79"/>
    <w:rsid w:val="00434B3D"/>
    <w:rsid w:val="00434F9C"/>
    <w:rsid w:val="004355FA"/>
    <w:rsid w:val="004357DF"/>
    <w:rsid w:val="00435F09"/>
    <w:rsid w:val="00435F6F"/>
    <w:rsid w:val="00436225"/>
    <w:rsid w:val="00436548"/>
    <w:rsid w:val="0043682C"/>
    <w:rsid w:val="00436C20"/>
    <w:rsid w:val="004373A1"/>
    <w:rsid w:val="00437401"/>
    <w:rsid w:val="00440392"/>
    <w:rsid w:val="00440396"/>
    <w:rsid w:val="00440502"/>
    <w:rsid w:val="0044058F"/>
    <w:rsid w:val="004412E5"/>
    <w:rsid w:val="004414C8"/>
    <w:rsid w:val="004415FC"/>
    <w:rsid w:val="004416A4"/>
    <w:rsid w:val="00441989"/>
    <w:rsid w:val="00441BF6"/>
    <w:rsid w:val="00442112"/>
    <w:rsid w:val="00442822"/>
    <w:rsid w:val="004429AA"/>
    <w:rsid w:val="00442B37"/>
    <w:rsid w:val="00442E3E"/>
    <w:rsid w:val="00442FA9"/>
    <w:rsid w:val="0044357E"/>
    <w:rsid w:val="004437F3"/>
    <w:rsid w:val="00443866"/>
    <w:rsid w:val="00443A3A"/>
    <w:rsid w:val="00443AE0"/>
    <w:rsid w:val="00443D1A"/>
    <w:rsid w:val="00443E6D"/>
    <w:rsid w:val="004442B1"/>
    <w:rsid w:val="004443FB"/>
    <w:rsid w:val="004446A3"/>
    <w:rsid w:val="0044476D"/>
    <w:rsid w:val="00445064"/>
    <w:rsid w:val="00445172"/>
    <w:rsid w:val="00445472"/>
    <w:rsid w:val="004464C3"/>
    <w:rsid w:val="00447189"/>
    <w:rsid w:val="00447603"/>
    <w:rsid w:val="00447999"/>
    <w:rsid w:val="00447AC5"/>
    <w:rsid w:val="00447BDB"/>
    <w:rsid w:val="00447E54"/>
    <w:rsid w:val="00447EAD"/>
    <w:rsid w:val="0045009E"/>
    <w:rsid w:val="004504A7"/>
    <w:rsid w:val="004504E7"/>
    <w:rsid w:val="004505D9"/>
    <w:rsid w:val="00450899"/>
    <w:rsid w:val="004508B7"/>
    <w:rsid w:val="00450FE9"/>
    <w:rsid w:val="00451A7B"/>
    <w:rsid w:val="004522A6"/>
    <w:rsid w:val="00452870"/>
    <w:rsid w:val="0045291E"/>
    <w:rsid w:val="004529D7"/>
    <w:rsid w:val="00452A11"/>
    <w:rsid w:val="00453687"/>
    <w:rsid w:val="00453BF4"/>
    <w:rsid w:val="00453D89"/>
    <w:rsid w:val="00453E34"/>
    <w:rsid w:val="004541EE"/>
    <w:rsid w:val="00454571"/>
    <w:rsid w:val="004553C2"/>
    <w:rsid w:val="0045592A"/>
    <w:rsid w:val="0045592E"/>
    <w:rsid w:val="00455AE9"/>
    <w:rsid w:val="00455AFA"/>
    <w:rsid w:val="00456308"/>
    <w:rsid w:val="004566BE"/>
    <w:rsid w:val="0045682E"/>
    <w:rsid w:val="004568B4"/>
    <w:rsid w:val="00457142"/>
    <w:rsid w:val="004573A4"/>
    <w:rsid w:val="00457493"/>
    <w:rsid w:val="00457958"/>
    <w:rsid w:val="004605F4"/>
    <w:rsid w:val="00460FC2"/>
    <w:rsid w:val="0046115F"/>
    <w:rsid w:val="0046148D"/>
    <w:rsid w:val="00461535"/>
    <w:rsid w:val="00461AD3"/>
    <w:rsid w:val="00461AD5"/>
    <w:rsid w:val="00461DCE"/>
    <w:rsid w:val="0046203B"/>
    <w:rsid w:val="00462496"/>
    <w:rsid w:val="004625A3"/>
    <w:rsid w:val="004627CF"/>
    <w:rsid w:val="004628E6"/>
    <w:rsid w:val="004628EF"/>
    <w:rsid w:val="00462977"/>
    <w:rsid w:val="004629DE"/>
    <w:rsid w:val="00462DBA"/>
    <w:rsid w:val="00462ED4"/>
    <w:rsid w:val="004631FA"/>
    <w:rsid w:val="004635B7"/>
    <w:rsid w:val="0046365B"/>
    <w:rsid w:val="00463750"/>
    <w:rsid w:val="00464027"/>
    <w:rsid w:val="004641CB"/>
    <w:rsid w:val="0046443B"/>
    <w:rsid w:val="00464661"/>
    <w:rsid w:val="0046466D"/>
    <w:rsid w:val="004647D8"/>
    <w:rsid w:val="00464BC7"/>
    <w:rsid w:val="004651B8"/>
    <w:rsid w:val="00465580"/>
    <w:rsid w:val="00465972"/>
    <w:rsid w:val="00465A36"/>
    <w:rsid w:val="00465AC9"/>
    <w:rsid w:val="00465B80"/>
    <w:rsid w:val="00465C81"/>
    <w:rsid w:val="00465E7E"/>
    <w:rsid w:val="0046695A"/>
    <w:rsid w:val="00466BB5"/>
    <w:rsid w:val="004672E8"/>
    <w:rsid w:val="0046758F"/>
    <w:rsid w:val="004677E9"/>
    <w:rsid w:val="00467F74"/>
    <w:rsid w:val="004701CF"/>
    <w:rsid w:val="00470535"/>
    <w:rsid w:val="00471183"/>
    <w:rsid w:val="0047123C"/>
    <w:rsid w:val="004714F6"/>
    <w:rsid w:val="00471E38"/>
    <w:rsid w:val="0047289C"/>
    <w:rsid w:val="00472E22"/>
    <w:rsid w:val="00472F67"/>
    <w:rsid w:val="00473625"/>
    <w:rsid w:val="004739A1"/>
    <w:rsid w:val="00473CB2"/>
    <w:rsid w:val="004740AA"/>
    <w:rsid w:val="00474254"/>
    <w:rsid w:val="004742B5"/>
    <w:rsid w:val="0047430D"/>
    <w:rsid w:val="00474EA6"/>
    <w:rsid w:val="00474FDF"/>
    <w:rsid w:val="0047502E"/>
    <w:rsid w:val="004751CC"/>
    <w:rsid w:val="00475688"/>
    <w:rsid w:val="004758F6"/>
    <w:rsid w:val="004759E3"/>
    <w:rsid w:val="00475C51"/>
    <w:rsid w:val="00476123"/>
    <w:rsid w:val="00476161"/>
    <w:rsid w:val="00476658"/>
    <w:rsid w:val="00476814"/>
    <w:rsid w:val="00476E34"/>
    <w:rsid w:val="00476EE1"/>
    <w:rsid w:val="00477163"/>
    <w:rsid w:val="004774A5"/>
    <w:rsid w:val="00477898"/>
    <w:rsid w:val="00477B0E"/>
    <w:rsid w:val="00480195"/>
    <w:rsid w:val="00480757"/>
    <w:rsid w:val="00480921"/>
    <w:rsid w:val="00481420"/>
    <w:rsid w:val="00481688"/>
    <w:rsid w:val="00481CC8"/>
    <w:rsid w:val="00481FD4"/>
    <w:rsid w:val="004820E0"/>
    <w:rsid w:val="004822CA"/>
    <w:rsid w:val="0048261A"/>
    <w:rsid w:val="00482779"/>
    <w:rsid w:val="00482A1F"/>
    <w:rsid w:val="004835F1"/>
    <w:rsid w:val="0048385A"/>
    <w:rsid w:val="00483A8E"/>
    <w:rsid w:val="00483F95"/>
    <w:rsid w:val="00484D20"/>
    <w:rsid w:val="00484FC8"/>
    <w:rsid w:val="004850C1"/>
    <w:rsid w:val="0048518E"/>
    <w:rsid w:val="00486F54"/>
    <w:rsid w:val="00487038"/>
    <w:rsid w:val="004871B4"/>
    <w:rsid w:val="004876DD"/>
    <w:rsid w:val="004903B3"/>
    <w:rsid w:val="00490C4F"/>
    <w:rsid w:val="004915E6"/>
    <w:rsid w:val="0049178A"/>
    <w:rsid w:val="004917FC"/>
    <w:rsid w:val="00491C1D"/>
    <w:rsid w:val="00491DF1"/>
    <w:rsid w:val="00491E36"/>
    <w:rsid w:val="00491FE1"/>
    <w:rsid w:val="00491FF1"/>
    <w:rsid w:val="00492535"/>
    <w:rsid w:val="00492696"/>
    <w:rsid w:val="00492EBB"/>
    <w:rsid w:val="00493435"/>
    <w:rsid w:val="00493535"/>
    <w:rsid w:val="0049357D"/>
    <w:rsid w:val="004937CB"/>
    <w:rsid w:val="00494B28"/>
    <w:rsid w:val="00494E2E"/>
    <w:rsid w:val="0049527B"/>
    <w:rsid w:val="004955A9"/>
    <w:rsid w:val="00495CF9"/>
    <w:rsid w:val="00495EAF"/>
    <w:rsid w:val="00495FFF"/>
    <w:rsid w:val="0049613A"/>
    <w:rsid w:val="0049626A"/>
    <w:rsid w:val="00496705"/>
    <w:rsid w:val="00496900"/>
    <w:rsid w:val="00496A9F"/>
    <w:rsid w:val="00496F34"/>
    <w:rsid w:val="00497270"/>
    <w:rsid w:val="00497358"/>
    <w:rsid w:val="004974BE"/>
    <w:rsid w:val="0049792E"/>
    <w:rsid w:val="00497AC9"/>
    <w:rsid w:val="00497B2E"/>
    <w:rsid w:val="00497D6F"/>
    <w:rsid w:val="00497E80"/>
    <w:rsid w:val="00497FA5"/>
    <w:rsid w:val="004A0036"/>
    <w:rsid w:val="004A03B3"/>
    <w:rsid w:val="004A04D5"/>
    <w:rsid w:val="004A0792"/>
    <w:rsid w:val="004A0B15"/>
    <w:rsid w:val="004A0DF4"/>
    <w:rsid w:val="004A1387"/>
    <w:rsid w:val="004A1B07"/>
    <w:rsid w:val="004A21D8"/>
    <w:rsid w:val="004A2757"/>
    <w:rsid w:val="004A2DE9"/>
    <w:rsid w:val="004A2E04"/>
    <w:rsid w:val="004A31CF"/>
    <w:rsid w:val="004A3226"/>
    <w:rsid w:val="004A399F"/>
    <w:rsid w:val="004A3A04"/>
    <w:rsid w:val="004A3FA3"/>
    <w:rsid w:val="004A4096"/>
    <w:rsid w:val="004A40C1"/>
    <w:rsid w:val="004A4133"/>
    <w:rsid w:val="004A4692"/>
    <w:rsid w:val="004A502C"/>
    <w:rsid w:val="004A5582"/>
    <w:rsid w:val="004A669F"/>
    <w:rsid w:val="004A6842"/>
    <w:rsid w:val="004A718C"/>
    <w:rsid w:val="004A79AC"/>
    <w:rsid w:val="004A7B46"/>
    <w:rsid w:val="004A7DBE"/>
    <w:rsid w:val="004A7F94"/>
    <w:rsid w:val="004B0209"/>
    <w:rsid w:val="004B08AC"/>
    <w:rsid w:val="004B0B18"/>
    <w:rsid w:val="004B0D88"/>
    <w:rsid w:val="004B0E03"/>
    <w:rsid w:val="004B0FF1"/>
    <w:rsid w:val="004B14D9"/>
    <w:rsid w:val="004B1569"/>
    <w:rsid w:val="004B1574"/>
    <w:rsid w:val="004B206E"/>
    <w:rsid w:val="004B229E"/>
    <w:rsid w:val="004B271B"/>
    <w:rsid w:val="004B29C2"/>
    <w:rsid w:val="004B29E1"/>
    <w:rsid w:val="004B2C52"/>
    <w:rsid w:val="004B2F46"/>
    <w:rsid w:val="004B3675"/>
    <w:rsid w:val="004B395D"/>
    <w:rsid w:val="004B3D50"/>
    <w:rsid w:val="004B4194"/>
    <w:rsid w:val="004B457E"/>
    <w:rsid w:val="004B4C9D"/>
    <w:rsid w:val="004B5447"/>
    <w:rsid w:val="004B55F0"/>
    <w:rsid w:val="004B56C3"/>
    <w:rsid w:val="004B5E0F"/>
    <w:rsid w:val="004B6377"/>
    <w:rsid w:val="004B656C"/>
    <w:rsid w:val="004B6928"/>
    <w:rsid w:val="004B6AA6"/>
    <w:rsid w:val="004B754D"/>
    <w:rsid w:val="004B79FA"/>
    <w:rsid w:val="004B7D94"/>
    <w:rsid w:val="004C0FB7"/>
    <w:rsid w:val="004C104B"/>
    <w:rsid w:val="004C12B2"/>
    <w:rsid w:val="004C164A"/>
    <w:rsid w:val="004C1B81"/>
    <w:rsid w:val="004C2811"/>
    <w:rsid w:val="004C2C65"/>
    <w:rsid w:val="004C2E14"/>
    <w:rsid w:val="004C2FE3"/>
    <w:rsid w:val="004C305A"/>
    <w:rsid w:val="004C31B4"/>
    <w:rsid w:val="004C333D"/>
    <w:rsid w:val="004C35EF"/>
    <w:rsid w:val="004C37ED"/>
    <w:rsid w:val="004C3BCF"/>
    <w:rsid w:val="004C4049"/>
    <w:rsid w:val="004C45B3"/>
    <w:rsid w:val="004C4829"/>
    <w:rsid w:val="004C4D30"/>
    <w:rsid w:val="004C4EAB"/>
    <w:rsid w:val="004C4F4F"/>
    <w:rsid w:val="004C5570"/>
    <w:rsid w:val="004C5BD0"/>
    <w:rsid w:val="004C5D52"/>
    <w:rsid w:val="004C5DB0"/>
    <w:rsid w:val="004C60D8"/>
    <w:rsid w:val="004C62EE"/>
    <w:rsid w:val="004C66C3"/>
    <w:rsid w:val="004C6A0D"/>
    <w:rsid w:val="004C6EEB"/>
    <w:rsid w:val="004C7E0C"/>
    <w:rsid w:val="004D0C1E"/>
    <w:rsid w:val="004D0FCC"/>
    <w:rsid w:val="004D1000"/>
    <w:rsid w:val="004D130A"/>
    <w:rsid w:val="004D1561"/>
    <w:rsid w:val="004D1ACF"/>
    <w:rsid w:val="004D1D27"/>
    <w:rsid w:val="004D2B3F"/>
    <w:rsid w:val="004D2EC3"/>
    <w:rsid w:val="004D2FF6"/>
    <w:rsid w:val="004D33B6"/>
    <w:rsid w:val="004D3FD6"/>
    <w:rsid w:val="004D405F"/>
    <w:rsid w:val="004D55CA"/>
    <w:rsid w:val="004D5A27"/>
    <w:rsid w:val="004D5F0E"/>
    <w:rsid w:val="004D6626"/>
    <w:rsid w:val="004D6758"/>
    <w:rsid w:val="004D6D6D"/>
    <w:rsid w:val="004D732E"/>
    <w:rsid w:val="004D79B4"/>
    <w:rsid w:val="004D7AB4"/>
    <w:rsid w:val="004D7B1A"/>
    <w:rsid w:val="004E0830"/>
    <w:rsid w:val="004E169C"/>
    <w:rsid w:val="004E1BF0"/>
    <w:rsid w:val="004E1C22"/>
    <w:rsid w:val="004E1E51"/>
    <w:rsid w:val="004E1E6A"/>
    <w:rsid w:val="004E220F"/>
    <w:rsid w:val="004E28E1"/>
    <w:rsid w:val="004E2B01"/>
    <w:rsid w:val="004E3017"/>
    <w:rsid w:val="004E32BB"/>
    <w:rsid w:val="004E330F"/>
    <w:rsid w:val="004E34C7"/>
    <w:rsid w:val="004E356A"/>
    <w:rsid w:val="004E35A8"/>
    <w:rsid w:val="004E375D"/>
    <w:rsid w:val="004E3850"/>
    <w:rsid w:val="004E3C29"/>
    <w:rsid w:val="004E3FC1"/>
    <w:rsid w:val="004E44CE"/>
    <w:rsid w:val="004E4813"/>
    <w:rsid w:val="004E4C28"/>
    <w:rsid w:val="004E58EA"/>
    <w:rsid w:val="004E5F65"/>
    <w:rsid w:val="004E6C7A"/>
    <w:rsid w:val="004E74D3"/>
    <w:rsid w:val="004E7615"/>
    <w:rsid w:val="004E79F7"/>
    <w:rsid w:val="004E7CDF"/>
    <w:rsid w:val="004F00E5"/>
    <w:rsid w:val="004F02AF"/>
    <w:rsid w:val="004F0681"/>
    <w:rsid w:val="004F078C"/>
    <w:rsid w:val="004F1087"/>
    <w:rsid w:val="004F1324"/>
    <w:rsid w:val="004F1A03"/>
    <w:rsid w:val="004F1A8F"/>
    <w:rsid w:val="004F1B7A"/>
    <w:rsid w:val="004F1C06"/>
    <w:rsid w:val="004F1C7D"/>
    <w:rsid w:val="004F1D24"/>
    <w:rsid w:val="004F1DD7"/>
    <w:rsid w:val="004F1F27"/>
    <w:rsid w:val="004F21D2"/>
    <w:rsid w:val="004F2540"/>
    <w:rsid w:val="004F2641"/>
    <w:rsid w:val="004F27F3"/>
    <w:rsid w:val="004F29B9"/>
    <w:rsid w:val="004F29BC"/>
    <w:rsid w:val="004F2B8E"/>
    <w:rsid w:val="004F2C85"/>
    <w:rsid w:val="004F2FA3"/>
    <w:rsid w:val="004F3106"/>
    <w:rsid w:val="004F32BF"/>
    <w:rsid w:val="004F3C22"/>
    <w:rsid w:val="004F3CC7"/>
    <w:rsid w:val="004F3E6A"/>
    <w:rsid w:val="004F4110"/>
    <w:rsid w:val="004F469D"/>
    <w:rsid w:val="004F4B4C"/>
    <w:rsid w:val="004F5346"/>
    <w:rsid w:val="004F548C"/>
    <w:rsid w:val="004F5768"/>
    <w:rsid w:val="004F5773"/>
    <w:rsid w:val="004F5C09"/>
    <w:rsid w:val="004F5E4E"/>
    <w:rsid w:val="004F6057"/>
    <w:rsid w:val="004F63CC"/>
    <w:rsid w:val="004F6678"/>
    <w:rsid w:val="004F6821"/>
    <w:rsid w:val="004F6B28"/>
    <w:rsid w:val="004F6C65"/>
    <w:rsid w:val="004F6D2E"/>
    <w:rsid w:val="004F6DC6"/>
    <w:rsid w:val="004F797A"/>
    <w:rsid w:val="004F7D4D"/>
    <w:rsid w:val="004F7F0F"/>
    <w:rsid w:val="004F7FBC"/>
    <w:rsid w:val="005001AE"/>
    <w:rsid w:val="005007E7"/>
    <w:rsid w:val="005010CB"/>
    <w:rsid w:val="005012FC"/>
    <w:rsid w:val="005015A6"/>
    <w:rsid w:val="005017E8"/>
    <w:rsid w:val="00501CDC"/>
    <w:rsid w:val="00501E6C"/>
    <w:rsid w:val="00501EBE"/>
    <w:rsid w:val="00503551"/>
    <w:rsid w:val="00503883"/>
    <w:rsid w:val="00503963"/>
    <w:rsid w:val="00503E65"/>
    <w:rsid w:val="00503F38"/>
    <w:rsid w:val="005043B1"/>
    <w:rsid w:val="005043FC"/>
    <w:rsid w:val="00504A55"/>
    <w:rsid w:val="00504B31"/>
    <w:rsid w:val="00505A1E"/>
    <w:rsid w:val="00505AC6"/>
    <w:rsid w:val="00505F08"/>
    <w:rsid w:val="005061A4"/>
    <w:rsid w:val="0050671D"/>
    <w:rsid w:val="0050672C"/>
    <w:rsid w:val="0050692B"/>
    <w:rsid w:val="00506C0C"/>
    <w:rsid w:val="00506C4C"/>
    <w:rsid w:val="0050700E"/>
    <w:rsid w:val="00507366"/>
    <w:rsid w:val="00507909"/>
    <w:rsid w:val="005079D7"/>
    <w:rsid w:val="00507A37"/>
    <w:rsid w:val="00507B2A"/>
    <w:rsid w:val="00507D3E"/>
    <w:rsid w:val="00510A22"/>
    <w:rsid w:val="00510D8A"/>
    <w:rsid w:val="00511D6B"/>
    <w:rsid w:val="00511EBC"/>
    <w:rsid w:val="00511FBC"/>
    <w:rsid w:val="005125D5"/>
    <w:rsid w:val="00512D51"/>
    <w:rsid w:val="00512DBC"/>
    <w:rsid w:val="00512E95"/>
    <w:rsid w:val="00514381"/>
    <w:rsid w:val="00514674"/>
    <w:rsid w:val="0051477F"/>
    <w:rsid w:val="00514C46"/>
    <w:rsid w:val="00514DDC"/>
    <w:rsid w:val="005151C3"/>
    <w:rsid w:val="005157C5"/>
    <w:rsid w:val="00515BCF"/>
    <w:rsid w:val="00516083"/>
    <w:rsid w:val="0051635A"/>
    <w:rsid w:val="0051646E"/>
    <w:rsid w:val="005166C3"/>
    <w:rsid w:val="00516A18"/>
    <w:rsid w:val="00516BD0"/>
    <w:rsid w:val="00516EA5"/>
    <w:rsid w:val="00517606"/>
    <w:rsid w:val="005179DA"/>
    <w:rsid w:val="00517E2A"/>
    <w:rsid w:val="00520152"/>
    <w:rsid w:val="00520AD7"/>
    <w:rsid w:val="00520C1C"/>
    <w:rsid w:val="00520D1C"/>
    <w:rsid w:val="00521439"/>
    <w:rsid w:val="00522133"/>
    <w:rsid w:val="0052248F"/>
    <w:rsid w:val="0052292E"/>
    <w:rsid w:val="005229C6"/>
    <w:rsid w:val="00522A3A"/>
    <w:rsid w:val="005232E0"/>
    <w:rsid w:val="0052373B"/>
    <w:rsid w:val="00523836"/>
    <w:rsid w:val="00523CFF"/>
    <w:rsid w:val="00523E00"/>
    <w:rsid w:val="0052439F"/>
    <w:rsid w:val="005243EB"/>
    <w:rsid w:val="0052538E"/>
    <w:rsid w:val="0052549C"/>
    <w:rsid w:val="00525789"/>
    <w:rsid w:val="00525890"/>
    <w:rsid w:val="005258E2"/>
    <w:rsid w:val="00526452"/>
    <w:rsid w:val="00526816"/>
    <w:rsid w:val="00526996"/>
    <w:rsid w:val="00526B0D"/>
    <w:rsid w:val="00526B5F"/>
    <w:rsid w:val="00526C25"/>
    <w:rsid w:val="00526F09"/>
    <w:rsid w:val="0052733A"/>
    <w:rsid w:val="00527DF9"/>
    <w:rsid w:val="00527F4F"/>
    <w:rsid w:val="00530512"/>
    <w:rsid w:val="00530799"/>
    <w:rsid w:val="00530A31"/>
    <w:rsid w:val="00530AC1"/>
    <w:rsid w:val="00531000"/>
    <w:rsid w:val="0053109F"/>
    <w:rsid w:val="005311E8"/>
    <w:rsid w:val="005312C4"/>
    <w:rsid w:val="0053133A"/>
    <w:rsid w:val="00531822"/>
    <w:rsid w:val="00531A95"/>
    <w:rsid w:val="00531AF5"/>
    <w:rsid w:val="00531D7A"/>
    <w:rsid w:val="005326D0"/>
    <w:rsid w:val="005327CB"/>
    <w:rsid w:val="00532800"/>
    <w:rsid w:val="005328BC"/>
    <w:rsid w:val="00532A80"/>
    <w:rsid w:val="00532FDA"/>
    <w:rsid w:val="0053316E"/>
    <w:rsid w:val="00533E26"/>
    <w:rsid w:val="00533EE8"/>
    <w:rsid w:val="0053417D"/>
    <w:rsid w:val="005343C1"/>
    <w:rsid w:val="0053490C"/>
    <w:rsid w:val="005349A0"/>
    <w:rsid w:val="00535585"/>
    <w:rsid w:val="005357C2"/>
    <w:rsid w:val="00536028"/>
    <w:rsid w:val="0053628E"/>
    <w:rsid w:val="00536A58"/>
    <w:rsid w:val="00536AB4"/>
    <w:rsid w:val="00536ED4"/>
    <w:rsid w:val="00536F48"/>
    <w:rsid w:val="00537022"/>
    <w:rsid w:val="00537060"/>
    <w:rsid w:val="00537127"/>
    <w:rsid w:val="0053727D"/>
    <w:rsid w:val="0053764B"/>
    <w:rsid w:val="00537958"/>
    <w:rsid w:val="005400AE"/>
    <w:rsid w:val="005405B1"/>
    <w:rsid w:val="0054069F"/>
    <w:rsid w:val="00540E14"/>
    <w:rsid w:val="00541307"/>
    <w:rsid w:val="00541B0B"/>
    <w:rsid w:val="00541B60"/>
    <w:rsid w:val="00541CFE"/>
    <w:rsid w:val="00541DB8"/>
    <w:rsid w:val="00541F9A"/>
    <w:rsid w:val="00542599"/>
    <w:rsid w:val="00542EB4"/>
    <w:rsid w:val="0054348D"/>
    <w:rsid w:val="0054351C"/>
    <w:rsid w:val="0054362E"/>
    <w:rsid w:val="00543774"/>
    <w:rsid w:val="00543833"/>
    <w:rsid w:val="00543E4D"/>
    <w:rsid w:val="00544601"/>
    <w:rsid w:val="0054474B"/>
    <w:rsid w:val="005448B9"/>
    <w:rsid w:val="00544C51"/>
    <w:rsid w:val="00545136"/>
    <w:rsid w:val="005452C1"/>
    <w:rsid w:val="00545698"/>
    <w:rsid w:val="00545B42"/>
    <w:rsid w:val="00545F1B"/>
    <w:rsid w:val="0054612B"/>
    <w:rsid w:val="005466DF"/>
    <w:rsid w:val="00546773"/>
    <w:rsid w:val="00547753"/>
    <w:rsid w:val="005479F5"/>
    <w:rsid w:val="00547D90"/>
    <w:rsid w:val="005501E4"/>
    <w:rsid w:val="005506E4"/>
    <w:rsid w:val="005508EF"/>
    <w:rsid w:val="00550B41"/>
    <w:rsid w:val="005510E3"/>
    <w:rsid w:val="00551582"/>
    <w:rsid w:val="0055173F"/>
    <w:rsid w:val="005517FD"/>
    <w:rsid w:val="005519EE"/>
    <w:rsid w:val="00551AE8"/>
    <w:rsid w:val="00551D57"/>
    <w:rsid w:val="00552AFD"/>
    <w:rsid w:val="00552E11"/>
    <w:rsid w:val="00552FEB"/>
    <w:rsid w:val="0055326B"/>
    <w:rsid w:val="005532A3"/>
    <w:rsid w:val="00553395"/>
    <w:rsid w:val="00553567"/>
    <w:rsid w:val="005538EF"/>
    <w:rsid w:val="0055400F"/>
    <w:rsid w:val="00554019"/>
    <w:rsid w:val="00554300"/>
    <w:rsid w:val="005548DD"/>
    <w:rsid w:val="005549C2"/>
    <w:rsid w:val="00554DDC"/>
    <w:rsid w:val="00554E6A"/>
    <w:rsid w:val="00555425"/>
    <w:rsid w:val="00555500"/>
    <w:rsid w:val="00555CEE"/>
    <w:rsid w:val="00555FC3"/>
    <w:rsid w:val="00556027"/>
    <w:rsid w:val="00556340"/>
    <w:rsid w:val="0055643A"/>
    <w:rsid w:val="00556461"/>
    <w:rsid w:val="00556506"/>
    <w:rsid w:val="0055659A"/>
    <w:rsid w:val="00556731"/>
    <w:rsid w:val="00556AC0"/>
    <w:rsid w:val="00556CBE"/>
    <w:rsid w:val="00557401"/>
    <w:rsid w:val="0055747C"/>
    <w:rsid w:val="00557D41"/>
    <w:rsid w:val="00557F5B"/>
    <w:rsid w:val="00557FE2"/>
    <w:rsid w:val="00560729"/>
    <w:rsid w:val="005608D4"/>
    <w:rsid w:val="00560A86"/>
    <w:rsid w:val="005615D7"/>
    <w:rsid w:val="00561C64"/>
    <w:rsid w:val="00561D64"/>
    <w:rsid w:val="00562173"/>
    <w:rsid w:val="0056218D"/>
    <w:rsid w:val="0056255F"/>
    <w:rsid w:val="00562B5F"/>
    <w:rsid w:val="00562E4D"/>
    <w:rsid w:val="00562EAD"/>
    <w:rsid w:val="00563222"/>
    <w:rsid w:val="00563322"/>
    <w:rsid w:val="00563333"/>
    <w:rsid w:val="00563406"/>
    <w:rsid w:val="0056367C"/>
    <w:rsid w:val="00563AEB"/>
    <w:rsid w:val="00563CAA"/>
    <w:rsid w:val="005642AA"/>
    <w:rsid w:val="00564321"/>
    <w:rsid w:val="00564775"/>
    <w:rsid w:val="00564C79"/>
    <w:rsid w:val="00565150"/>
    <w:rsid w:val="00565C21"/>
    <w:rsid w:val="00565CAE"/>
    <w:rsid w:val="00565DD0"/>
    <w:rsid w:val="00566C28"/>
    <w:rsid w:val="00566EBC"/>
    <w:rsid w:val="005673A1"/>
    <w:rsid w:val="00567500"/>
    <w:rsid w:val="0056753D"/>
    <w:rsid w:val="005675E2"/>
    <w:rsid w:val="00567707"/>
    <w:rsid w:val="00567811"/>
    <w:rsid w:val="00567CDA"/>
    <w:rsid w:val="00567DEE"/>
    <w:rsid w:val="00567E8F"/>
    <w:rsid w:val="00570163"/>
    <w:rsid w:val="005701B3"/>
    <w:rsid w:val="005702BD"/>
    <w:rsid w:val="005704B1"/>
    <w:rsid w:val="00570699"/>
    <w:rsid w:val="005709FC"/>
    <w:rsid w:val="00570EF4"/>
    <w:rsid w:val="005718A2"/>
    <w:rsid w:val="005719AC"/>
    <w:rsid w:val="0057259F"/>
    <w:rsid w:val="00572749"/>
    <w:rsid w:val="005727EB"/>
    <w:rsid w:val="005739F4"/>
    <w:rsid w:val="00573A7F"/>
    <w:rsid w:val="00573EE1"/>
    <w:rsid w:val="00573EEA"/>
    <w:rsid w:val="0057406C"/>
    <w:rsid w:val="005744B2"/>
    <w:rsid w:val="00574E57"/>
    <w:rsid w:val="00575051"/>
    <w:rsid w:val="005758E3"/>
    <w:rsid w:val="00575FAA"/>
    <w:rsid w:val="00576035"/>
    <w:rsid w:val="00576069"/>
    <w:rsid w:val="00576AD5"/>
    <w:rsid w:val="00576D35"/>
    <w:rsid w:val="005775C0"/>
    <w:rsid w:val="005777C8"/>
    <w:rsid w:val="00577AD5"/>
    <w:rsid w:val="00577F23"/>
    <w:rsid w:val="00580414"/>
    <w:rsid w:val="00580A50"/>
    <w:rsid w:val="00580A72"/>
    <w:rsid w:val="0058107B"/>
    <w:rsid w:val="0058149F"/>
    <w:rsid w:val="0058161B"/>
    <w:rsid w:val="005817A5"/>
    <w:rsid w:val="00581B22"/>
    <w:rsid w:val="00581DF3"/>
    <w:rsid w:val="0058256F"/>
    <w:rsid w:val="00582853"/>
    <w:rsid w:val="00582893"/>
    <w:rsid w:val="00582C76"/>
    <w:rsid w:val="00583496"/>
    <w:rsid w:val="00583706"/>
    <w:rsid w:val="00583A87"/>
    <w:rsid w:val="00583AF1"/>
    <w:rsid w:val="00583CCB"/>
    <w:rsid w:val="00583D99"/>
    <w:rsid w:val="00583D9F"/>
    <w:rsid w:val="0058403B"/>
    <w:rsid w:val="00584270"/>
    <w:rsid w:val="005842BA"/>
    <w:rsid w:val="005843E6"/>
    <w:rsid w:val="005845FA"/>
    <w:rsid w:val="00584AC0"/>
    <w:rsid w:val="00585019"/>
    <w:rsid w:val="00585C21"/>
    <w:rsid w:val="00585CE7"/>
    <w:rsid w:val="00585FAC"/>
    <w:rsid w:val="00586080"/>
    <w:rsid w:val="005860BC"/>
    <w:rsid w:val="0058648E"/>
    <w:rsid w:val="00586B7C"/>
    <w:rsid w:val="00586E72"/>
    <w:rsid w:val="00586F8F"/>
    <w:rsid w:val="005874CD"/>
    <w:rsid w:val="00587515"/>
    <w:rsid w:val="00587597"/>
    <w:rsid w:val="00587A79"/>
    <w:rsid w:val="00587AAF"/>
    <w:rsid w:val="00587B8C"/>
    <w:rsid w:val="00587DF6"/>
    <w:rsid w:val="00590753"/>
    <w:rsid w:val="00590918"/>
    <w:rsid w:val="00590D18"/>
    <w:rsid w:val="00590EDD"/>
    <w:rsid w:val="005913C2"/>
    <w:rsid w:val="005914F0"/>
    <w:rsid w:val="00591653"/>
    <w:rsid w:val="00591988"/>
    <w:rsid w:val="00591EBD"/>
    <w:rsid w:val="0059217A"/>
    <w:rsid w:val="005921C8"/>
    <w:rsid w:val="005922A3"/>
    <w:rsid w:val="0059239E"/>
    <w:rsid w:val="0059249D"/>
    <w:rsid w:val="005924C4"/>
    <w:rsid w:val="005924DB"/>
    <w:rsid w:val="005929E8"/>
    <w:rsid w:val="00592A2E"/>
    <w:rsid w:val="00592BF2"/>
    <w:rsid w:val="005930CE"/>
    <w:rsid w:val="00593155"/>
    <w:rsid w:val="0059353B"/>
    <w:rsid w:val="005937E5"/>
    <w:rsid w:val="005938DB"/>
    <w:rsid w:val="005944B0"/>
    <w:rsid w:val="005949FB"/>
    <w:rsid w:val="00594C1A"/>
    <w:rsid w:val="00594E4A"/>
    <w:rsid w:val="00595106"/>
    <w:rsid w:val="0059552E"/>
    <w:rsid w:val="00595692"/>
    <w:rsid w:val="005956E4"/>
    <w:rsid w:val="0059573E"/>
    <w:rsid w:val="00595789"/>
    <w:rsid w:val="00595B7B"/>
    <w:rsid w:val="00596020"/>
    <w:rsid w:val="0059632F"/>
    <w:rsid w:val="005967A2"/>
    <w:rsid w:val="005971A2"/>
    <w:rsid w:val="00597799"/>
    <w:rsid w:val="005977F9"/>
    <w:rsid w:val="00597BA8"/>
    <w:rsid w:val="005A0038"/>
    <w:rsid w:val="005A01E7"/>
    <w:rsid w:val="005A02C8"/>
    <w:rsid w:val="005A030B"/>
    <w:rsid w:val="005A09E5"/>
    <w:rsid w:val="005A1473"/>
    <w:rsid w:val="005A19FF"/>
    <w:rsid w:val="005A1A96"/>
    <w:rsid w:val="005A2074"/>
    <w:rsid w:val="005A24AE"/>
    <w:rsid w:val="005A2711"/>
    <w:rsid w:val="005A3394"/>
    <w:rsid w:val="005A373C"/>
    <w:rsid w:val="005A3AD9"/>
    <w:rsid w:val="005A403A"/>
    <w:rsid w:val="005A41F7"/>
    <w:rsid w:val="005A43BE"/>
    <w:rsid w:val="005A4624"/>
    <w:rsid w:val="005A5011"/>
    <w:rsid w:val="005A508D"/>
    <w:rsid w:val="005A51B3"/>
    <w:rsid w:val="005A5F3B"/>
    <w:rsid w:val="005A60BA"/>
    <w:rsid w:val="005A6E09"/>
    <w:rsid w:val="005A7550"/>
    <w:rsid w:val="005A761B"/>
    <w:rsid w:val="005A79F3"/>
    <w:rsid w:val="005A7B94"/>
    <w:rsid w:val="005A7E0E"/>
    <w:rsid w:val="005B05A2"/>
    <w:rsid w:val="005B096F"/>
    <w:rsid w:val="005B0987"/>
    <w:rsid w:val="005B0E8E"/>
    <w:rsid w:val="005B0FB5"/>
    <w:rsid w:val="005B1191"/>
    <w:rsid w:val="005B1205"/>
    <w:rsid w:val="005B1486"/>
    <w:rsid w:val="005B1D3B"/>
    <w:rsid w:val="005B2088"/>
    <w:rsid w:val="005B2466"/>
    <w:rsid w:val="005B2BBB"/>
    <w:rsid w:val="005B2BF5"/>
    <w:rsid w:val="005B2F06"/>
    <w:rsid w:val="005B2FD3"/>
    <w:rsid w:val="005B37D0"/>
    <w:rsid w:val="005B3BD1"/>
    <w:rsid w:val="005B41B3"/>
    <w:rsid w:val="005B41BF"/>
    <w:rsid w:val="005B4289"/>
    <w:rsid w:val="005B434F"/>
    <w:rsid w:val="005B47AD"/>
    <w:rsid w:val="005B5926"/>
    <w:rsid w:val="005B5A74"/>
    <w:rsid w:val="005B5D00"/>
    <w:rsid w:val="005B5DBE"/>
    <w:rsid w:val="005B66DA"/>
    <w:rsid w:val="005B6927"/>
    <w:rsid w:val="005B698D"/>
    <w:rsid w:val="005B6B33"/>
    <w:rsid w:val="005B6B72"/>
    <w:rsid w:val="005B6BFD"/>
    <w:rsid w:val="005B7331"/>
    <w:rsid w:val="005B75B6"/>
    <w:rsid w:val="005B789E"/>
    <w:rsid w:val="005B7F6E"/>
    <w:rsid w:val="005C02AD"/>
    <w:rsid w:val="005C043D"/>
    <w:rsid w:val="005C0A0C"/>
    <w:rsid w:val="005C0C11"/>
    <w:rsid w:val="005C12AC"/>
    <w:rsid w:val="005C1C90"/>
    <w:rsid w:val="005C1CEF"/>
    <w:rsid w:val="005C1EF5"/>
    <w:rsid w:val="005C25B4"/>
    <w:rsid w:val="005C27DD"/>
    <w:rsid w:val="005C33D3"/>
    <w:rsid w:val="005C3964"/>
    <w:rsid w:val="005C3AFB"/>
    <w:rsid w:val="005C428A"/>
    <w:rsid w:val="005C4330"/>
    <w:rsid w:val="005C4787"/>
    <w:rsid w:val="005C4997"/>
    <w:rsid w:val="005C5113"/>
    <w:rsid w:val="005C54B8"/>
    <w:rsid w:val="005C557C"/>
    <w:rsid w:val="005C56B7"/>
    <w:rsid w:val="005C592C"/>
    <w:rsid w:val="005C59BB"/>
    <w:rsid w:val="005C5CDF"/>
    <w:rsid w:val="005C631C"/>
    <w:rsid w:val="005C677E"/>
    <w:rsid w:val="005C6CD0"/>
    <w:rsid w:val="005C7072"/>
    <w:rsid w:val="005C759E"/>
    <w:rsid w:val="005C76FC"/>
    <w:rsid w:val="005C785E"/>
    <w:rsid w:val="005C78D5"/>
    <w:rsid w:val="005D00B6"/>
    <w:rsid w:val="005D0122"/>
    <w:rsid w:val="005D0A78"/>
    <w:rsid w:val="005D0EC4"/>
    <w:rsid w:val="005D0F17"/>
    <w:rsid w:val="005D101F"/>
    <w:rsid w:val="005D1247"/>
    <w:rsid w:val="005D1D60"/>
    <w:rsid w:val="005D205D"/>
    <w:rsid w:val="005D2111"/>
    <w:rsid w:val="005D290E"/>
    <w:rsid w:val="005D2F54"/>
    <w:rsid w:val="005D33D2"/>
    <w:rsid w:val="005D344E"/>
    <w:rsid w:val="005D353D"/>
    <w:rsid w:val="005D3FD5"/>
    <w:rsid w:val="005D4AF4"/>
    <w:rsid w:val="005D593D"/>
    <w:rsid w:val="005D5AC4"/>
    <w:rsid w:val="005D5CE2"/>
    <w:rsid w:val="005D5D35"/>
    <w:rsid w:val="005D63A5"/>
    <w:rsid w:val="005D64AA"/>
    <w:rsid w:val="005D6591"/>
    <w:rsid w:val="005D69A4"/>
    <w:rsid w:val="005D7938"/>
    <w:rsid w:val="005D79B5"/>
    <w:rsid w:val="005D7BDA"/>
    <w:rsid w:val="005E0243"/>
    <w:rsid w:val="005E069A"/>
    <w:rsid w:val="005E0A1F"/>
    <w:rsid w:val="005E0D35"/>
    <w:rsid w:val="005E0DEA"/>
    <w:rsid w:val="005E0FF7"/>
    <w:rsid w:val="005E1058"/>
    <w:rsid w:val="005E1667"/>
    <w:rsid w:val="005E17B3"/>
    <w:rsid w:val="005E1990"/>
    <w:rsid w:val="005E1BB5"/>
    <w:rsid w:val="005E1BD6"/>
    <w:rsid w:val="005E1D1D"/>
    <w:rsid w:val="005E20D0"/>
    <w:rsid w:val="005E23C7"/>
    <w:rsid w:val="005E2400"/>
    <w:rsid w:val="005E2594"/>
    <w:rsid w:val="005E2A51"/>
    <w:rsid w:val="005E2A79"/>
    <w:rsid w:val="005E2D15"/>
    <w:rsid w:val="005E2EDB"/>
    <w:rsid w:val="005E2FB1"/>
    <w:rsid w:val="005E31B6"/>
    <w:rsid w:val="005E328E"/>
    <w:rsid w:val="005E376E"/>
    <w:rsid w:val="005E3850"/>
    <w:rsid w:val="005E3EB4"/>
    <w:rsid w:val="005E3FEB"/>
    <w:rsid w:val="005E40C8"/>
    <w:rsid w:val="005E43DF"/>
    <w:rsid w:val="005E455E"/>
    <w:rsid w:val="005E47B6"/>
    <w:rsid w:val="005E48DE"/>
    <w:rsid w:val="005E566F"/>
    <w:rsid w:val="005E5EB1"/>
    <w:rsid w:val="005E610E"/>
    <w:rsid w:val="005E64AF"/>
    <w:rsid w:val="005E6BE9"/>
    <w:rsid w:val="005E71A5"/>
    <w:rsid w:val="005E7221"/>
    <w:rsid w:val="005E740C"/>
    <w:rsid w:val="005E777B"/>
    <w:rsid w:val="005E793F"/>
    <w:rsid w:val="005F03D5"/>
    <w:rsid w:val="005F0860"/>
    <w:rsid w:val="005F0C9C"/>
    <w:rsid w:val="005F14A7"/>
    <w:rsid w:val="005F1B20"/>
    <w:rsid w:val="005F1E18"/>
    <w:rsid w:val="005F1E6A"/>
    <w:rsid w:val="005F26FC"/>
    <w:rsid w:val="005F27E0"/>
    <w:rsid w:val="005F29C0"/>
    <w:rsid w:val="005F2A66"/>
    <w:rsid w:val="005F2B32"/>
    <w:rsid w:val="005F3176"/>
    <w:rsid w:val="005F3549"/>
    <w:rsid w:val="005F3D56"/>
    <w:rsid w:val="005F3D8C"/>
    <w:rsid w:val="005F3EC6"/>
    <w:rsid w:val="005F44BD"/>
    <w:rsid w:val="005F514D"/>
    <w:rsid w:val="005F54B4"/>
    <w:rsid w:val="005F5576"/>
    <w:rsid w:val="005F57AB"/>
    <w:rsid w:val="005F5A4E"/>
    <w:rsid w:val="005F5A6F"/>
    <w:rsid w:val="005F5BE9"/>
    <w:rsid w:val="005F5C6D"/>
    <w:rsid w:val="005F5E8E"/>
    <w:rsid w:val="005F60E6"/>
    <w:rsid w:val="005F61DD"/>
    <w:rsid w:val="005F634C"/>
    <w:rsid w:val="005F63D8"/>
    <w:rsid w:val="005F75FA"/>
    <w:rsid w:val="005F764A"/>
    <w:rsid w:val="0060008E"/>
    <w:rsid w:val="006005C1"/>
    <w:rsid w:val="00600B42"/>
    <w:rsid w:val="00600CE1"/>
    <w:rsid w:val="006011A0"/>
    <w:rsid w:val="00601735"/>
    <w:rsid w:val="00601C1B"/>
    <w:rsid w:val="00601CF8"/>
    <w:rsid w:val="00602705"/>
    <w:rsid w:val="00602A78"/>
    <w:rsid w:val="00602BCA"/>
    <w:rsid w:val="0060305F"/>
    <w:rsid w:val="006034C7"/>
    <w:rsid w:val="00604617"/>
    <w:rsid w:val="00604730"/>
    <w:rsid w:val="006047B0"/>
    <w:rsid w:val="006049CE"/>
    <w:rsid w:val="00604AE3"/>
    <w:rsid w:val="00604C38"/>
    <w:rsid w:val="00604D1B"/>
    <w:rsid w:val="006052A3"/>
    <w:rsid w:val="006053D8"/>
    <w:rsid w:val="006057CF"/>
    <w:rsid w:val="006059A0"/>
    <w:rsid w:val="00605A1A"/>
    <w:rsid w:val="00606054"/>
    <w:rsid w:val="0060611E"/>
    <w:rsid w:val="006063E0"/>
    <w:rsid w:val="0060660B"/>
    <w:rsid w:val="00606906"/>
    <w:rsid w:val="00606B40"/>
    <w:rsid w:val="00606EE7"/>
    <w:rsid w:val="00606FAA"/>
    <w:rsid w:val="006073FF"/>
    <w:rsid w:val="0060795B"/>
    <w:rsid w:val="00607C10"/>
    <w:rsid w:val="006103B7"/>
    <w:rsid w:val="006103D0"/>
    <w:rsid w:val="00611BA6"/>
    <w:rsid w:val="006120BB"/>
    <w:rsid w:val="00612140"/>
    <w:rsid w:val="006129CC"/>
    <w:rsid w:val="00612D19"/>
    <w:rsid w:val="0061330F"/>
    <w:rsid w:val="00613401"/>
    <w:rsid w:val="00613641"/>
    <w:rsid w:val="00613A0B"/>
    <w:rsid w:val="00613BED"/>
    <w:rsid w:val="00614139"/>
    <w:rsid w:val="00614483"/>
    <w:rsid w:val="0061478C"/>
    <w:rsid w:val="0061516E"/>
    <w:rsid w:val="006151BC"/>
    <w:rsid w:val="00615204"/>
    <w:rsid w:val="006154F0"/>
    <w:rsid w:val="006156F3"/>
    <w:rsid w:val="00615E77"/>
    <w:rsid w:val="00616221"/>
    <w:rsid w:val="00616278"/>
    <w:rsid w:val="006162A3"/>
    <w:rsid w:val="00616436"/>
    <w:rsid w:val="006164FB"/>
    <w:rsid w:val="00616618"/>
    <w:rsid w:val="00616C7D"/>
    <w:rsid w:val="0061735F"/>
    <w:rsid w:val="00617A4A"/>
    <w:rsid w:val="00617EEA"/>
    <w:rsid w:val="006205E1"/>
    <w:rsid w:val="006205F3"/>
    <w:rsid w:val="006208EE"/>
    <w:rsid w:val="0062091D"/>
    <w:rsid w:val="00620ABF"/>
    <w:rsid w:val="00620C44"/>
    <w:rsid w:val="00620E4E"/>
    <w:rsid w:val="00620FB9"/>
    <w:rsid w:val="0062100E"/>
    <w:rsid w:val="00621166"/>
    <w:rsid w:val="006211A5"/>
    <w:rsid w:val="00621529"/>
    <w:rsid w:val="006219BC"/>
    <w:rsid w:val="00621EF4"/>
    <w:rsid w:val="00622134"/>
    <w:rsid w:val="006226AF"/>
    <w:rsid w:val="00622789"/>
    <w:rsid w:val="00623148"/>
    <w:rsid w:val="006233C1"/>
    <w:rsid w:val="006235B3"/>
    <w:rsid w:val="00623D75"/>
    <w:rsid w:val="006242E1"/>
    <w:rsid w:val="00624649"/>
    <w:rsid w:val="006248A2"/>
    <w:rsid w:val="006249A7"/>
    <w:rsid w:val="006249D1"/>
    <w:rsid w:val="00624D4F"/>
    <w:rsid w:val="006251B8"/>
    <w:rsid w:val="0062543B"/>
    <w:rsid w:val="00625713"/>
    <w:rsid w:val="00625B22"/>
    <w:rsid w:val="00625C53"/>
    <w:rsid w:val="00625F83"/>
    <w:rsid w:val="00626415"/>
    <w:rsid w:val="00626447"/>
    <w:rsid w:val="0062692A"/>
    <w:rsid w:val="006272FA"/>
    <w:rsid w:val="0062768B"/>
    <w:rsid w:val="00627827"/>
    <w:rsid w:val="00627A49"/>
    <w:rsid w:val="00627AF9"/>
    <w:rsid w:val="00627D2B"/>
    <w:rsid w:val="00627D60"/>
    <w:rsid w:val="00627E30"/>
    <w:rsid w:val="00627E4E"/>
    <w:rsid w:val="00630169"/>
    <w:rsid w:val="006303FC"/>
    <w:rsid w:val="006309D1"/>
    <w:rsid w:val="00630E40"/>
    <w:rsid w:val="006312AF"/>
    <w:rsid w:val="00631575"/>
    <w:rsid w:val="00631716"/>
    <w:rsid w:val="0063179F"/>
    <w:rsid w:val="006317A4"/>
    <w:rsid w:val="00632259"/>
    <w:rsid w:val="00632765"/>
    <w:rsid w:val="00632A30"/>
    <w:rsid w:val="00632DD8"/>
    <w:rsid w:val="00633216"/>
    <w:rsid w:val="00633701"/>
    <w:rsid w:val="006338DA"/>
    <w:rsid w:val="0063390C"/>
    <w:rsid w:val="00633A5E"/>
    <w:rsid w:val="00633F74"/>
    <w:rsid w:val="00634CEA"/>
    <w:rsid w:val="00635641"/>
    <w:rsid w:val="00635AEB"/>
    <w:rsid w:val="00635F76"/>
    <w:rsid w:val="006366EC"/>
    <w:rsid w:val="006367B7"/>
    <w:rsid w:val="00636E0F"/>
    <w:rsid w:val="00636EF8"/>
    <w:rsid w:val="00636FEF"/>
    <w:rsid w:val="0063715F"/>
    <w:rsid w:val="006371D4"/>
    <w:rsid w:val="006377DB"/>
    <w:rsid w:val="006404EE"/>
    <w:rsid w:val="006405A2"/>
    <w:rsid w:val="00640699"/>
    <w:rsid w:val="0064083A"/>
    <w:rsid w:val="0064096C"/>
    <w:rsid w:val="006417E0"/>
    <w:rsid w:val="006418D2"/>
    <w:rsid w:val="006419D4"/>
    <w:rsid w:val="00641E1E"/>
    <w:rsid w:val="00642453"/>
    <w:rsid w:val="00642C54"/>
    <w:rsid w:val="00643299"/>
    <w:rsid w:val="006438BE"/>
    <w:rsid w:val="006440C1"/>
    <w:rsid w:val="006443B2"/>
    <w:rsid w:val="00644F66"/>
    <w:rsid w:val="00645210"/>
    <w:rsid w:val="0064522C"/>
    <w:rsid w:val="00645348"/>
    <w:rsid w:val="00645914"/>
    <w:rsid w:val="00645933"/>
    <w:rsid w:val="006459B3"/>
    <w:rsid w:val="00645D57"/>
    <w:rsid w:val="00646970"/>
    <w:rsid w:val="00646FDD"/>
    <w:rsid w:val="006476BA"/>
    <w:rsid w:val="00647883"/>
    <w:rsid w:val="00647C38"/>
    <w:rsid w:val="00647D39"/>
    <w:rsid w:val="006500A2"/>
    <w:rsid w:val="00650528"/>
    <w:rsid w:val="0065058D"/>
    <w:rsid w:val="006509A2"/>
    <w:rsid w:val="00650C5E"/>
    <w:rsid w:val="00651147"/>
    <w:rsid w:val="0065131D"/>
    <w:rsid w:val="0065197E"/>
    <w:rsid w:val="00651DC1"/>
    <w:rsid w:val="00651FD6"/>
    <w:rsid w:val="0065234B"/>
    <w:rsid w:val="00652384"/>
    <w:rsid w:val="00652426"/>
    <w:rsid w:val="00652480"/>
    <w:rsid w:val="0065252C"/>
    <w:rsid w:val="0065299F"/>
    <w:rsid w:val="00652D51"/>
    <w:rsid w:val="00653678"/>
    <w:rsid w:val="00653761"/>
    <w:rsid w:val="00653A46"/>
    <w:rsid w:val="00653AC4"/>
    <w:rsid w:val="00653C52"/>
    <w:rsid w:val="00653D93"/>
    <w:rsid w:val="006540C1"/>
    <w:rsid w:val="00654118"/>
    <w:rsid w:val="0065460C"/>
    <w:rsid w:val="00654642"/>
    <w:rsid w:val="00654A84"/>
    <w:rsid w:val="00654AF4"/>
    <w:rsid w:val="00654CB8"/>
    <w:rsid w:val="00655105"/>
    <w:rsid w:val="0065528B"/>
    <w:rsid w:val="0065561D"/>
    <w:rsid w:val="00655995"/>
    <w:rsid w:val="006559AA"/>
    <w:rsid w:val="00655D2D"/>
    <w:rsid w:val="00655F61"/>
    <w:rsid w:val="006562F3"/>
    <w:rsid w:val="006565D3"/>
    <w:rsid w:val="006569F2"/>
    <w:rsid w:val="00656F36"/>
    <w:rsid w:val="00656F87"/>
    <w:rsid w:val="00656FC3"/>
    <w:rsid w:val="00657478"/>
    <w:rsid w:val="00657693"/>
    <w:rsid w:val="00657861"/>
    <w:rsid w:val="00657906"/>
    <w:rsid w:val="00657B05"/>
    <w:rsid w:val="00657B97"/>
    <w:rsid w:val="00660010"/>
    <w:rsid w:val="00660083"/>
    <w:rsid w:val="00660680"/>
    <w:rsid w:val="00660BFB"/>
    <w:rsid w:val="00660E23"/>
    <w:rsid w:val="00660F41"/>
    <w:rsid w:val="00662A70"/>
    <w:rsid w:val="00662AF9"/>
    <w:rsid w:val="00662C14"/>
    <w:rsid w:val="00662C97"/>
    <w:rsid w:val="00662CBB"/>
    <w:rsid w:val="00662F3E"/>
    <w:rsid w:val="0066314F"/>
    <w:rsid w:val="0066368C"/>
    <w:rsid w:val="0066398B"/>
    <w:rsid w:val="00663F53"/>
    <w:rsid w:val="0066486A"/>
    <w:rsid w:val="00664A2B"/>
    <w:rsid w:val="00664AAA"/>
    <w:rsid w:val="00664CDB"/>
    <w:rsid w:val="00664D18"/>
    <w:rsid w:val="00664D5F"/>
    <w:rsid w:val="00664E4F"/>
    <w:rsid w:val="006650DE"/>
    <w:rsid w:val="0066527F"/>
    <w:rsid w:val="006655BB"/>
    <w:rsid w:val="00666754"/>
    <w:rsid w:val="0066685A"/>
    <w:rsid w:val="00666AEA"/>
    <w:rsid w:val="00666D37"/>
    <w:rsid w:val="0066706E"/>
    <w:rsid w:val="0066754C"/>
    <w:rsid w:val="006676BE"/>
    <w:rsid w:val="00667754"/>
    <w:rsid w:val="00667D71"/>
    <w:rsid w:val="00667FB2"/>
    <w:rsid w:val="0067012F"/>
    <w:rsid w:val="00670D2E"/>
    <w:rsid w:val="00671280"/>
    <w:rsid w:val="006715AD"/>
    <w:rsid w:val="00671F8A"/>
    <w:rsid w:val="0067269F"/>
    <w:rsid w:val="006726CB"/>
    <w:rsid w:val="0067272F"/>
    <w:rsid w:val="0067276D"/>
    <w:rsid w:val="00672E8B"/>
    <w:rsid w:val="00672FC9"/>
    <w:rsid w:val="00673632"/>
    <w:rsid w:val="00673733"/>
    <w:rsid w:val="00673881"/>
    <w:rsid w:val="00673BA4"/>
    <w:rsid w:val="00674C5D"/>
    <w:rsid w:val="00674ED8"/>
    <w:rsid w:val="00675533"/>
    <w:rsid w:val="00675793"/>
    <w:rsid w:val="006759A7"/>
    <w:rsid w:val="00675A1D"/>
    <w:rsid w:val="00675C5E"/>
    <w:rsid w:val="00676816"/>
    <w:rsid w:val="00676851"/>
    <w:rsid w:val="00676F0B"/>
    <w:rsid w:val="006773D1"/>
    <w:rsid w:val="006775DC"/>
    <w:rsid w:val="006801BB"/>
    <w:rsid w:val="006802E3"/>
    <w:rsid w:val="00680CC6"/>
    <w:rsid w:val="0068122E"/>
    <w:rsid w:val="00681322"/>
    <w:rsid w:val="00682059"/>
    <w:rsid w:val="0068241B"/>
    <w:rsid w:val="006829A7"/>
    <w:rsid w:val="00682A44"/>
    <w:rsid w:val="006834BE"/>
    <w:rsid w:val="00683889"/>
    <w:rsid w:val="006838CA"/>
    <w:rsid w:val="00683B59"/>
    <w:rsid w:val="00683CC8"/>
    <w:rsid w:val="006842A2"/>
    <w:rsid w:val="006848BB"/>
    <w:rsid w:val="00684A44"/>
    <w:rsid w:val="00685002"/>
    <w:rsid w:val="00685054"/>
    <w:rsid w:val="00685075"/>
    <w:rsid w:val="00685339"/>
    <w:rsid w:val="00685597"/>
    <w:rsid w:val="00685685"/>
    <w:rsid w:val="006856C1"/>
    <w:rsid w:val="00685716"/>
    <w:rsid w:val="006857EA"/>
    <w:rsid w:val="006859F4"/>
    <w:rsid w:val="00685FC6"/>
    <w:rsid w:val="006862D8"/>
    <w:rsid w:val="00686338"/>
    <w:rsid w:val="0068731C"/>
    <w:rsid w:val="00687893"/>
    <w:rsid w:val="0069038B"/>
    <w:rsid w:val="006904AD"/>
    <w:rsid w:val="006905D5"/>
    <w:rsid w:val="006905F1"/>
    <w:rsid w:val="006912E6"/>
    <w:rsid w:val="006914E9"/>
    <w:rsid w:val="00691815"/>
    <w:rsid w:val="00691822"/>
    <w:rsid w:val="006918A2"/>
    <w:rsid w:val="00691E51"/>
    <w:rsid w:val="006920CA"/>
    <w:rsid w:val="00692419"/>
    <w:rsid w:val="006927F0"/>
    <w:rsid w:val="00692A11"/>
    <w:rsid w:val="00692C4E"/>
    <w:rsid w:val="0069311E"/>
    <w:rsid w:val="006936DB"/>
    <w:rsid w:val="00693801"/>
    <w:rsid w:val="006943D0"/>
    <w:rsid w:val="006943E4"/>
    <w:rsid w:val="006944B8"/>
    <w:rsid w:val="0069456C"/>
    <w:rsid w:val="00694706"/>
    <w:rsid w:val="00694C99"/>
    <w:rsid w:val="00694DF8"/>
    <w:rsid w:val="00694F6F"/>
    <w:rsid w:val="00694FA0"/>
    <w:rsid w:val="00694FCB"/>
    <w:rsid w:val="006956E0"/>
    <w:rsid w:val="00695A9A"/>
    <w:rsid w:val="00695D95"/>
    <w:rsid w:val="00695DDA"/>
    <w:rsid w:val="00696136"/>
    <w:rsid w:val="006961F4"/>
    <w:rsid w:val="00696243"/>
    <w:rsid w:val="006962E6"/>
    <w:rsid w:val="0069657D"/>
    <w:rsid w:val="00696619"/>
    <w:rsid w:val="00696709"/>
    <w:rsid w:val="00696A8E"/>
    <w:rsid w:val="0069703E"/>
    <w:rsid w:val="00697208"/>
    <w:rsid w:val="00697A32"/>
    <w:rsid w:val="006A06E3"/>
    <w:rsid w:val="006A0B03"/>
    <w:rsid w:val="006A0ECA"/>
    <w:rsid w:val="006A11F4"/>
    <w:rsid w:val="006A14A8"/>
    <w:rsid w:val="006A182D"/>
    <w:rsid w:val="006A1ADF"/>
    <w:rsid w:val="006A23AC"/>
    <w:rsid w:val="006A26DF"/>
    <w:rsid w:val="006A2835"/>
    <w:rsid w:val="006A2F7F"/>
    <w:rsid w:val="006A3411"/>
    <w:rsid w:val="006A3A19"/>
    <w:rsid w:val="006A3B9E"/>
    <w:rsid w:val="006A3D6D"/>
    <w:rsid w:val="006A3D73"/>
    <w:rsid w:val="006A3F3C"/>
    <w:rsid w:val="006A43EA"/>
    <w:rsid w:val="006A471A"/>
    <w:rsid w:val="006A5290"/>
    <w:rsid w:val="006A5C11"/>
    <w:rsid w:val="006A5FA6"/>
    <w:rsid w:val="006A61A5"/>
    <w:rsid w:val="006A6290"/>
    <w:rsid w:val="006A676B"/>
    <w:rsid w:val="006A6770"/>
    <w:rsid w:val="006A6A1A"/>
    <w:rsid w:val="006A6BAB"/>
    <w:rsid w:val="006A6C28"/>
    <w:rsid w:val="006A777A"/>
    <w:rsid w:val="006A7AE9"/>
    <w:rsid w:val="006A7C9D"/>
    <w:rsid w:val="006A7D74"/>
    <w:rsid w:val="006A7F1D"/>
    <w:rsid w:val="006B0264"/>
    <w:rsid w:val="006B04CF"/>
    <w:rsid w:val="006B0BF0"/>
    <w:rsid w:val="006B0D7E"/>
    <w:rsid w:val="006B1E59"/>
    <w:rsid w:val="006B269C"/>
    <w:rsid w:val="006B2995"/>
    <w:rsid w:val="006B2F13"/>
    <w:rsid w:val="006B3335"/>
    <w:rsid w:val="006B33FB"/>
    <w:rsid w:val="006B3EFD"/>
    <w:rsid w:val="006B40C8"/>
    <w:rsid w:val="006B472A"/>
    <w:rsid w:val="006B4B80"/>
    <w:rsid w:val="006B4F50"/>
    <w:rsid w:val="006B5149"/>
    <w:rsid w:val="006B549F"/>
    <w:rsid w:val="006B54EB"/>
    <w:rsid w:val="006B65CB"/>
    <w:rsid w:val="006B6F1D"/>
    <w:rsid w:val="006B765D"/>
    <w:rsid w:val="006B767F"/>
    <w:rsid w:val="006B7702"/>
    <w:rsid w:val="006B77ED"/>
    <w:rsid w:val="006C01F4"/>
    <w:rsid w:val="006C0683"/>
    <w:rsid w:val="006C06DC"/>
    <w:rsid w:val="006C07EA"/>
    <w:rsid w:val="006C0867"/>
    <w:rsid w:val="006C10B7"/>
    <w:rsid w:val="006C12F3"/>
    <w:rsid w:val="006C1503"/>
    <w:rsid w:val="006C1875"/>
    <w:rsid w:val="006C215A"/>
    <w:rsid w:val="006C2196"/>
    <w:rsid w:val="006C24C7"/>
    <w:rsid w:val="006C273C"/>
    <w:rsid w:val="006C2FF1"/>
    <w:rsid w:val="006C374A"/>
    <w:rsid w:val="006C3A0F"/>
    <w:rsid w:val="006C3B9C"/>
    <w:rsid w:val="006C479E"/>
    <w:rsid w:val="006C4A29"/>
    <w:rsid w:val="006C4A5F"/>
    <w:rsid w:val="006C54EE"/>
    <w:rsid w:val="006C565D"/>
    <w:rsid w:val="006C57FE"/>
    <w:rsid w:val="006C5AB5"/>
    <w:rsid w:val="006C6854"/>
    <w:rsid w:val="006C6DB0"/>
    <w:rsid w:val="006C6E36"/>
    <w:rsid w:val="006C705E"/>
    <w:rsid w:val="006C7216"/>
    <w:rsid w:val="006C7266"/>
    <w:rsid w:val="006C791E"/>
    <w:rsid w:val="006C7EAA"/>
    <w:rsid w:val="006D045E"/>
    <w:rsid w:val="006D05F4"/>
    <w:rsid w:val="006D0930"/>
    <w:rsid w:val="006D0B6D"/>
    <w:rsid w:val="006D1549"/>
    <w:rsid w:val="006D16EC"/>
    <w:rsid w:val="006D1A5F"/>
    <w:rsid w:val="006D1D33"/>
    <w:rsid w:val="006D1F0A"/>
    <w:rsid w:val="006D2486"/>
    <w:rsid w:val="006D2638"/>
    <w:rsid w:val="006D3429"/>
    <w:rsid w:val="006D366D"/>
    <w:rsid w:val="006D381C"/>
    <w:rsid w:val="006D39CE"/>
    <w:rsid w:val="006D39EA"/>
    <w:rsid w:val="006D3CE0"/>
    <w:rsid w:val="006D4801"/>
    <w:rsid w:val="006D487E"/>
    <w:rsid w:val="006D4A33"/>
    <w:rsid w:val="006D4C75"/>
    <w:rsid w:val="006D4D40"/>
    <w:rsid w:val="006D4D9B"/>
    <w:rsid w:val="006D53DF"/>
    <w:rsid w:val="006D5412"/>
    <w:rsid w:val="006D54F7"/>
    <w:rsid w:val="006D55C1"/>
    <w:rsid w:val="006D5604"/>
    <w:rsid w:val="006D5666"/>
    <w:rsid w:val="006D58BA"/>
    <w:rsid w:val="006D5CDA"/>
    <w:rsid w:val="006D6287"/>
    <w:rsid w:val="006D65F5"/>
    <w:rsid w:val="006D6D76"/>
    <w:rsid w:val="006D789B"/>
    <w:rsid w:val="006D7902"/>
    <w:rsid w:val="006D7BEA"/>
    <w:rsid w:val="006D7C9D"/>
    <w:rsid w:val="006D7CD6"/>
    <w:rsid w:val="006D7D85"/>
    <w:rsid w:val="006E045E"/>
    <w:rsid w:val="006E04C4"/>
    <w:rsid w:val="006E09E9"/>
    <w:rsid w:val="006E0B21"/>
    <w:rsid w:val="006E166F"/>
    <w:rsid w:val="006E171B"/>
    <w:rsid w:val="006E19F2"/>
    <w:rsid w:val="006E1A8F"/>
    <w:rsid w:val="006E1B99"/>
    <w:rsid w:val="006E204E"/>
    <w:rsid w:val="006E2460"/>
    <w:rsid w:val="006E24C1"/>
    <w:rsid w:val="006E2536"/>
    <w:rsid w:val="006E2963"/>
    <w:rsid w:val="006E2C6D"/>
    <w:rsid w:val="006E32F2"/>
    <w:rsid w:val="006E33D2"/>
    <w:rsid w:val="006E374B"/>
    <w:rsid w:val="006E3B50"/>
    <w:rsid w:val="006E44D3"/>
    <w:rsid w:val="006E4705"/>
    <w:rsid w:val="006E470D"/>
    <w:rsid w:val="006E49DF"/>
    <w:rsid w:val="006E4BC0"/>
    <w:rsid w:val="006E4E07"/>
    <w:rsid w:val="006E4E81"/>
    <w:rsid w:val="006E5353"/>
    <w:rsid w:val="006E58CF"/>
    <w:rsid w:val="006E5AF0"/>
    <w:rsid w:val="006E6241"/>
    <w:rsid w:val="006E645F"/>
    <w:rsid w:val="006E659C"/>
    <w:rsid w:val="006E6991"/>
    <w:rsid w:val="006E6E9C"/>
    <w:rsid w:val="006E6F3D"/>
    <w:rsid w:val="006E7B70"/>
    <w:rsid w:val="006F04B6"/>
    <w:rsid w:val="006F067D"/>
    <w:rsid w:val="006F0E63"/>
    <w:rsid w:val="006F117D"/>
    <w:rsid w:val="006F1195"/>
    <w:rsid w:val="006F1200"/>
    <w:rsid w:val="006F13F3"/>
    <w:rsid w:val="006F191B"/>
    <w:rsid w:val="006F1DBD"/>
    <w:rsid w:val="006F1E00"/>
    <w:rsid w:val="006F253F"/>
    <w:rsid w:val="006F2B9E"/>
    <w:rsid w:val="006F2D49"/>
    <w:rsid w:val="006F301F"/>
    <w:rsid w:val="006F3419"/>
    <w:rsid w:val="006F3B49"/>
    <w:rsid w:val="006F3FDE"/>
    <w:rsid w:val="006F4327"/>
    <w:rsid w:val="006F4661"/>
    <w:rsid w:val="006F46C2"/>
    <w:rsid w:val="006F46DE"/>
    <w:rsid w:val="006F48EA"/>
    <w:rsid w:val="006F4F6A"/>
    <w:rsid w:val="006F51E0"/>
    <w:rsid w:val="006F5682"/>
    <w:rsid w:val="006F572D"/>
    <w:rsid w:val="006F5813"/>
    <w:rsid w:val="006F5820"/>
    <w:rsid w:val="006F5847"/>
    <w:rsid w:val="006F5B1A"/>
    <w:rsid w:val="006F5F76"/>
    <w:rsid w:val="006F6790"/>
    <w:rsid w:val="006F6963"/>
    <w:rsid w:val="006F707D"/>
    <w:rsid w:val="006F7ADB"/>
    <w:rsid w:val="006F7E4E"/>
    <w:rsid w:val="00700821"/>
    <w:rsid w:val="00700FEB"/>
    <w:rsid w:val="007010A7"/>
    <w:rsid w:val="007011D1"/>
    <w:rsid w:val="007011D8"/>
    <w:rsid w:val="00701ABE"/>
    <w:rsid w:val="00702723"/>
    <w:rsid w:val="00702788"/>
    <w:rsid w:val="00702BCA"/>
    <w:rsid w:val="0070303A"/>
    <w:rsid w:val="0070328F"/>
    <w:rsid w:val="007038ED"/>
    <w:rsid w:val="00703EFA"/>
    <w:rsid w:val="00704346"/>
    <w:rsid w:val="00704404"/>
    <w:rsid w:val="00704464"/>
    <w:rsid w:val="00704527"/>
    <w:rsid w:val="00704894"/>
    <w:rsid w:val="0070522E"/>
    <w:rsid w:val="0070526E"/>
    <w:rsid w:val="00705BD7"/>
    <w:rsid w:val="00705C06"/>
    <w:rsid w:val="00706130"/>
    <w:rsid w:val="007061EC"/>
    <w:rsid w:val="00706461"/>
    <w:rsid w:val="0070678B"/>
    <w:rsid w:val="007068C5"/>
    <w:rsid w:val="00706995"/>
    <w:rsid w:val="00706C3A"/>
    <w:rsid w:val="00706E1E"/>
    <w:rsid w:val="00707057"/>
    <w:rsid w:val="007071D4"/>
    <w:rsid w:val="0070728F"/>
    <w:rsid w:val="0070788E"/>
    <w:rsid w:val="00707C37"/>
    <w:rsid w:val="00707DF8"/>
    <w:rsid w:val="00710164"/>
    <w:rsid w:val="00710167"/>
    <w:rsid w:val="0071054F"/>
    <w:rsid w:val="00710595"/>
    <w:rsid w:val="00710870"/>
    <w:rsid w:val="007110B3"/>
    <w:rsid w:val="00711A27"/>
    <w:rsid w:val="00712020"/>
    <w:rsid w:val="00712026"/>
    <w:rsid w:val="007121C0"/>
    <w:rsid w:val="00712638"/>
    <w:rsid w:val="0071276A"/>
    <w:rsid w:val="00712B22"/>
    <w:rsid w:val="00712D93"/>
    <w:rsid w:val="007139BF"/>
    <w:rsid w:val="00713C11"/>
    <w:rsid w:val="00714406"/>
    <w:rsid w:val="00714A38"/>
    <w:rsid w:val="00714A85"/>
    <w:rsid w:val="00714B10"/>
    <w:rsid w:val="00714B64"/>
    <w:rsid w:val="00714BA7"/>
    <w:rsid w:val="00714DBE"/>
    <w:rsid w:val="00714E26"/>
    <w:rsid w:val="00714F03"/>
    <w:rsid w:val="0071535B"/>
    <w:rsid w:val="00715C06"/>
    <w:rsid w:val="00715E95"/>
    <w:rsid w:val="007166F7"/>
    <w:rsid w:val="00716D4E"/>
    <w:rsid w:val="0071717E"/>
    <w:rsid w:val="0071735C"/>
    <w:rsid w:val="00717763"/>
    <w:rsid w:val="00717A65"/>
    <w:rsid w:val="00720A2C"/>
    <w:rsid w:val="00720B85"/>
    <w:rsid w:val="00720C22"/>
    <w:rsid w:val="00720C6E"/>
    <w:rsid w:val="00720E58"/>
    <w:rsid w:val="00720E79"/>
    <w:rsid w:val="00720F9E"/>
    <w:rsid w:val="0072119E"/>
    <w:rsid w:val="00721DAA"/>
    <w:rsid w:val="007220A0"/>
    <w:rsid w:val="007226B1"/>
    <w:rsid w:val="00722AC4"/>
    <w:rsid w:val="00722BE6"/>
    <w:rsid w:val="00722CD9"/>
    <w:rsid w:val="00722DC9"/>
    <w:rsid w:val="00722EF9"/>
    <w:rsid w:val="007232F1"/>
    <w:rsid w:val="00723F60"/>
    <w:rsid w:val="0072406F"/>
    <w:rsid w:val="0072454A"/>
    <w:rsid w:val="007245B1"/>
    <w:rsid w:val="0072484E"/>
    <w:rsid w:val="00724952"/>
    <w:rsid w:val="007249F8"/>
    <w:rsid w:val="00724CD4"/>
    <w:rsid w:val="00724CFE"/>
    <w:rsid w:val="0072502E"/>
    <w:rsid w:val="00725CA6"/>
    <w:rsid w:val="00725D1A"/>
    <w:rsid w:val="00725DF3"/>
    <w:rsid w:val="00725F4D"/>
    <w:rsid w:val="00726B7D"/>
    <w:rsid w:val="00727271"/>
    <w:rsid w:val="00727285"/>
    <w:rsid w:val="00727380"/>
    <w:rsid w:val="00727D91"/>
    <w:rsid w:val="00727E44"/>
    <w:rsid w:val="00730152"/>
    <w:rsid w:val="007301B7"/>
    <w:rsid w:val="0073071A"/>
    <w:rsid w:val="00730DD2"/>
    <w:rsid w:val="00730E03"/>
    <w:rsid w:val="007310E4"/>
    <w:rsid w:val="00731129"/>
    <w:rsid w:val="007313F9"/>
    <w:rsid w:val="00731D9E"/>
    <w:rsid w:val="0073251A"/>
    <w:rsid w:val="007325AE"/>
    <w:rsid w:val="007326C6"/>
    <w:rsid w:val="00732732"/>
    <w:rsid w:val="00732DBF"/>
    <w:rsid w:val="007330AB"/>
    <w:rsid w:val="007338F2"/>
    <w:rsid w:val="0073392C"/>
    <w:rsid w:val="0073397C"/>
    <w:rsid w:val="00733F0C"/>
    <w:rsid w:val="00733F67"/>
    <w:rsid w:val="00734051"/>
    <w:rsid w:val="007341BF"/>
    <w:rsid w:val="0073435D"/>
    <w:rsid w:val="00734519"/>
    <w:rsid w:val="0073458B"/>
    <w:rsid w:val="00734B84"/>
    <w:rsid w:val="00735524"/>
    <w:rsid w:val="00735D08"/>
    <w:rsid w:val="00735D2A"/>
    <w:rsid w:val="00735DED"/>
    <w:rsid w:val="00735EBF"/>
    <w:rsid w:val="007365ED"/>
    <w:rsid w:val="00736709"/>
    <w:rsid w:val="00736927"/>
    <w:rsid w:val="007373D2"/>
    <w:rsid w:val="0073779C"/>
    <w:rsid w:val="00737930"/>
    <w:rsid w:val="00737A4B"/>
    <w:rsid w:val="00737FC3"/>
    <w:rsid w:val="00740008"/>
    <w:rsid w:val="007408EF"/>
    <w:rsid w:val="00741219"/>
    <w:rsid w:val="007412B9"/>
    <w:rsid w:val="00741355"/>
    <w:rsid w:val="00741C56"/>
    <w:rsid w:val="00741C83"/>
    <w:rsid w:val="00741D83"/>
    <w:rsid w:val="00741E9A"/>
    <w:rsid w:val="00742891"/>
    <w:rsid w:val="00742977"/>
    <w:rsid w:val="00742C3D"/>
    <w:rsid w:val="00742DAD"/>
    <w:rsid w:val="007430F6"/>
    <w:rsid w:val="00743455"/>
    <w:rsid w:val="007435B8"/>
    <w:rsid w:val="007435EC"/>
    <w:rsid w:val="0074361B"/>
    <w:rsid w:val="00744271"/>
    <w:rsid w:val="007444AE"/>
    <w:rsid w:val="007447C6"/>
    <w:rsid w:val="007449FE"/>
    <w:rsid w:val="00744CEC"/>
    <w:rsid w:val="0074556A"/>
    <w:rsid w:val="007457BC"/>
    <w:rsid w:val="00745A05"/>
    <w:rsid w:val="00745F8E"/>
    <w:rsid w:val="00746452"/>
    <w:rsid w:val="0074646C"/>
    <w:rsid w:val="00746564"/>
    <w:rsid w:val="00746721"/>
    <w:rsid w:val="00746EF3"/>
    <w:rsid w:val="00747741"/>
    <w:rsid w:val="00747C00"/>
    <w:rsid w:val="007505F4"/>
    <w:rsid w:val="007507D9"/>
    <w:rsid w:val="00750979"/>
    <w:rsid w:val="00751313"/>
    <w:rsid w:val="007514AA"/>
    <w:rsid w:val="00751760"/>
    <w:rsid w:val="007517B6"/>
    <w:rsid w:val="007518C9"/>
    <w:rsid w:val="00751ED0"/>
    <w:rsid w:val="0075218A"/>
    <w:rsid w:val="00752238"/>
    <w:rsid w:val="00752DE0"/>
    <w:rsid w:val="00752E14"/>
    <w:rsid w:val="007533FD"/>
    <w:rsid w:val="00753BDA"/>
    <w:rsid w:val="00753DA5"/>
    <w:rsid w:val="00754182"/>
    <w:rsid w:val="00754E53"/>
    <w:rsid w:val="0075502B"/>
    <w:rsid w:val="00755633"/>
    <w:rsid w:val="00755639"/>
    <w:rsid w:val="00755B6F"/>
    <w:rsid w:val="0075639D"/>
    <w:rsid w:val="0075651D"/>
    <w:rsid w:val="00756A17"/>
    <w:rsid w:val="00756B41"/>
    <w:rsid w:val="00757624"/>
    <w:rsid w:val="007576EC"/>
    <w:rsid w:val="00757957"/>
    <w:rsid w:val="00757D73"/>
    <w:rsid w:val="00760978"/>
    <w:rsid w:val="007609DE"/>
    <w:rsid w:val="007609FD"/>
    <w:rsid w:val="00760C90"/>
    <w:rsid w:val="00760D42"/>
    <w:rsid w:val="00761A0D"/>
    <w:rsid w:val="00761C22"/>
    <w:rsid w:val="00761C5E"/>
    <w:rsid w:val="00761C82"/>
    <w:rsid w:val="00761E24"/>
    <w:rsid w:val="00762034"/>
    <w:rsid w:val="0076236A"/>
    <w:rsid w:val="007623B0"/>
    <w:rsid w:val="00762A7D"/>
    <w:rsid w:val="00763020"/>
    <w:rsid w:val="0076392A"/>
    <w:rsid w:val="007639E2"/>
    <w:rsid w:val="00763B9E"/>
    <w:rsid w:val="00764218"/>
    <w:rsid w:val="00764246"/>
    <w:rsid w:val="00764588"/>
    <w:rsid w:val="007648FE"/>
    <w:rsid w:val="00764B39"/>
    <w:rsid w:val="00764B90"/>
    <w:rsid w:val="007662CC"/>
    <w:rsid w:val="007663A9"/>
    <w:rsid w:val="007664EA"/>
    <w:rsid w:val="007665D7"/>
    <w:rsid w:val="007667C4"/>
    <w:rsid w:val="00767032"/>
    <w:rsid w:val="007670FC"/>
    <w:rsid w:val="00767282"/>
    <w:rsid w:val="007678B9"/>
    <w:rsid w:val="00767DDD"/>
    <w:rsid w:val="00767F7F"/>
    <w:rsid w:val="007703EA"/>
    <w:rsid w:val="00770610"/>
    <w:rsid w:val="00770875"/>
    <w:rsid w:val="00770A2A"/>
    <w:rsid w:val="00770C49"/>
    <w:rsid w:val="00770D1B"/>
    <w:rsid w:val="007711D3"/>
    <w:rsid w:val="0077130E"/>
    <w:rsid w:val="007713D7"/>
    <w:rsid w:val="00771BF6"/>
    <w:rsid w:val="007721DD"/>
    <w:rsid w:val="0077249A"/>
    <w:rsid w:val="0077262C"/>
    <w:rsid w:val="00772A29"/>
    <w:rsid w:val="00772E6E"/>
    <w:rsid w:val="007738AF"/>
    <w:rsid w:val="00773B3E"/>
    <w:rsid w:val="00773D04"/>
    <w:rsid w:val="00773E65"/>
    <w:rsid w:val="00773E8E"/>
    <w:rsid w:val="00773EE9"/>
    <w:rsid w:val="007741B0"/>
    <w:rsid w:val="007745D3"/>
    <w:rsid w:val="007746DC"/>
    <w:rsid w:val="00774A6A"/>
    <w:rsid w:val="00774CD2"/>
    <w:rsid w:val="00775233"/>
    <w:rsid w:val="0077558B"/>
    <w:rsid w:val="007756E4"/>
    <w:rsid w:val="00775865"/>
    <w:rsid w:val="00776667"/>
    <w:rsid w:val="00776874"/>
    <w:rsid w:val="0077726C"/>
    <w:rsid w:val="0077768F"/>
    <w:rsid w:val="00777AAB"/>
    <w:rsid w:val="007800FD"/>
    <w:rsid w:val="00780108"/>
    <w:rsid w:val="007802D3"/>
    <w:rsid w:val="007805C9"/>
    <w:rsid w:val="007809C9"/>
    <w:rsid w:val="00780AF5"/>
    <w:rsid w:val="00780CC2"/>
    <w:rsid w:val="00780FF9"/>
    <w:rsid w:val="00781785"/>
    <w:rsid w:val="007825A0"/>
    <w:rsid w:val="0078285C"/>
    <w:rsid w:val="007829A6"/>
    <w:rsid w:val="00782B30"/>
    <w:rsid w:val="00782FEE"/>
    <w:rsid w:val="00783489"/>
    <w:rsid w:val="00783A36"/>
    <w:rsid w:val="00783A44"/>
    <w:rsid w:val="00783D15"/>
    <w:rsid w:val="00784063"/>
    <w:rsid w:val="007845D4"/>
    <w:rsid w:val="007846EE"/>
    <w:rsid w:val="00784DF0"/>
    <w:rsid w:val="00784E6C"/>
    <w:rsid w:val="00785A38"/>
    <w:rsid w:val="00785A9B"/>
    <w:rsid w:val="00785C2A"/>
    <w:rsid w:val="00785CCB"/>
    <w:rsid w:val="007862A9"/>
    <w:rsid w:val="0078668F"/>
    <w:rsid w:val="007867F3"/>
    <w:rsid w:val="00786815"/>
    <w:rsid w:val="007868C8"/>
    <w:rsid w:val="00786DAA"/>
    <w:rsid w:val="0078700E"/>
    <w:rsid w:val="00787312"/>
    <w:rsid w:val="00787339"/>
    <w:rsid w:val="00787352"/>
    <w:rsid w:val="0078753E"/>
    <w:rsid w:val="00787615"/>
    <w:rsid w:val="00787B59"/>
    <w:rsid w:val="00787F86"/>
    <w:rsid w:val="007900A9"/>
    <w:rsid w:val="00790C1F"/>
    <w:rsid w:val="00790C61"/>
    <w:rsid w:val="007910C3"/>
    <w:rsid w:val="00791110"/>
    <w:rsid w:val="0079124F"/>
    <w:rsid w:val="00791250"/>
    <w:rsid w:val="0079150D"/>
    <w:rsid w:val="00791715"/>
    <w:rsid w:val="00791DE1"/>
    <w:rsid w:val="00792065"/>
    <w:rsid w:val="00792419"/>
    <w:rsid w:val="00792A1D"/>
    <w:rsid w:val="00793181"/>
    <w:rsid w:val="0079319C"/>
    <w:rsid w:val="00793276"/>
    <w:rsid w:val="007936BD"/>
    <w:rsid w:val="007936C1"/>
    <w:rsid w:val="00793AE6"/>
    <w:rsid w:val="00793D0B"/>
    <w:rsid w:val="00793D45"/>
    <w:rsid w:val="00794820"/>
    <w:rsid w:val="00794B14"/>
    <w:rsid w:val="00794BBF"/>
    <w:rsid w:val="0079532A"/>
    <w:rsid w:val="007953E7"/>
    <w:rsid w:val="00795E20"/>
    <w:rsid w:val="00796787"/>
    <w:rsid w:val="00796C3E"/>
    <w:rsid w:val="00796E8B"/>
    <w:rsid w:val="007975BD"/>
    <w:rsid w:val="007979AB"/>
    <w:rsid w:val="00797B7E"/>
    <w:rsid w:val="007A05A2"/>
    <w:rsid w:val="007A0715"/>
    <w:rsid w:val="007A0833"/>
    <w:rsid w:val="007A0B42"/>
    <w:rsid w:val="007A0DFC"/>
    <w:rsid w:val="007A10D6"/>
    <w:rsid w:val="007A12EE"/>
    <w:rsid w:val="007A138C"/>
    <w:rsid w:val="007A1834"/>
    <w:rsid w:val="007A1856"/>
    <w:rsid w:val="007A1DBD"/>
    <w:rsid w:val="007A1E52"/>
    <w:rsid w:val="007A2497"/>
    <w:rsid w:val="007A26B6"/>
    <w:rsid w:val="007A2A4D"/>
    <w:rsid w:val="007A2A5A"/>
    <w:rsid w:val="007A2B58"/>
    <w:rsid w:val="007A31B2"/>
    <w:rsid w:val="007A34BD"/>
    <w:rsid w:val="007A3629"/>
    <w:rsid w:val="007A385C"/>
    <w:rsid w:val="007A38F5"/>
    <w:rsid w:val="007A3D24"/>
    <w:rsid w:val="007A4860"/>
    <w:rsid w:val="007A4CAF"/>
    <w:rsid w:val="007A4EE3"/>
    <w:rsid w:val="007A4F7B"/>
    <w:rsid w:val="007A5054"/>
    <w:rsid w:val="007A522E"/>
    <w:rsid w:val="007A57F9"/>
    <w:rsid w:val="007A5841"/>
    <w:rsid w:val="007A61E4"/>
    <w:rsid w:val="007A6668"/>
    <w:rsid w:val="007A6A39"/>
    <w:rsid w:val="007A704A"/>
    <w:rsid w:val="007A7242"/>
    <w:rsid w:val="007A7AFB"/>
    <w:rsid w:val="007B0222"/>
    <w:rsid w:val="007B036E"/>
    <w:rsid w:val="007B0851"/>
    <w:rsid w:val="007B12B0"/>
    <w:rsid w:val="007B1392"/>
    <w:rsid w:val="007B15C9"/>
    <w:rsid w:val="007B1785"/>
    <w:rsid w:val="007B1DA8"/>
    <w:rsid w:val="007B209B"/>
    <w:rsid w:val="007B215A"/>
    <w:rsid w:val="007B22DC"/>
    <w:rsid w:val="007B230A"/>
    <w:rsid w:val="007B24F0"/>
    <w:rsid w:val="007B29F7"/>
    <w:rsid w:val="007B2A52"/>
    <w:rsid w:val="007B2A73"/>
    <w:rsid w:val="007B34DC"/>
    <w:rsid w:val="007B34E9"/>
    <w:rsid w:val="007B3A4D"/>
    <w:rsid w:val="007B3A98"/>
    <w:rsid w:val="007B4008"/>
    <w:rsid w:val="007B49C4"/>
    <w:rsid w:val="007B4D74"/>
    <w:rsid w:val="007B4DC6"/>
    <w:rsid w:val="007B4EA9"/>
    <w:rsid w:val="007B503A"/>
    <w:rsid w:val="007B5132"/>
    <w:rsid w:val="007B5734"/>
    <w:rsid w:val="007B5A9F"/>
    <w:rsid w:val="007B69B8"/>
    <w:rsid w:val="007B69E8"/>
    <w:rsid w:val="007B6C17"/>
    <w:rsid w:val="007B6CF7"/>
    <w:rsid w:val="007B743C"/>
    <w:rsid w:val="007B7704"/>
    <w:rsid w:val="007C009E"/>
    <w:rsid w:val="007C0165"/>
    <w:rsid w:val="007C048B"/>
    <w:rsid w:val="007C0508"/>
    <w:rsid w:val="007C057E"/>
    <w:rsid w:val="007C1541"/>
    <w:rsid w:val="007C15C1"/>
    <w:rsid w:val="007C19DF"/>
    <w:rsid w:val="007C25F8"/>
    <w:rsid w:val="007C2724"/>
    <w:rsid w:val="007C2F98"/>
    <w:rsid w:val="007C30AE"/>
    <w:rsid w:val="007C3637"/>
    <w:rsid w:val="007C3FF1"/>
    <w:rsid w:val="007C4483"/>
    <w:rsid w:val="007C44DC"/>
    <w:rsid w:val="007C4545"/>
    <w:rsid w:val="007C45F7"/>
    <w:rsid w:val="007C46D1"/>
    <w:rsid w:val="007C47C2"/>
    <w:rsid w:val="007C4822"/>
    <w:rsid w:val="007C491B"/>
    <w:rsid w:val="007C4DEF"/>
    <w:rsid w:val="007C4F09"/>
    <w:rsid w:val="007C5294"/>
    <w:rsid w:val="007C5440"/>
    <w:rsid w:val="007C5468"/>
    <w:rsid w:val="007C55F1"/>
    <w:rsid w:val="007C56AF"/>
    <w:rsid w:val="007C58AB"/>
    <w:rsid w:val="007C5A4C"/>
    <w:rsid w:val="007C5BF3"/>
    <w:rsid w:val="007C5E27"/>
    <w:rsid w:val="007C6148"/>
    <w:rsid w:val="007C6900"/>
    <w:rsid w:val="007C69A9"/>
    <w:rsid w:val="007C6C60"/>
    <w:rsid w:val="007C6D07"/>
    <w:rsid w:val="007C7039"/>
    <w:rsid w:val="007C745C"/>
    <w:rsid w:val="007C7578"/>
    <w:rsid w:val="007C76E4"/>
    <w:rsid w:val="007C7C53"/>
    <w:rsid w:val="007C7E7C"/>
    <w:rsid w:val="007C7F4C"/>
    <w:rsid w:val="007D00E5"/>
    <w:rsid w:val="007D065E"/>
    <w:rsid w:val="007D0940"/>
    <w:rsid w:val="007D0A94"/>
    <w:rsid w:val="007D0B22"/>
    <w:rsid w:val="007D0BD6"/>
    <w:rsid w:val="007D0D5B"/>
    <w:rsid w:val="007D1258"/>
    <w:rsid w:val="007D143D"/>
    <w:rsid w:val="007D1727"/>
    <w:rsid w:val="007D1B92"/>
    <w:rsid w:val="007D240D"/>
    <w:rsid w:val="007D25B9"/>
    <w:rsid w:val="007D261C"/>
    <w:rsid w:val="007D29AD"/>
    <w:rsid w:val="007D2BD3"/>
    <w:rsid w:val="007D2BE8"/>
    <w:rsid w:val="007D3066"/>
    <w:rsid w:val="007D356E"/>
    <w:rsid w:val="007D36F6"/>
    <w:rsid w:val="007D3C4D"/>
    <w:rsid w:val="007D421B"/>
    <w:rsid w:val="007D4490"/>
    <w:rsid w:val="007D4579"/>
    <w:rsid w:val="007D47F2"/>
    <w:rsid w:val="007D51EB"/>
    <w:rsid w:val="007D542E"/>
    <w:rsid w:val="007D58BB"/>
    <w:rsid w:val="007D5B42"/>
    <w:rsid w:val="007D6365"/>
    <w:rsid w:val="007D646F"/>
    <w:rsid w:val="007D6835"/>
    <w:rsid w:val="007D6A93"/>
    <w:rsid w:val="007D7CDE"/>
    <w:rsid w:val="007D7DC7"/>
    <w:rsid w:val="007D7EFB"/>
    <w:rsid w:val="007E01AF"/>
    <w:rsid w:val="007E0772"/>
    <w:rsid w:val="007E0D31"/>
    <w:rsid w:val="007E0E04"/>
    <w:rsid w:val="007E0EF9"/>
    <w:rsid w:val="007E1FC2"/>
    <w:rsid w:val="007E21D9"/>
    <w:rsid w:val="007E2943"/>
    <w:rsid w:val="007E2BDD"/>
    <w:rsid w:val="007E2C44"/>
    <w:rsid w:val="007E3313"/>
    <w:rsid w:val="007E4144"/>
    <w:rsid w:val="007E45CA"/>
    <w:rsid w:val="007E48C0"/>
    <w:rsid w:val="007E4967"/>
    <w:rsid w:val="007E4DA9"/>
    <w:rsid w:val="007E5885"/>
    <w:rsid w:val="007E5A9D"/>
    <w:rsid w:val="007E5E29"/>
    <w:rsid w:val="007E61B7"/>
    <w:rsid w:val="007E64FF"/>
    <w:rsid w:val="007E6910"/>
    <w:rsid w:val="007E6A29"/>
    <w:rsid w:val="007E6C52"/>
    <w:rsid w:val="007E6F62"/>
    <w:rsid w:val="007E6FEA"/>
    <w:rsid w:val="007E7796"/>
    <w:rsid w:val="007E7C7B"/>
    <w:rsid w:val="007E7CD0"/>
    <w:rsid w:val="007E7E0F"/>
    <w:rsid w:val="007E7F8F"/>
    <w:rsid w:val="007F015E"/>
    <w:rsid w:val="007F1160"/>
    <w:rsid w:val="007F1717"/>
    <w:rsid w:val="007F19B9"/>
    <w:rsid w:val="007F21B0"/>
    <w:rsid w:val="007F24A3"/>
    <w:rsid w:val="007F250C"/>
    <w:rsid w:val="007F2773"/>
    <w:rsid w:val="007F28F6"/>
    <w:rsid w:val="007F2B9C"/>
    <w:rsid w:val="007F2DE9"/>
    <w:rsid w:val="007F2E07"/>
    <w:rsid w:val="007F2FDB"/>
    <w:rsid w:val="007F341B"/>
    <w:rsid w:val="007F34E7"/>
    <w:rsid w:val="007F3682"/>
    <w:rsid w:val="007F3943"/>
    <w:rsid w:val="007F3AA2"/>
    <w:rsid w:val="007F3B45"/>
    <w:rsid w:val="007F3D8D"/>
    <w:rsid w:val="007F3E3E"/>
    <w:rsid w:val="007F3E43"/>
    <w:rsid w:val="007F3EB6"/>
    <w:rsid w:val="007F4651"/>
    <w:rsid w:val="007F4A9E"/>
    <w:rsid w:val="007F4ABC"/>
    <w:rsid w:val="007F4B8D"/>
    <w:rsid w:val="007F4CC8"/>
    <w:rsid w:val="007F4D45"/>
    <w:rsid w:val="007F510F"/>
    <w:rsid w:val="007F53A8"/>
    <w:rsid w:val="007F53B9"/>
    <w:rsid w:val="007F53D5"/>
    <w:rsid w:val="007F5448"/>
    <w:rsid w:val="007F545B"/>
    <w:rsid w:val="007F59B2"/>
    <w:rsid w:val="007F5F3D"/>
    <w:rsid w:val="007F5F62"/>
    <w:rsid w:val="007F6607"/>
    <w:rsid w:val="007F7368"/>
    <w:rsid w:val="007F74F6"/>
    <w:rsid w:val="007F7865"/>
    <w:rsid w:val="007F7D7E"/>
    <w:rsid w:val="007F7E6C"/>
    <w:rsid w:val="007F7E6E"/>
    <w:rsid w:val="007F7FB3"/>
    <w:rsid w:val="0080026A"/>
    <w:rsid w:val="00800340"/>
    <w:rsid w:val="00800549"/>
    <w:rsid w:val="00800845"/>
    <w:rsid w:val="00800953"/>
    <w:rsid w:val="00801255"/>
    <w:rsid w:val="0080197B"/>
    <w:rsid w:val="00801C1F"/>
    <w:rsid w:val="00801C4F"/>
    <w:rsid w:val="00801FC3"/>
    <w:rsid w:val="00801FD0"/>
    <w:rsid w:val="008021D3"/>
    <w:rsid w:val="00802849"/>
    <w:rsid w:val="00802971"/>
    <w:rsid w:val="00802E49"/>
    <w:rsid w:val="00803316"/>
    <w:rsid w:val="008038E3"/>
    <w:rsid w:val="008038F6"/>
    <w:rsid w:val="008040C5"/>
    <w:rsid w:val="00804558"/>
    <w:rsid w:val="00804712"/>
    <w:rsid w:val="008047AE"/>
    <w:rsid w:val="00804942"/>
    <w:rsid w:val="00804B21"/>
    <w:rsid w:val="00804CF4"/>
    <w:rsid w:val="00804D15"/>
    <w:rsid w:val="00805483"/>
    <w:rsid w:val="008054D1"/>
    <w:rsid w:val="00805578"/>
    <w:rsid w:val="008056A1"/>
    <w:rsid w:val="0080585D"/>
    <w:rsid w:val="00805D6F"/>
    <w:rsid w:val="00805EFB"/>
    <w:rsid w:val="00806273"/>
    <w:rsid w:val="0080649E"/>
    <w:rsid w:val="0080657B"/>
    <w:rsid w:val="0080661F"/>
    <w:rsid w:val="008067A6"/>
    <w:rsid w:val="00806EFD"/>
    <w:rsid w:val="00806F98"/>
    <w:rsid w:val="00807074"/>
    <w:rsid w:val="00807228"/>
    <w:rsid w:val="00807562"/>
    <w:rsid w:val="008076FE"/>
    <w:rsid w:val="00807E43"/>
    <w:rsid w:val="00807F69"/>
    <w:rsid w:val="00810368"/>
    <w:rsid w:val="00810536"/>
    <w:rsid w:val="008108B5"/>
    <w:rsid w:val="00810A25"/>
    <w:rsid w:val="00810BE7"/>
    <w:rsid w:val="00811336"/>
    <w:rsid w:val="0081165D"/>
    <w:rsid w:val="00811B28"/>
    <w:rsid w:val="00812061"/>
    <w:rsid w:val="00812522"/>
    <w:rsid w:val="0081270F"/>
    <w:rsid w:val="00812862"/>
    <w:rsid w:val="00812A05"/>
    <w:rsid w:val="00812A7A"/>
    <w:rsid w:val="00812B10"/>
    <w:rsid w:val="00812DC8"/>
    <w:rsid w:val="00812EBA"/>
    <w:rsid w:val="0081362B"/>
    <w:rsid w:val="00813F2B"/>
    <w:rsid w:val="0081450B"/>
    <w:rsid w:val="0081467F"/>
    <w:rsid w:val="0081492C"/>
    <w:rsid w:val="00814994"/>
    <w:rsid w:val="00815251"/>
    <w:rsid w:val="00815339"/>
    <w:rsid w:val="0081591F"/>
    <w:rsid w:val="00815A99"/>
    <w:rsid w:val="00815E5B"/>
    <w:rsid w:val="00815FAF"/>
    <w:rsid w:val="008160D1"/>
    <w:rsid w:val="008162B3"/>
    <w:rsid w:val="0081640D"/>
    <w:rsid w:val="00816829"/>
    <w:rsid w:val="0081687A"/>
    <w:rsid w:val="008169A1"/>
    <w:rsid w:val="00817119"/>
    <w:rsid w:val="00817211"/>
    <w:rsid w:val="00817879"/>
    <w:rsid w:val="00820160"/>
    <w:rsid w:val="0082022B"/>
    <w:rsid w:val="0082041D"/>
    <w:rsid w:val="0082047E"/>
    <w:rsid w:val="00820C3D"/>
    <w:rsid w:val="00820E0E"/>
    <w:rsid w:val="00821237"/>
    <w:rsid w:val="008216DA"/>
    <w:rsid w:val="008217C3"/>
    <w:rsid w:val="00821868"/>
    <w:rsid w:val="008219B8"/>
    <w:rsid w:val="00821ECA"/>
    <w:rsid w:val="00822414"/>
    <w:rsid w:val="00822C0D"/>
    <w:rsid w:val="00822CB9"/>
    <w:rsid w:val="00822E28"/>
    <w:rsid w:val="00822E2C"/>
    <w:rsid w:val="00823116"/>
    <w:rsid w:val="0082350E"/>
    <w:rsid w:val="00823594"/>
    <w:rsid w:val="008235E9"/>
    <w:rsid w:val="00823658"/>
    <w:rsid w:val="008239BF"/>
    <w:rsid w:val="00823B36"/>
    <w:rsid w:val="008243B0"/>
    <w:rsid w:val="008244DA"/>
    <w:rsid w:val="0082488C"/>
    <w:rsid w:val="008251E7"/>
    <w:rsid w:val="00825417"/>
    <w:rsid w:val="008257E8"/>
    <w:rsid w:val="008262BC"/>
    <w:rsid w:val="008266A2"/>
    <w:rsid w:val="008267AE"/>
    <w:rsid w:val="008271AC"/>
    <w:rsid w:val="00827AA2"/>
    <w:rsid w:val="0083030A"/>
    <w:rsid w:val="00830B33"/>
    <w:rsid w:val="0083118A"/>
    <w:rsid w:val="00831784"/>
    <w:rsid w:val="00831CF4"/>
    <w:rsid w:val="00831D02"/>
    <w:rsid w:val="00832727"/>
    <w:rsid w:val="00832F9F"/>
    <w:rsid w:val="008337C1"/>
    <w:rsid w:val="00833C67"/>
    <w:rsid w:val="00833D30"/>
    <w:rsid w:val="0083415A"/>
    <w:rsid w:val="0083451D"/>
    <w:rsid w:val="00834CF6"/>
    <w:rsid w:val="00834F23"/>
    <w:rsid w:val="00834F8C"/>
    <w:rsid w:val="00835035"/>
    <w:rsid w:val="0083519E"/>
    <w:rsid w:val="00835303"/>
    <w:rsid w:val="008353B6"/>
    <w:rsid w:val="008354F7"/>
    <w:rsid w:val="00835696"/>
    <w:rsid w:val="00835ADD"/>
    <w:rsid w:val="00835F79"/>
    <w:rsid w:val="00836A67"/>
    <w:rsid w:val="00836CEB"/>
    <w:rsid w:val="00836F42"/>
    <w:rsid w:val="00837446"/>
    <w:rsid w:val="00840650"/>
    <w:rsid w:val="00840BBE"/>
    <w:rsid w:val="00840C36"/>
    <w:rsid w:val="00840C84"/>
    <w:rsid w:val="00840EAF"/>
    <w:rsid w:val="008410C2"/>
    <w:rsid w:val="008414FF"/>
    <w:rsid w:val="008416BF"/>
    <w:rsid w:val="008416FD"/>
    <w:rsid w:val="0084188F"/>
    <w:rsid w:val="00841946"/>
    <w:rsid w:val="008420A3"/>
    <w:rsid w:val="00842611"/>
    <w:rsid w:val="00842659"/>
    <w:rsid w:val="008426CD"/>
    <w:rsid w:val="0084293A"/>
    <w:rsid w:val="00842C44"/>
    <w:rsid w:val="0084339E"/>
    <w:rsid w:val="0084354C"/>
    <w:rsid w:val="0084375D"/>
    <w:rsid w:val="0084387E"/>
    <w:rsid w:val="008440D8"/>
    <w:rsid w:val="0084416F"/>
    <w:rsid w:val="00844462"/>
    <w:rsid w:val="008448FA"/>
    <w:rsid w:val="008449FE"/>
    <w:rsid w:val="00844A62"/>
    <w:rsid w:val="00844D8D"/>
    <w:rsid w:val="00845515"/>
    <w:rsid w:val="00845520"/>
    <w:rsid w:val="008456FF"/>
    <w:rsid w:val="008459B7"/>
    <w:rsid w:val="00845FC4"/>
    <w:rsid w:val="008461B0"/>
    <w:rsid w:val="00846333"/>
    <w:rsid w:val="00846859"/>
    <w:rsid w:val="00846B10"/>
    <w:rsid w:val="00846C17"/>
    <w:rsid w:val="00846C9F"/>
    <w:rsid w:val="00846D16"/>
    <w:rsid w:val="00846F4C"/>
    <w:rsid w:val="008471AF"/>
    <w:rsid w:val="0085044B"/>
    <w:rsid w:val="008508D9"/>
    <w:rsid w:val="00850E2D"/>
    <w:rsid w:val="00850EE1"/>
    <w:rsid w:val="0085165B"/>
    <w:rsid w:val="0085179C"/>
    <w:rsid w:val="008518FA"/>
    <w:rsid w:val="00851903"/>
    <w:rsid w:val="00851993"/>
    <w:rsid w:val="00851B3F"/>
    <w:rsid w:val="00851DCB"/>
    <w:rsid w:val="00851E0C"/>
    <w:rsid w:val="00851F5F"/>
    <w:rsid w:val="00851F8A"/>
    <w:rsid w:val="00852142"/>
    <w:rsid w:val="0085278F"/>
    <w:rsid w:val="008528CF"/>
    <w:rsid w:val="00852A3A"/>
    <w:rsid w:val="00852BA9"/>
    <w:rsid w:val="00853510"/>
    <w:rsid w:val="00853E5B"/>
    <w:rsid w:val="00854029"/>
    <w:rsid w:val="00854123"/>
    <w:rsid w:val="0085428F"/>
    <w:rsid w:val="0085429D"/>
    <w:rsid w:val="008542D1"/>
    <w:rsid w:val="00854465"/>
    <w:rsid w:val="008544BD"/>
    <w:rsid w:val="00854946"/>
    <w:rsid w:val="00854976"/>
    <w:rsid w:val="00854993"/>
    <w:rsid w:val="00854B62"/>
    <w:rsid w:val="00854B77"/>
    <w:rsid w:val="00854B7E"/>
    <w:rsid w:val="00854E58"/>
    <w:rsid w:val="008558ED"/>
    <w:rsid w:val="00855CFC"/>
    <w:rsid w:val="00855FD5"/>
    <w:rsid w:val="00856049"/>
    <w:rsid w:val="0085632A"/>
    <w:rsid w:val="008568BB"/>
    <w:rsid w:val="00856C6B"/>
    <w:rsid w:val="00856E96"/>
    <w:rsid w:val="00856F5E"/>
    <w:rsid w:val="0085731F"/>
    <w:rsid w:val="00857822"/>
    <w:rsid w:val="00857C93"/>
    <w:rsid w:val="0086066C"/>
    <w:rsid w:val="00860D51"/>
    <w:rsid w:val="008611C1"/>
    <w:rsid w:val="0086151A"/>
    <w:rsid w:val="0086173C"/>
    <w:rsid w:val="0086187E"/>
    <w:rsid w:val="00861DA4"/>
    <w:rsid w:val="00861EC4"/>
    <w:rsid w:val="00862330"/>
    <w:rsid w:val="0086254A"/>
    <w:rsid w:val="0086264B"/>
    <w:rsid w:val="008626E9"/>
    <w:rsid w:val="008626EB"/>
    <w:rsid w:val="00862EFD"/>
    <w:rsid w:val="008634ED"/>
    <w:rsid w:val="008638FB"/>
    <w:rsid w:val="00863CC8"/>
    <w:rsid w:val="00863FE8"/>
    <w:rsid w:val="0086444C"/>
    <w:rsid w:val="008644B1"/>
    <w:rsid w:val="00864675"/>
    <w:rsid w:val="00864768"/>
    <w:rsid w:val="00864B19"/>
    <w:rsid w:val="00864F62"/>
    <w:rsid w:val="0086534E"/>
    <w:rsid w:val="008658AB"/>
    <w:rsid w:val="00865B18"/>
    <w:rsid w:val="00865BF1"/>
    <w:rsid w:val="00865DAD"/>
    <w:rsid w:val="00865FCE"/>
    <w:rsid w:val="00866182"/>
    <w:rsid w:val="0086672E"/>
    <w:rsid w:val="00866BB4"/>
    <w:rsid w:val="00866CC3"/>
    <w:rsid w:val="00866CF2"/>
    <w:rsid w:val="008671A5"/>
    <w:rsid w:val="008675EC"/>
    <w:rsid w:val="008679CE"/>
    <w:rsid w:val="00867B12"/>
    <w:rsid w:val="00867DA7"/>
    <w:rsid w:val="008705A8"/>
    <w:rsid w:val="008710E2"/>
    <w:rsid w:val="008712CF"/>
    <w:rsid w:val="0087185F"/>
    <w:rsid w:val="008718FC"/>
    <w:rsid w:val="00871CC2"/>
    <w:rsid w:val="00871F4F"/>
    <w:rsid w:val="0087200D"/>
    <w:rsid w:val="00872131"/>
    <w:rsid w:val="008723B8"/>
    <w:rsid w:val="008725F5"/>
    <w:rsid w:val="0087282A"/>
    <w:rsid w:val="00872B20"/>
    <w:rsid w:val="00872C87"/>
    <w:rsid w:val="00872D42"/>
    <w:rsid w:val="00873147"/>
    <w:rsid w:val="0087357A"/>
    <w:rsid w:val="00873664"/>
    <w:rsid w:val="00873C1E"/>
    <w:rsid w:val="00873CD6"/>
    <w:rsid w:val="00873DE6"/>
    <w:rsid w:val="00873FBF"/>
    <w:rsid w:val="00874178"/>
    <w:rsid w:val="00874272"/>
    <w:rsid w:val="008743DF"/>
    <w:rsid w:val="00874C66"/>
    <w:rsid w:val="00874F67"/>
    <w:rsid w:val="008756B7"/>
    <w:rsid w:val="0087579C"/>
    <w:rsid w:val="00875CC0"/>
    <w:rsid w:val="00875F4F"/>
    <w:rsid w:val="00876116"/>
    <w:rsid w:val="008762D8"/>
    <w:rsid w:val="008766DD"/>
    <w:rsid w:val="008771F3"/>
    <w:rsid w:val="008772D9"/>
    <w:rsid w:val="00877A05"/>
    <w:rsid w:val="00877A58"/>
    <w:rsid w:val="00877B29"/>
    <w:rsid w:val="00880585"/>
    <w:rsid w:val="008805CE"/>
    <w:rsid w:val="008808B9"/>
    <w:rsid w:val="008809B4"/>
    <w:rsid w:val="00880B30"/>
    <w:rsid w:val="00880B6E"/>
    <w:rsid w:val="00880BE1"/>
    <w:rsid w:val="00880F1D"/>
    <w:rsid w:val="00881002"/>
    <w:rsid w:val="00881147"/>
    <w:rsid w:val="0088172A"/>
    <w:rsid w:val="00881D54"/>
    <w:rsid w:val="00881F90"/>
    <w:rsid w:val="00882433"/>
    <w:rsid w:val="00882A4F"/>
    <w:rsid w:val="00882F50"/>
    <w:rsid w:val="008831EB"/>
    <w:rsid w:val="00884487"/>
    <w:rsid w:val="00884AFE"/>
    <w:rsid w:val="00885056"/>
    <w:rsid w:val="008851C4"/>
    <w:rsid w:val="0088541F"/>
    <w:rsid w:val="0088559D"/>
    <w:rsid w:val="00885696"/>
    <w:rsid w:val="0088570A"/>
    <w:rsid w:val="00885A0E"/>
    <w:rsid w:val="00885E9D"/>
    <w:rsid w:val="0088635B"/>
    <w:rsid w:val="0088636E"/>
    <w:rsid w:val="008864A7"/>
    <w:rsid w:val="0088666A"/>
    <w:rsid w:val="0088688A"/>
    <w:rsid w:val="00886A9E"/>
    <w:rsid w:val="00886AE4"/>
    <w:rsid w:val="00886DC9"/>
    <w:rsid w:val="00886EC7"/>
    <w:rsid w:val="00887184"/>
    <w:rsid w:val="00887877"/>
    <w:rsid w:val="008879EA"/>
    <w:rsid w:val="00887FF6"/>
    <w:rsid w:val="00890139"/>
    <w:rsid w:val="00890B85"/>
    <w:rsid w:val="008913E6"/>
    <w:rsid w:val="0089160E"/>
    <w:rsid w:val="008921B1"/>
    <w:rsid w:val="00892687"/>
    <w:rsid w:val="008927B2"/>
    <w:rsid w:val="00892A00"/>
    <w:rsid w:val="00893067"/>
    <w:rsid w:val="00893386"/>
    <w:rsid w:val="0089351C"/>
    <w:rsid w:val="0089363C"/>
    <w:rsid w:val="00893657"/>
    <w:rsid w:val="00893671"/>
    <w:rsid w:val="0089399B"/>
    <w:rsid w:val="00893C24"/>
    <w:rsid w:val="00893DF6"/>
    <w:rsid w:val="00894076"/>
    <w:rsid w:val="008941FB"/>
    <w:rsid w:val="00894291"/>
    <w:rsid w:val="008943D1"/>
    <w:rsid w:val="00894565"/>
    <w:rsid w:val="008947A1"/>
    <w:rsid w:val="00894A9C"/>
    <w:rsid w:val="00894EAE"/>
    <w:rsid w:val="008950D6"/>
    <w:rsid w:val="00895B46"/>
    <w:rsid w:val="00896474"/>
    <w:rsid w:val="00896DBC"/>
    <w:rsid w:val="00897677"/>
    <w:rsid w:val="00897B59"/>
    <w:rsid w:val="00897C6C"/>
    <w:rsid w:val="00897D1A"/>
    <w:rsid w:val="008A0905"/>
    <w:rsid w:val="008A0B02"/>
    <w:rsid w:val="008A0E0D"/>
    <w:rsid w:val="008A0F2E"/>
    <w:rsid w:val="008A1473"/>
    <w:rsid w:val="008A155C"/>
    <w:rsid w:val="008A180E"/>
    <w:rsid w:val="008A1978"/>
    <w:rsid w:val="008A197C"/>
    <w:rsid w:val="008A1AA8"/>
    <w:rsid w:val="008A20DA"/>
    <w:rsid w:val="008A23D3"/>
    <w:rsid w:val="008A2545"/>
    <w:rsid w:val="008A2591"/>
    <w:rsid w:val="008A2636"/>
    <w:rsid w:val="008A2B22"/>
    <w:rsid w:val="008A2EA5"/>
    <w:rsid w:val="008A35DB"/>
    <w:rsid w:val="008A3AF9"/>
    <w:rsid w:val="008A3E24"/>
    <w:rsid w:val="008A3FBE"/>
    <w:rsid w:val="008A4013"/>
    <w:rsid w:val="008A41F6"/>
    <w:rsid w:val="008A46A0"/>
    <w:rsid w:val="008A493B"/>
    <w:rsid w:val="008A4C9C"/>
    <w:rsid w:val="008A4E15"/>
    <w:rsid w:val="008A55A4"/>
    <w:rsid w:val="008A58EA"/>
    <w:rsid w:val="008A5CF2"/>
    <w:rsid w:val="008A6041"/>
    <w:rsid w:val="008A60F8"/>
    <w:rsid w:val="008A616C"/>
    <w:rsid w:val="008A6570"/>
    <w:rsid w:val="008A69FE"/>
    <w:rsid w:val="008A6EC7"/>
    <w:rsid w:val="008A6F36"/>
    <w:rsid w:val="008A7286"/>
    <w:rsid w:val="008A7309"/>
    <w:rsid w:val="008A7346"/>
    <w:rsid w:val="008A7B50"/>
    <w:rsid w:val="008B00E5"/>
    <w:rsid w:val="008B0641"/>
    <w:rsid w:val="008B0ACA"/>
    <w:rsid w:val="008B0EB7"/>
    <w:rsid w:val="008B138E"/>
    <w:rsid w:val="008B1782"/>
    <w:rsid w:val="008B1C78"/>
    <w:rsid w:val="008B1F87"/>
    <w:rsid w:val="008B264F"/>
    <w:rsid w:val="008B28BD"/>
    <w:rsid w:val="008B2990"/>
    <w:rsid w:val="008B2E96"/>
    <w:rsid w:val="008B2F53"/>
    <w:rsid w:val="008B3006"/>
    <w:rsid w:val="008B3139"/>
    <w:rsid w:val="008B382E"/>
    <w:rsid w:val="008B3B50"/>
    <w:rsid w:val="008B3D47"/>
    <w:rsid w:val="008B3ED9"/>
    <w:rsid w:val="008B44CB"/>
    <w:rsid w:val="008B46D2"/>
    <w:rsid w:val="008B4BCF"/>
    <w:rsid w:val="008B4E16"/>
    <w:rsid w:val="008B4FB7"/>
    <w:rsid w:val="008B5253"/>
    <w:rsid w:val="008B53B8"/>
    <w:rsid w:val="008B53D8"/>
    <w:rsid w:val="008B576D"/>
    <w:rsid w:val="008B589E"/>
    <w:rsid w:val="008B63BE"/>
    <w:rsid w:val="008B640E"/>
    <w:rsid w:val="008B6505"/>
    <w:rsid w:val="008B6636"/>
    <w:rsid w:val="008B688D"/>
    <w:rsid w:val="008B698F"/>
    <w:rsid w:val="008B6C72"/>
    <w:rsid w:val="008B70EE"/>
    <w:rsid w:val="008B715C"/>
    <w:rsid w:val="008B75B8"/>
    <w:rsid w:val="008B78AE"/>
    <w:rsid w:val="008B79A9"/>
    <w:rsid w:val="008B7E9D"/>
    <w:rsid w:val="008C07A1"/>
    <w:rsid w:val="008C088F"/>
    <w:rsid w:val="008C08EA"/>
    <w:rsid w:val="008C0A0C"/>
    <w:rsid w:val="008C0BB9"/>
    <w:rsid w:val="008C0EAD"/>
    <w:rsid w:val="008C1442"/>
    <w:rsid w:val="008C154C"/>
    <w:rsid w:val="008C1693"/>
    <w:rsid w:val="008C19D9"/>
    <w:rsid w:val="008C1A5E"/>
    <w:rsid w:val="008C1A81"/>
    <w:rsid w:val="008C1DBF"/>
    <w:rsid w:val="008C29FE"/>
    <w:rsid w:val="008C2E6A"/>
    <w:rsid w:val="008C2F99"/>
    <w:rsid w:val="008C32CA"/>
    <w:rsid w:val="008C3650"/>
    <w:rsid w:val="008C3967"/>
    <w:rsid w:val="008C4138"/>
    <w:rsid w:val="008C431E"/>
    <w:rsid w:val="008C47A8"/>
    <w:rsid w:val="008C54BD"/>
    <w:rsid w:val="008C54C4"/>
    <w:rsid w:val="008C5AF1"/>
    <w:rsid w:val="008C6056"/>
    <w:rsid w:val="008C656A"/>
    <w:rsid w:val="008C6628"/>
    <w:rsid w:val="008C6717"/>
    <w:rsid w:val="008C69C9"/>
    <w:rsid w:val="008C6E38"/>
    <w:rsid w:val="008C6F75"/>
    <w:rsid w:val="008C7306"/>
    <w:rsid w:val="008C7781"/>
    <w:rsid w:val="008C7C18"/>
    <w:rsid w:val="008C7CC4"/>
    <w:rsid w:val="008D047D"/>
    <w:rsid w:val="008D0B4C"/>
    <w:rsid w:val="008D0EE0"/>
    <w:rsid w:val="008D14C4"/>
    <w:rsid w:val="008D1964"/>
    <w:rsid w:val="008D211D"/>
    <w:rsid w:val="008D221A"/>
    <w:rsid w:val="008D24D6"/>
    <w:rsid w:val="008D24E1"/>
    <w:rsid w:val="008D280C"/>
    <w:rsid w:val="008D2C08"/>
    <w:rsid w:val="008D30DF"/>
    <w:rsid w:val="008D3257"/>
    <w:rsid w:val="008D369E"/>
    <w:rsid w:val="008D3A11"/>
    <w:rsid w:val="008D3ABB"/>
    <w:rsid w:val="008D3AFB"/>
    <w:rsid w:val="008D3E6A"/>
    <w:rsid w:val="008D4C4F"/>
    <w:rsid w:val="008D5379"/>
    <w:rsid w:val="008D53E2"/>
    <w:rsid w:val="008D5908"/>
    <w:rsid w:val="008D5AF1"/>
    <w:rsid w:val="008D5CCA"/>
    <w:rsid w:val="008D60A9"/>
    <w:rsid w:val="008D641F"/>
    <w:rsid w:val="008D670F"/>
    <w:rsid w:val="008D6A6E"/>
    <w:rsid w:val="008D781F"/>
    <w:rsid w:val="008D7DBE"/>
    <w:rsid w:val="008D7FB9"/>
    <w:rsid w:val="008E02A0"/>
    <w:rsid w:val="008E02B7"/>
    <w:rsid w:val="008E0338"/>
    <w:rsid w:val="008E0DF6"/>
    <w:rsid w:val="008E1106"/>
    <w:rsid w:val="008E1B1D"/>
    <w:rsid w:val="008E202C"/>
    <w:rsid w:val="008E20BE"/>
    <w:rsid w:val="008E22AB"/>
    <w:rsid w:val="008E22FD"/>
    <w:rsid w:val="008E241B"/>
    <w:rsid w:val="008E27A1"/>
    <w:rsid w:val="008E29EC"/>
    <w:rsid w:val="008E2AC1"/>
    <w:rsid w:val="008E3096"/>
    <w:rsid w:val="008E330C"/>
    <w:rsid w:val="008E332F"/>
    <w:rsid w:val="008E35FC"/>
    <w:rsid w:val="008E4114"/>
    <w:rsid w:val="008E41C7"/>
    <w:rsid w:val="008E44AB"/>
    <w:rsid w:val="008E45EA"/>
    <w:rsid w:val="008E4A1A"/>
    <w:rsid w:val="008E4D19"/>
    <w:rsid w:val="008E5592"/>
    <w:rsid w:val="008E5E01"/>
    <w:rsid w:val="008E6093"/>
    <w:rsid w:val="008E659F"/>
    <w:rsid w:val="008E681C"/>
    <w:rsid w:val="008E687D"/>
    <w:rsid w:val="008E69A3"/>
    <w:rsid w:val="008E6F26"/>
    <w:rsid w:val="008E706F"/>
    <w:rsid w:val="008E76A5"/>
    <w:rsid w:val="008E7CC9"/>
    <w:rsid w:val="008E7E4C"/>
    <w:rsid w:val="008E7FE4"/>
    <w:rsid w:val="008F00B0"/>
    <w:rsid w:val="008F02A1"/>
    <w:rsid w:val="008F0E69"/>
    <w:rsid w:val="008F1212"/>
    <w:rsid w:val="008F12FF"/>
    <w:rsid w:val="008F1E55"/>
    <w:rsid w:val="008F20A8"/>
    <w:rsid w:val="008F27B9"/>
    <w:rsid w:val="008F2840"/>
    <w:rsid w:val="008F2B5F"/>
    <w:rsid w:val="008F2B79"/>
    <w:rsid w:val="008F35D7"/>
    <w:rsid w:val="008F3A14"/>
    <w:rsid w:val="008F3D3E"/>
    <w:rsid w:val="008F3F31"/>
    <w:rsid w:val="008F4144"/>
    <w:rsid w:val="008F41B4"/>
    <w:rsid w:val="008F4655"/>
    <w:rsid w:val="008F4779"/>
    <w:rsid w:val="008F542B"/>
    <w:rsid w:val="008F5670"/>
    <w:rsid w:val="008F599F"/>
    <w:rsid w:val="008F5D6D"/>
    <w:rsid w:val="008F5F80"/>
    <w:rsid w:val="008F63CF"/>
    <w:rsid w:val="008F63DF"/>
    <w:rsid w:val="008F64E5"/>
    <w:rsid w:val="008F677E"/>
    <w:rsid w:val="008F6810"/>
    <w:rsid w:val="008F6B43"/>
    <w:rsid w:val="008F74F7"/>
    <w:rsid w:val="008F75CD"/>
    <w:rsid w:val="008F7C28"/>
    <w:rsid w:val="00900054"/>
    <w:rsid w:val="009002A7"/>
    <w:rsid w:val="0090034D"/>
    <w:rsid w:val="00900C16"/>
    <w:rsid w:val="00900D91"/>
    <w:rsid w:val="00900EC7"/>
    <w:rsid w:val="00900FFC"/>
    <w:rsid w:val="0090114C"/>
    <w:rsid w:val="009011BC"/>
    <w:rsid w:val="009011F9"/>
    <w:rsid w:val="00901244"/>
    <w:rsid w:val="00901979"/>
    <w:rsid w:val="00901A96"/>
    <w:rsid w:val="00902357"/>
    <w:rsid w:val="0090242A"/>
    <w:rsid w:val="0090249B"/>
    <w:rsid w:val="00902568"/>
    <w:rsid w:val="0090289A"/>
    <w:rsid w:val="00902A3A"/>
    <w:rsid w:val="00902C85"/>
    <w:rsid w:val="00902CCE"/>
    <w:rsid w:val="00902F5B"/>
    <w:rsid w:val="00902FDE"/>
    <w:rsid w:val="009030F7"/>
    <w:rsid w:val="009034D9"/>
    <w:rsid w:val="00903D45"/>
    <w:rsid w:val="00904059"/>
    <w:rsid w:val="0090426B"/>
    <w:rsid w:val="00904497"/>
    <w:rsid w:val="009046C9"/>
    <w:rsid w:val="009046DC"/>
    <w:rsid w:val="009046F1"/>
    <w:rsid w:val="00904883"/>
    <w:rsid w:val="00904B0A"/>
    <w:rsid w:val="00904F84"/>
    <w:rsid w:val="009050E7"/>
    <w:rsid w:val="009054BC"/>
    <w:rsid w:val="0090552A"/>
    <w:rsid w:val="009055DD"/>
    <w:rsid w:val="00905996"/>
    <w:rsid w:val="0090616A"/>
    <w:rsid w:val="00906177"/>
    <w:rsid w:val="0090618D"/>
    <w:rsid w:val="00906527"/>
    <w:rsid w:val="0090669C"/>
    <w:rsid w:val="009068EC"/>
    <w:rsid w:val="00906BD9"/>
    <w:rsid w:val="00906EA0"/>
    <w:rsid w:val="00907D95"/>
    <w:rsid w:val="00907F4C"/>
    <w:rsid w:val="0091006A"/>
    <w:rsid w:val="00910995"/>
    <w:rsid w:val="00910B57"/>
    <w:rsid w:val="0091128D"/>
    <w:rsid w:val="0091148A"/>
    <w:rsid w:val="00911E50"/>
    <w:rsid w:val="00912347"/>
    <w:rsid w:val="0091268D"/>
    <w:rsid w:val="009129C1"/>
    <w:rsid w:val="009137B3"/>
    <w:rsid w:val="00913B74"/>
    <w:rsid w:val="00913BA9"/>
    <w:rsid w:val="00913EBB"/>
    <w:rsid w:val="00914025"/>
    <w:rsid w:val="009141BB"/>
    <w:rsid w:val="009146F6"/>
    <w:rsid w:val="00914B55"/>
    <w:rsid w:val="00914DC4"/>
    <w:rsid w:val="00914FE4"/>
    <w:rsid w:val="00915099"/>
    <w:rsid w:val="00915261"/>
    <w:rsid w:val="00915329"/>
    <w:rsid w:val="0091588C"/>
    <w:rsid w:val="00915C91"/>
    <w:rsid w:val="00915DB5"/>
    <w:rsid w:val="00915DF4"/>
    <w:rsid w:val="00916068"/>
    <w:rsid w:val="00916BF5"/>
    <w:rsid w:val="00916CCB"/>
    <w:rsid w:val="00916D2C"/>
    <w:rsid w:val="009171CC"/>
    <w:rsid w:val="00917D81"/>
    <w:rsid w:val="00917DB8"/>
    <w:rsid w:val="009200F8"/>
    <w:rsid w:val="00920411"/>
    <w:rsid w:val="00920EC8"/>
    <w:rsid w:val="00921102"/>
    <w:rsid w:val="00921305"/>
    <w:rsid w:val="00921497"/>
    <w:rsid w:val="00921783"/>
    <w:rsid w:val="009217D9"/>
    <w:rsid w:val="00921AC8"/>
    <w:rsid w:val="0092206F"/>
    <w:rsid w:val="00922482"/>
    <w:rsid w:val="00922A2B"/>
    <w:rsid w:val="009232FE"/>
    <w:rsid w:val="00923600"/>
    <w:rsid w:val="0092489B"/>
    <w:rsid w:val="009249E3"/>
    <w:rsid w:val="00924A6C"/>
    <w:rsid w:val="00924AED"/>
    <w:rsid w:val="00924C80"/>
    <w:rsid w:val="00924ED4"/>
    <w:rsid w:val="00924F63"/>
    <w:rsid w:val="00925450"/>
    <w:rsid w:val="00925C18"/>
    <w:rsid w:val="00926543"/>
    <w:rsid w:val="0092687B"/>
    <w:rsid w:val="009269ED"/>
    <w:rsid w:val="00926A6A"/>
    <w:rsid w:val="00926B8F"/>
    <w:rsid w:val="009271AB"/>
    <w:rsid w:val="00927281"/>
    <w:rsid w:val="009273B8"/>
    <w:rsid w:val="00927888"/>
    <w:rsid w:val="00927A20"/>
    <w:rsid w:val="00930298"/>
    <w:rsid w:val="009302A6"/>
    <w:rsid w:val="00930D15"/>
    <w:rsid w:val="009311F5"/>
    <w:rsid w:val="00931325"/>
    <w:rsid w:val="009319DC"/>
    <w:rsid w:val="00931AAD"/>
    <w:rsid w:val="00931B24"/>
    <w:rsid w:val="00931C0E"/>
    <w:rsid w:val="00931E6D"/>
    <w:rsid w:val="009322B5"/>
    <w:rsid w:val="0093286C"/>
    <w:rsid w:val="00932B97"/>
    <w:rsid w:val="00932D04"/>
    <w:rsid w:val="00932DDA"/>
    <w:rsid w:val="00932E9E"/>
    <w:rsid w:val="009331BA"/>
    <w:rsid w:val="009333C0"/>
    <w:rsid w:val="00933A65"/>
    <w:rsid w:val="00933B8A"/>
    <w:rsid w:val="00934141"/>
    <w:rsid w:val="009341AA"/>
    <w:rsid w:val="0093429A"/>
    <w:rsid w:val="009344AE"/>
    <w:rsid w:val="009350EE"/>
    <w:rsid w:val="0093518A"/>
    <w:rsid w:val="009352D3"/>
    <w:rsid w:val="009355BB"/>
    <w:rsid w:val="009355FC"/>
    <w:rsid w:val="00935789"/>
    <w:rsid w:val="00935818"/>
    <w:rsid w:val="009358AF"/>
    <w:rsid w:val="009359C5"/>
    <w:rsid w:val="00935CFA"/>
    <w:rsid w:val="00936075"/>
    <w:rsid w:val="00936157"/>
    <w:rsid w:val="009361E8"/>
    <w:rsid w:val="00936247"/>
    <w:rsid w:val="00936501"/>
    <w:rsid w:val="009366AD"/>
    <w:rsid w:val="009366EC"/>
    <w:rsid w:val="00936EEA"/>
    <w:rsid w:val="00936F05"/>
    <w:rsid w:val="00937496"/>
    <w:rsid w:val="009377A1"/>
    <w:rsid w:val="00937C7D"/>
    <w:rsid w:val="00940850"/>
    <w:rsid w:val="00940B1D"/>
    <w:rsid w:val="0094130E"/>
    <w:rsid w:val="00941340"/>
    <w:rsid w:val="009419FD"/>
    <w:rsid w:val="0094243B"/>
    <w:rsid w:val="009425EB"/>
    <w:rsid w:val="009428A4"/>
    <w:rsid w:val="00942B5C"/>
    <w:rsid w:val="00943034"/>
    <w:rsid w:val="00943157"/>
    <w:rsid w:val="0094362E"/>
    <w:rsid w:val="0094368C"/>
    <w:rsid w:val="00943893"/>
    <w:rsid w:val="00943B61"/>
    <w:rsid w:val="00944086"/>
    <w:rsid w:val="00944312"/>
    <w:rsid w:val="0094432A"/>
    <w:rsid w:val="009443DC"/>
    <w:rsid w:val="00944487"/>
    <w:rsid w:val="00944AE2"/>
    <w:rsid w:val="0094526B"/>
    <w:rsid w:val="009455A6"/>
    <w:rsid w:val="009456EB"/>
    <w:rsid w:val="00945E7E"/>
    <w:rsid w:val="00945E8F"/>
    <w:rsid w:val="009463FD"/>
    <w:rsid w:val="009467FD"/>
    <w:rsid w:val="00946905"/>
    <w:rsid w:val="00946D2E"/>
    <w:rsid w:val="00946E64"/>
    <w:rsid w:val="009472F6"/>
    <w:rsid w:val="009473F4"/>
    <w:rsid w:val="0094783F"/>
    <w:rsid w:val="00947B1F"/>
    <w:rsid w:val="009502BC"/>
    <w:rsid w:val="00950B18"/>
    <w:rsid w:val="00950C55"/>
    <w:rsid w:val="00950CB3"/>
    <w:rsid w:val="00951B38"/>
    <w:rsid w:val="00951F51"/>
    <w:rsid w:val="009520ED"/>
    <w:rsid w:val="00952237"/>
    <w:rsid w:val="0095267E"/>
    <w:rsid w:val="00952CC3"/>
    <w:rsid w:val="00952EBB"/>
    <w:rsid w:val="00952F24"/>
    <w:rsid w:val="00952FD9"/>
    <w:rsid w:val="0095370E"/>
    <w:rsid w:val="00953B5D"/>
    <w:rsid w:val="00953D3D"/>
    <w:rsid w:val="00953ECE"/>
    <w:rsid w:val="00953F42"/>
    <w:rsid w:val="00953F68"/>
    <w:rsid w:val="00953F86"/>
    <w:rsid w:val="00954231"/>
    <w:rsid w:val="009543D8"/>
    <w:rsid w:val="00954409"/>
    <w:rsid w:val="009545D6"/>
    <w:rsid w:val="00954608"/>
    <w:rsid w:val="00954F67"/>
    <w:rsid w:val="009555FD"/>
    <w:rsid w:val="0095581C"/>
    <w:rsid w:val="009558A5"/>
    <w:rsid w:val="00955AA9"/>
    <w:rsid w:val="00955AB2"/>
    <w:rsid w:val="00955E60"/>
    <w:rsid w:val="00955EC8"/>
    <w:rsid w:val="009567F5"/>
    <w:rsid w:val="0095699A"/>
    <w:rsid w:val="00956B34"/>
    <w:rsid w:val="0095702D"/>
    <w:rsid w:val="0095718C"/>
    <w:rsid w:val="009571A6"/>
    <w:rsid w:val="0095752A"/>
    <w:rsid w:val="009577C1"/>
    <w:rsid w:val="009602BA"/>
    <w:rsid w:val="00960701"/>
    <w:rsid w:val="00960856"/>
    <w:rsid w:val="00960D3A"/>
    <w:rsid w:val="00960F79"/>
    <w:rsid w:val="009615D7"/>
    <w:rsid w:val="00961B7F"/>
    <w:rsid w:val="00961CDF"/>
    <w:rsid w:val="009624CE"/>
    <w:rsid w:val="00962C35"/>
    <w:rsid w:val="00962D17"/>
    <w:rsid w:val="00963068"/>
    <w:rsid w:val="00963CE6"/>
    <w:rsid w:val="00963D17"/>
    <w:rsid w:val="00963D45"/>
    <w:rsid w:val="009640B5"/>
    <w:rsid w:val="00964459"/>
    <w:rsid w:val="009657D5"/>
    <w:rsid w:val="00965F9F"/>
    <w:rsid w:val="00966141"/>
    <w:rsid w:val="0096620D"/>
    <w:rsid w:val="009662EC"/>
    <w:rsid w:val="00966333"/>
    <w:rsid w:val="00966611"/>
    <w:rsid w:val="0096661F"/>
    <w:rsid w:val="00966833"/>
    <w:rsid w:val="009669CC"/>
    <w:rsid w:val="00966C18"/>
    <w:rsid w:val="0096719A"/>
    <w:rsid w:val="009672BE"/>
    <w:rsid w:val="00967517"/>
    <w:rsid w:val="009675EB"/>
    <w:rsid w:val="00967655"/>
    <w:rsid w:val="009679FE"/>
    <w:rsid w:val="00967DD4"/>
    <w:rsid w:val="00967E53"/>
    <w:rsid w:val="009706DC"/>
    <w:rsid w:val="00970E13"/>
    <w:rsid w:val="00970F12"/>
    <w:rsid w:val="00970F1A"/>
    <w:rsid w:val="009710BF"/>
    <w:rsid w:val="00971184"/>
    <w:rsid w:val="00971874"/>
    <w:rsid w:val="009719FF"/>
    <w:rsid w:val="00971DE3"/>
    <w:rsid w:val="00971E8F"/>
    <w:rsid w:val="00971F83"/>
    <w:rsid w:val="00971FAA"/>
    <w:rsid w:val="00972061"/>
    <w:rsid w:val="0097245C"/>
    <w:rsid w:val="009725FE"/>
    <w:rsid w:val="0097282B"/>
    <w:rsid w:val="00972DAC"/>
    <w:rsid w:val="0097392D"/>
    <w:rsid w:val="00973A35"/>
    <w:rsid w:val="00973D06"/>
    <w:rsid w:val="00974A1E"/>
    <w:rsid w:val="0097559A"/>
    <w:rsid w:val="009759FA"/>
    <w:rsid w:val="00975D48"/>
    <w:rsid w:val="009763BA"/>
    <w:rsid w:val="00976546"/>
    <w:rsid w:val="009765F1"/>
    <w:rsid w:val="00976FCF"/>
    <w:rsid w:val="00976FF7"/>
    <w:rsid w:val="009804EA"/>
    <w:rsid w:val="00980BAC"/>
    <w:rsid w:val="00980C22"/>
    <w:rsid w:val="00980DF0"/>
    <w:rsid w:val="00980F3F"/>
    <w:rsid w:val="00981D1C"/>
    <w:rsid w:val="0098219E"/>
    <w:rsid w:val="00982214"/>
    <w:rsid w:val="009823D4"/>
    <w:rsid w:val="00982474"/>
    <w:rsid w:val="009826A9"/>
    <w:rsid w:val="00982E9C"/>
    <w:rsid w:val="00982FF8"/>
    <w:rsid w:val="00983285"/>
    <w:rsid w:val="0098350A"/>
    <w:rsid w:val="009838AB"/>
    <w:rsid w:val="00983F25"/>
    <w:rsid w:val="00984672"/>
    <w:rsid w:val="00984B8A"/>
    <w:rsid w:val="00984C11"/>
    <w:rsid w:val="00984F97"/>
    <w:rsid w:val="00984FAF"/>
    <w:rsid w:val="0098569D"/>
    <w:rsid w:val="00985A09"/>
    <w:rsid w:val="00986277"/>
    <w:rsid w:val="009866A3"/>
    <w:rsid w:val="009866A5"/>
    <w:rsid w:val="009867EA"/>
    <w:rsid w:val="0098693D"/>
    <w:rsid w:val="00986ACF"/>
    <w:rsid w:val="00986B3A"/>
    <w:rsid w:val="00986B79"/>
    <w:rsid w:val="00986D0D"/>
    <w:rsid w:val="009871C7"/>
    <w:rsid w:val="0099011F"/>
    <w:rsid w:val="00990343"/>
    <w:rsid w:val="009905E1"/>
    <w:rsid w:val="0099064C"/>
    <w:rsid w:val="0099078A"/>
    <w:rsid w:val="0099097F"/>
    <w:rsid w:val="00990C73"/>
    <w:rsid w:val="0099105E"/>
    <w:rsid w:val="0099120D"/>
    <w:rsid w:val="009913A7"/>
    <w:rsid w:val="009916FA"/>
    <w:rsid w:val="00991974"/>
    <w:rsid w:val="009919BF"/>
    <w:rsid w:val="00992097"/>
    <w:rsid w:val="00992585"/>
    <w:rsid w:val="00992869"/>
    <w:rsid w:val="00992914"/>
    <w:rsid w:val="009929BC"/>
    <w:rsid w:val="00992C47"/>
    <w:rsid w:val="00992E82"/>
    <w:rsid w:val="00993776"/>
    <w:rsid w:val="00993832"/>
    <w:rsid w:val="009938CB"/>
    <w:rsid w:val="00993F15"/>
    <w:rsid w:val="009944B9"/>
    <w:rsid w:val="00994503"/>
    <w:rsid w:val="00994587"/>
    <w:rsid w:val="009947D5"/>
    <w:rsid w:val="00994B69"/>
    <w:rsid w:val="00994E90"/>
    <w:rsid w:val="009950B2"/>
    <w:rsid w:val="0099551B"/>
    <w:rsid w:val="009955E2"/>
    <w:rsid w:val="00995629"/>
    <w:rsid w:val="00995843"/>
    <w:rsid w:val="009959A5"/>
    <w:rsid w:val="00995B64"/>
    <w:rsid w:val="00995C16"/>
    <w:rsid w:val="00996206"/>
    <w:rsid w:val="0099625A"/>
    <w:rsid w:val="0099635A"/>
    <w:rsid w:val="009965BC"/>
    <w:rsid w:val="0099662E"/>
    <w:rsid w:val="00996D1F"/>
    <w:rsid w:val="00996F51"/>
    <w:rsid w:val="00997258"/>
    <w:rsid w:val="0099797A"/>
    <w:rsid w:val="009979DC"/>
    <w:rsid w:val="00997C19"/>
    <w:rsid w:val="009A0415"/>
    <w:rsid w:val="009A043E"/>
    <w:rsid w:val="009A04CD"/>
    <w:rsid w:val="009A0CE8"/>
    <w:rsid w:val="009A0D6F"/>
    <w:rsid w:val="009A177E"/>
    <w:rsid w:val="009A1AE9"/>
    <w:rsid w:val="009A1BC8"/>
    <w:rsid w:val="009A1F1E"/>
    <w:rsid w:val="009A22E6"/>
    <w:rsid w:val="009A2486"/>
    <w:rsid w:val="009A2690"/>
    <w:rsid w:val="009A32BE"/>
    <w:rsid w:val="009A3307"/>
    <w:rsid w:val="009A3520"/>
    <w:rsid w:val="009A3547"/>
    <w:rsid w:val="009A39D1"/>
    <w:rsid w:val="009A39FF"/>
    <w:rsid w:val="009A3CB5"/>
    <w:rsid w:val="009A3EAF"/>
    <w:rsid w:val="009A3F33"/>
    <w:rsid w:val="009A4AA6"/>
    <w:rsid w:val="009A4ACB"/>
    <w:rsid w:val="009A54D4"/>
    <w:rsid w:val="009A5501"/>
    <w:rsid w:val="009A5AE0"/>
    <w:rsid w:val="009A5C6C"/>
    <w:rsid w:val="009A6376"/>
    <w:rsid w:val="009A6621"/>
    <w:rsid w:val="009A6AEA"/>
    <w:rsid w:val="009A6CC5"/>
    <w:rsid w:val="009A7AD0"/>
    <w:rsid w:val="009B02AD"/>
    <w:rsid w:val="009B05B4"/>
    <w:rsid w:val="009B19F3"/>
    <w:rsid w:val="009B1E09"/>
    <w:rsid w:val="009B1F3A"/>
    <w:rsid w:val="009B21AC"/>
    <w:rsid w:val="009B2766"/>
    <w:rsid w:val="009B2DFA"/>
    <w:rsid w:val="009B3241"/>
    <w:rsid w:val="009B32F0"/>
    <w:rsid w:val="009B32F1"/>
    <w:rsid w:val="009B3CEC"/>
    <w:rsid w:val="009B3EB4"/>
    <w:rsid w:val="009B3F21"/>
    <w:rsid w:val="009B40C6"/>
    <w:rsid w:val="009B42BE"/>
    <w:rsid w:val="009B4D23"/>
    <w:rsid w:val="009B4F0B"/>
    <w:rsid w:val="009B58CF"/>
    <w:rsid w:val="009B5973"/>
    <w:rsid w:val="009B5B48"/>
    <w:rsid w:val="009B5D0E"/>
    <w:rsid w:val="009B5DE4"/>
    <w:rsid w:val="009B5EDD"/>
    <w:rsid w:val="009B6237"/>
    <w:rsid w:val="009B62E6"/>
    <w:rsid w:val="009B67C4"/>
    <w:rsid w:val="009B6A3F"/>
    <w:rsid w:val="009B6C5A"/>
    <w:rsid w:val="009B71E1"/>
    <w:rsid w:val="009B7A0A"/>
    <w:rsid w:val="009C0448"/>
    <w:rsid w:val="009C0615"/>
    <w:rsid w:val="009C0CF8"/>
    <w:rsid w:val="009C0DA3"/>
    <w:rsid w:val="009C0ED7"/>
    <w:rsid w:val="009C125A"/>
    <w:rsid w:val="009C1AC7"/>
    <w:rsid w:val="009C1B2E"/>
    <w:rsid w:val="009C1EB2"/>
    <w:rsid w:val="009C2375"/>
    <w:rsid w:val="009C2675"/>
    <w:rsid w:val="009C2839"/>
    <w:rsid w:val="009C28D4"/>
    <w:rsid w:val="009C294A"/>
    <w:rsid w:val="009C2DC4"/>
    <w:rsid w:val="009C2EC8"/>
    <w:rsid w:val="009C3042"/>
    <w:rsid w:val="009C32C2"/>
    <w:rsid w:val="009C386A"/>
    <w:rsid w:val="009C3E76"/>
    <w:rsid w:val="009C3E9C"/>
    <w:rsid w:val="009C3EF2"/>
    <w:rsid w:val="009C43D6"/>
    <w:rsid w:val="009C4566"/>
    <w:rsid w:val="009C4A32"/>
    <w:rsid w:val="009C5908"/>
    <w:rsid w:val="009C599C"/>
    <w:rsid w:val="009C63AB"/>
    <w:rsid w:val="009C6667"/>
    <w:rsid w:val="009C6961"/>
    <w:rsid w:val="009C69D0"/>
    <w:rsid w:val="009C69F4"/>
    <w:rsid w:val="009C6AAC"/>
    <w:rsid w:val="009C6DBE"/>
    <w:rsid w:val="009C7163"/>
    <w:rsid w:val="009C77A3"/>
    <w:rsid w:val="009C7E87"/>
    <w:rsid w:val="009D019B"/>
    <w:rsid w:val="009D079B"/>
    <w:rsid w:val="009D1082"/>
    <w:rsid w:val="009D10BE"/>
    <w:rsid w:val="009D1687"/>
    <w:rsid w:val="009D2055"/>
    <w:rsid w:val="009D20AC"/>
    <w:rsid w:val="009D20C9"/>
    <w:rsid w:val="009D21C8"/>
    <w:rsid w:val="009D2397"/>
    <w:rsid w:val="009D26D8"/>
    <w:rsid w:val="009D2B35"/>
    <w:rsid w:val="009D30F9"/>
    <w:rsid w:val="009D3192"/>
    <w:rsid w:val="009D31C0"/>
    <w:rsid w:val="009D322C"/>
    <w:rsid w:val="009D3340"/>
    <w:rsid w:val="009D334F"/>
    <w:rsid w:val="009D3527"/>
    <w:rsid w:val="009D372A"/>
    <w:rsid w:val="009D385B"/>
    <w:rsid w:val="009D386B"/>
    <w:rsid w:val="009D3A26"/>
    <w:rsid w:val="009D3BAC"/>
    <w:rsid w:val="009D3EDD"/>
    <w:rsid w:val="009D48BA"/>
    <w:rsid w:val="009D4A7D"/>
    <w:rsid w:val="009D4B7E"/>
    <w:rsid w:val="009D4CBC"/>
    <w:rsid w:val="009D4D48"/>
    <w:rsid w:val="009D4DC6"/>
    <w:rsid w:val="009D4E15"/>
    <w:rsid w:val="009D5106"/>
    <w:rsid w:val="009D5D38"/>
    <w:rsid w:val="009D5D42"/>
    <w:rsid w:val="009D5E99"/>
    <w:rsid w:val="009D653F"/>
    <w:rsid w:val="009D66B9"/>
    <w:rsid w:val="009D69F3"/>
    <w:rsid w:val="009D6B77"/>
    <w:rsid w:val="009D6CE1"/>
    <w:rsid w:val="009D6F44"/>
    <w:rsid w:val="009D70F7"/>
    <w:rsid w:val="009D7869"/>
    <w:rsid w:val="009D7CFF"/>
    <w:rsid w:val="009D7E18"/>
    <w:rsid w:val="009E0AB5"/>
    <w:rsid w:val="009E0C62"/>
    <w:rsid w:val="009E12E3"/>
    <w:rsid w:val="009E14B2"/>
    <w:rsid w:val="009E16F2"/>
    <w:rsid w:val="009E1750"/>
    <w:rsid w:val="009E19AB"/>
    <w:rsid w:val="009E1D15"/>
    <w:rsid w:val="009E1DFA"/>
    <w:rsid w:val="009E2115"/>
    <w:rsid w:val="009E23ED"/>
    <w:rsid w:val="009E255E"/>
    <w:rsid w:val="009E26BC"/>
    <w:rsid w:val="009E26F3"/>
    <w:rsid w:val="009E28DC"/>
    <w:rsid w:val="009E2E71"/>
    <w:rsid w:val="009E322C"/>
    <w:rsid w:val="009E3352"/>
    <w:rsid w:val="009E3479"/>
    <w:rsid w:val="009E387D"/>
    <w:rsid w:val="009E453D"/>
    <w:rsid w:val="009E45F8"/>
    <w:rsid w:val="009E4A16"/>
    <w:rsid w:val="009E5013"/>
    <w:rsid w:val="009E526A"/>
    <w:rsid w:val="009E526D"/>
    <w:rsid w:val="009E567C"/>
    <w:rsid w:val="009E56B0"/>
    <w:rsid w:val="009E5917"/>
    <w:rsid w:val="009E6223"/>
    <w:rsid w:val="009E6390"/>
    <w:rsid w:val="009E665A"/>
    <w:rsid w:val="009E6C75"/>
    <w:rsid w:val="009E725F"/>
    <w:rsid w:val="009E7954"/>
    <w:rsid w:val="009E79CF"/>
    <w:rsid w:val="009E7F2E"/>
    <w:rsid w:val="009F009C"/>
    <w:rsid w:val="009F0345"/>
    <w:rsid w:val="009F04F2"/>
    <w:rsid w:val="009F060A"/>
    <w:rsid w:val="009F0A8F"/>
    <w:rsid w:val="009F2161"/>
    <w:rsid w:val="009F231C"/>
    <w:rsid w:val="009F23E3"/>
    <w:rsid w:val="009F2512"/>
    <w:rsid w:val="009F29F3"/>
    <w:rsid w:val="009F2C7D"/>
    <w:rsid w:val="009F30E5"/>
    <w:rsid w:val="009F4094"/>
    <w:rsid w:val="009F40CE"/>
    <w:rsid w:val="009F4848"/>
    <w:rsid w:val="009F4BDF"/>
    <w:rsid w:val="009F4CDA"/>
    <w:rsid w:val="009F52CE"/>
    <w:rsid w:val="009F563B"/>
    <w:rsid w:val="009F59BF"/>
    <w:rsid w:val="009F5D42"/>
    <w:rsid w:val="009F5F68"/>
    <w:rsid w:val="009F6394"/>
    <w:rsid w:val="009F63B9"/>
    <w:rsid w:val="009F67B9"/>
    <w:rsid w:val="009F70CE"/>
    <w:rsid w:val="009F7462"/>
    <w:rsid w:val="009F776E"/>
    <w:rsid w:val="009F7FAE"/>
    <w:rsid w:val="00A00B19"/>
    <w:rsid w:val="00A00CE3"/>
    <w:rsid w:val="00A00F42"/>
    <w:rsid w:val="00A01519"/>
    <w:rsid w:val="00A0195A"/>
    <w:rsid w:val="00A0268F"/>
    <w:rsid w:val="00A02D3C"/>
    <w:rsid w:val="00A02EE8"/>
    <w:rsid w:val="00A032EA"/>
    <w:rsid w:val="00A034B9"/>
    <w:rsid w:val="00A0408F"/>
    <w:rsid w:val="00A044E8"/>
    <w:rsid w:val="00A04E68"/>
    <w:rsid w:val="00A057AB"/>
    <w:rsid w:val="00A05975"/>
    <w:rsid w:val="00A05DDC"/>
    <w:rsid w:val="00A05EAA"/>
    <w:rsid w:val="00A0608D"/>
    <w:rsid w:val="00A060BE"/>
    <w:rsid w:val="00A0615B"/>
    <w:rsid w:val="00A0695E"/>
    <w:rsid w:val="00A069DD"/>
    <w:rsid w:val="00A07487"/>
    <w:rsid w:val="00A07845"/>
    <w:rsid w:val="00A07D26"/>
    <w:rsid w:val="00A07D2F"/>
    <w:rsid w:val="00A10254"/>
    <w:rsid w:val="00A1036E"/>
    <w:rsid w:val="00A104A1"/>
    <w:rsid w:val="00A10D80"/>
    <w:rsid w:val="00A10FC7"/>
    <w:rsid w:val="00A11671"/>
    <w:rsid w:val="00A117EF"/>
    <w:rsid w:val="00A1187C"/>
    <w:rsid w:val="00A11EEF"/>
    <w:rsid w:val="00A120CB"/>
    <w:rsid w:val="00A12CCC"/>
    <w:rsid w:val="00A12D1A"/>
    <w:rsid w:val="00A12E07"/>
    <w:rsid w:val="00A12F3D"/>
    <w:rsid w:val="00A131EC"/>
    <w:rsid w:val="00A1369F"/>
    <w:rsid w:val="00A13A4E"/>
    <w:rsid w:val="00A15566"/>
    <w:rsid w:val="00A158B3"/>
    <w:rsid w:val="00A1595D"/>
    <w:rsid w:val="00A15AC9"/>
    <w:rsid w:val="00A15B2D"/>
    <w:rsid w:val="00A15FF6"/>
    <w:rsid w:val="00A163CD"/>
    <w:rsid w:val="00A165FB"/>
    <w:rsid w:val="00A16778"/>
    <w:rsid w:val="00A16910"/>
    <w:rsid w:val="00A16ACD"/>
    <w:rsid w:val="00A16B57"/>
    <w:rsid w:val="00A171BF"/>
    <w:rsid w:val="00A20207"/>
    <w:rsid w:val="00A20224"/>
    <w:rsid w:val="00A20919"/>
    <w:rsid w:val="00A20D6F"/>
    <w:rsid w:val="00A21424"/>
    <w:rsid w:val="00A21624"/>
    <w:rsid w:val="00A218FB"/>
    <w:rsid w:val="00A2197D"/>
    <w:rsid w:val="00A2198E"/>
    <w:rsid w:val="00A21997"/>
    <w:rsid w:val="00A21A06"/>
    <w:rsid w:val="00A21CBC"/>
    <w:rsid w:val="00A21E67"/>
    <w:rsid w:val="00A220FF"/>
    <w:rsid w:val="00A22EE6"/>
    <w:rsid w:val="00A23A98"/>
    <w:rsid w:val="00A241EE"/>
    <w:rsid w:val="00A24217"/>
    <w:rsid w:val="00A24255"/>
    <w:rsid w:val="00A24456"/>
    <w:rsid w:val="00A244E9"/>
    <w:rsid w:val="00A24622"/>
    <w:rsid w:val="00A246A3"/>
    <w:rsid w:val="00A25543"/>
    <w:rsid w:val="00A259A8"/>
    <w:rsid w:val="00A25ABB"/>
    <w:rsid w:val="00A25E39"/>
    <w:rsid w:val="00A26499"/>
    <w:rsid w:val="00A267B5"/>
    <w:rsid w:val="00A267F3"/>
    <w:rsid w:val="00A26827"/>
    <w:rsid w:val="00A26D47"/>
    <w:rsid w:val="00A26DA7"/>
    <w:rsid w:val="00A26E58"/>
    <w:rsid w:val="00A26F41"/>
    <w:rsid w:val="00A26F88"/>
    <w:rsid w:val="00A26FEE"/>
    <w:rsid w:val="00A275D1"/>
    <w:rsid w:val="00A277FD"/>
    <w:rsid w:val="00A27B57"/>
    <w:rsid w:val="00A27EC4"/>
    <w:rsid w:val="00A3071F"/>
    <w:rsid w:val="00A30BC2"/>
    <w:rsid w:val="00A313B3"/>
    <w:rsid w:val="00A31CE5"/>
    <w:rsid w:val="00A31D00"/>
    <w:rsid w:val="00A31F9C"/>
    <w:rsid w:val="00A31FE7"/>
    <w:rsid w:val="00A32051"/>
    <w:rsid w:val="00A32328"/>
    <w:rsid w:val="00A32AE0"/>
    <w:rsid w:val="00A32B77"/>
    <w:rsid w:val="00A32BB4"/>
    <w:rsid w:val="00A3367C"/>
    <w:rsid w:val="00A33798"/>
    <w:rsid w:val="00A33BE0"/>
    <w:rsid w:val="00A33CCF"/>
    <w:rsid w:val="00A33DA2"/>
    <w:rsid w:val="00A351F8"/>
    <w:rsid w:val="00A3561C"/>
    <w:rsid w:val="00A35D65"/>
    <w:rsid w:val="00A362D0"/>
    <w:rsid w:val="00A36901"/>
    <w:rsid w:val="00A36CF6"/>
    <w:rsid w:val="00A36EC5"/>
    <w:rsid w:val="00A37703"/>
    <w:rsid w:val="00A37793"/>
    <w:rsid w:val="00A37DDD"/>
    <w:rsid w:val="00A37EDA"/>
    <w:rsid w:val="00A4035D"/>
    <w:rsid w:val="00A40648"/>
    <w:rsid w:val="00A408E6"/>
    <w:rsid w:val="00A40A26"/>
    <w:rsid w:val="00A40C00"/>
    <w:rsid w:val="00A413A3"/>
    <w:rsid w:val="00A41C19"/>
    <w:rsid w:val="00A4213E"/>
    <w:rsid w:val="00A4218F"/>
    <w:rsid w:val="00A43248"/>
    <w:rsid w:val="00A43270"/>
    <w:rsid w:val="00A44522"/>
    <w:rsid w:val="00A44C3B"/>
    <w:rsid w:val="00A452AE"/>
    <w:rsid w:val="00A4539E"/>
    <w:rsid w:val="00A458FF"/>
    <w:rsid w:val="00A46080"/>
    <w:rsid w:val="00A461CB"/>
    <w:rsid w:val="00A46252"/>
    <w:rsid w:val="00A46675"/>
    <w:rsid w:val="00A4683E"/>
    <w:rsid w:val="00A46C0C"/>
    <w:rsid w:val="00A46C6C"/>
    <w:rsid w:val="00A46EB1"/>
    <w:rsid w:val="00A46EBA"/>
    <w:rsid w:val="00A471B7"/>
    <w:rsid w:val="00A4777E"/>
    <w:rsid w:val="00A47961"/>
    <w:rsid w:val="00A47A54"/>
    <w:rsid w:val="00A47C59"/>
    <w:rsid w:val="00A50BDC"/>
    <w:rsid w:val="00A50FEC"/>
    <w:rsid w:val="00A5125F"/>
    <w:rsid w:val="00A5183F"/>
    <w:rsid w:val="00A51FC3"/>
    <w:rsid w:val="00A52AD4"/>
    <w:rsid w:val="00A52D33"/>
    <w:rsid w:val="00A53062"/>
    <w:rsid w:val="00A532FC"/>
    <w:rsid w:val="00A53624"/>
    <w:rsid w:val="00A53C0C"/>
    <w:rsid w:val="00A53D8E"/>
    <w:rsid w:val="00A540F1"/>
    <w:rsid w:val="00A544FA"/>
    <w:rsid w:val="00A546D4"/>
    <w:rsid w:val="00A54D3D"/>
    <w:rsid w:val="00A54F72"/>
    <w:rsid w:val="00A5551B"/>
    <w:rsid w:val="00A563AA"/>
    <w:rsid w:val="00A565B6"/>
    <w:rsid w:val="00A5671A"/>
    <w:rsid w:val="00A567E2"/>
    <w:rsid w:val="00A56806"/>
    <w:rsid w:val="00A56F64"/>
    <w:rsid w:val="00A57008"/>
    <w:rsid w:val="00A57F15"/>
    <w:rsid w:val="00A57F8E"/>
    <w:rsid w:val="00A60066"/>
    <w:rsid w:val="00A60146"/>
    <w:rsid w:val="00A60179"/>
    <w:rsid w:val="00A610A5"/>
    <w:rsid w:val="00A613BE"/>
    <w:rsid w:val="00A61782"/>
    <w:rsid w:val="00A61FDA"/>
    <w:rsid w:val="00A62958"/>
    <w:rsid w:val="00A62AC7"/>
    <w:rsid w:val="00A63850"/>
    <w:rsid w:val="00A64023"/>
    <w:rsid w:val="00A64787"/>
    <w:rsid w:val="00A648E9"/>
    <w:rsid w:val="00A64EA6"/>
    <w:rsid w:val="00A64EEB"/>
    <w:rsid w:val="00A65C38"/>
    <w:rsid w:val="00A6654A"/>
    <w:rsid w:val="00A66592"/>
    <w:rsid w:val="00A66C0D"/>
    <w:rsid w:val="00A67322"/>
    <w:rsid w:val="00A6764D"/>
    <w:rsid w:val="00A676B5"/>
    <w:rsid w:val="00A678C2"/>
    <w:rsid w:val="00A67934"/>
    <w:rsid w:val="00A67D4A"/>
    <w:rsid w:val="00A70199"/>
    <w:rsid w:val="00A703AE"/>
    <w:rsid w:val="00A703CD"/>
    <w:rsid w:val="00A70415"/>
    <w:rsid w:val="00A709AE"/>
    <w:rsid w:val="00A70DCB"/>
    <w:rsid w:val="00A70E5B"/>
    <w:rsid w:val="00A71E2D"/>
    <w:rsid w:val="00A71FD1"/>
    <w:rsid w:val="00A720C2"/>
    <w:rsid w:val="00A72251"/>
    <w:rsid w:val="00A72253"/>
    <w:rsid w:val="00A7248F"/>
    <w:rsid w:val="00A726DC"/>
    <w:rsid w:val="00A72733"/>
    <w:rsid w:val="00A7282C"/>
    <w:rsid w:val="00A72BC8"/>
    <w:rsid w:val="00A72C04"/>
    <w:rsid w:val="00A72E16"/>
    <w:rsid w:val="00A72FE2"/>
    <w:rsid w:val="00A73341"/>
    <w:rsid w:val="00A73766"/>
    <w:rsid w:val="00A73F96"/>
    <w:rsid w:val="00A748ED"/>
    <w:rsid w:val="00A74C88"/>
    <w:rsid w:val="00A75386"/>
    <w:rsid w:val="00A7586A"/>
    <w:rsid w:val="00A7593A"/>
    <w:rsid w:val="00A7597F"/>
    <w:rsid w:val="00A75B2B"/>
    <w:rsid w:val="00A75D3F"/>
    <w:rsid w:val="00A75EB1"/>
    <w:rsid w:val="00A764CD"/>
    <w:rsid w:val="00A768C8"/>
    <w:rsid w:val="00A769A2"/>
    <w:rsid w:val="00A76C21"/>
    <w:rsid w:val="00A771CB"/>
    <w:rsid w:val="00A77553"/>
    <w:rsid w:val="00A77727"/>
    <w:rsid w:val="00A77A30"/>
    <w:rsid w:val="00A77E0E"/>
    <w:rsid w:val="00A8004B"/>
    <w:rsid w:val="00A803FE"/>
    <w:rsid w:val="00A80D6B"/>
    <w:rsid w:val="00A80DB3"/>
    <w:rsid w:val="00A80FA9"/>
    <w:rsid w:val="00A811B7"/>
    <w:rsid w:val="00A8153C"/>
    <w:rsid w:val="00A818FB"/>
    <w:rsid w:val="00A81A53"/>
    <w:rsid w:val="00A81BE3"/>
    <w:rsid w:val="00A8226A"/>
    <w:rsid w:val="00A82941"/>
    <w:rsid w:val="00A82B36"/>
    <w:rsid w:val="00A832FD"/>
    <w:rsid w:val="00A834D6"/>
    <w:rsid w:val="00A83994"/>
    <w:rsid w:val="00A83DBC"/>
    <w:rsid w:val="00A84178"/>
    <w:rsid w:val="00A846B9"/>
    <w:rsid w:val="00A84746"/>
    <w:rsid w:val="00A847AE"/>
    <w:rsid w:val="00A8480F"/>
    <w:rsid w:val="00A84D2C"/>
    <w:rsid w:val="00A85084"/>
    <w:rsid w:val="00A855FE"/>
    <w:rsid w:val="00A85670"/>
    <w:rsid w:val="00A85836"/>
    <w:rsid w:val="00A85B3E"/>
    <w:rsid w:val="00A85E79"/>
    <w:rsid w:val="00A85F29"/>
    <w:rsid w:val="00A8613B"/>
    <w:rsid w:val="00A86203"/>
    <w:rsid w:val="00A865FB"/>
    <w:rsid w:val="00A86D62"/>
    <w:rsid w:val="00A87242"/>
    <w:rsid w:val="00A87740"/>
    <w:rsid w:val="00A87982"/>
    <w:rsid w:val="00A87C2F"/>
    <w:rsid w:val="00A904F2"/>
    <w:rsid w:val="00A907C8"/>
    <w:rsid w:val="00A90A9D"/>
    <w:rsid w:val="00A90D04"/>
    <w:rsid w:val="00A911A0"/>
    <w:rsid w:val="00A91363"/>
    <w:rsid w:val="00A91450"/>
    <w:rsid w:val="00A9162F"/>
    <w:rsid w:val="00A91B0D"/>
    <w:rsid w:val="00A91B63"/>
    <w:rsid w:val="00A920B1"/>
    <w:rsid w:val="00A92564"/>
    <w:rsid w:val="00A925A2"/>
    <w:rsid w:val="00A92949"/>
    <w:rsid w:val="00A92954"/>
    <w:rsid w:val="00A92C54"/>
    <w:rsid w:val="00A92D1A"/>
    <w:rsid w:val="00A92DB9"/>
    <w:rsid w:val="00A93429"/>
    <w:rsid w:val="00A93738"/>
    <w:rsid w:val="00A937B4"/>
    <w:rsid w:val="00A9401F"/>
    <w:rsid w:val="00A94084"/>
    <w:rsid w:val="00A9446E"/>
    <w:rsid w:val="00A94AD0"/>
    <w:rsid w:val="00A94C69"/>
    <w:rsid w:val="00A953A8"/>
    <w:rsid w:val="00A960CA"/>
    <w:rsid w:val="00A966C0"/>
    <w:rsid w:val="00A96852"/>
    <w:rsid w:val="00A96B2E"/>
    <w:rsid w:val="00A96C21"/>
    <w:rsid w:val="00A96D6C"/>
    <w:rsid w:val="00A9791D"/>
    <w:rsid w:val="00A97A54"/>
    <w:rsid w:val="00A97B20"/>
    <w:rsid w:val="00A97D4A"/>
    <w:rsid w:val="00A97DB8"/>
    <w:rsid w:val="00AA0209"/>
    <w:rsid w:val="00AA0303"/>
    <w:rsid w:val="00AA037A"/>
    <w:rsid w:val="00AA03A6"/>
    <w:rsid w:val="00AA0923"/>
    <w:rsid w:val="00AA0C5E"/>
    <w:rsid w:val="00AA0CDF"/>
    <w:rsid w:val="00AA1128"/>
    <w:rsid w:val="00AA1200"/>
    <w:rsid w:val="00AA1A7C"/>
    <w:rsid w:val="00AA1ADA"/>
    <w:rsid w:val="00AA1D26"/>
    <w:rsid w:val="00AA20B3"/>
    <w:rsid w:val="00AA23BF"/>
    <w:rsid w:val="00AA2A7D"/>
    <w:rsid w:val="00AA2A91"/>
    <w:rsid w:val="00AA2A95"/>
    <w:rsid w:val="00AA2B3A"/>
    <w:rsid w:val="00AA2ECC"/>
    <w:rsid w:val="00AA3495"/>
    <w:rsid w:val="00AA3975"/>
    <w:rsid w:val="00AA3A3E"/>
    <w:rsid w:val="00AA3B94"/>
    <w:rsid w:val="00AA3C94"/>
    <w:rsid w:val="00AA41D4"/>
    <w:rsid w:val="00AA4203"/>
    <w:rsid w:val="00AA4673"/>
    <w:rsid w:val="00AA4775"/>
    <w:rsid w:val="00AA488F"/>
    <w:rsid w:val="00AA4B4C"/>
    <w:rsid w:val="00AA4E1D"/>
    <w:rsid w:val="00AA4EFD"/>
    <w:rsid w:val="00AA530A"/>
    <w:rsid w:val="00AA5515"/>
    <w:rsid w:val="00AA553A"/>
    <w:rsid w:val="00AA567F"/>
    <w:rsid w:val="00AA583C"/>
    <w:rsid w:val="00AA648A"/>
    <w:rsid w:val="00AA65CF"/>
    <w:rsid w:val="00AA6693"/>
    <w:rsid w:val="00AA6A88"/>
    <w:rsid w:val="00AA6BC6"/>
    <w:rsid w:val="00AA6C0F"/>
    <w:rsid w:val="00AA6F86"/>
    <w:rsid w:val="00AA6FE6"/>
    <w:rsid w:val="00AA7242"/>
    <w:rsid w:val="00AA793A"/>
    <w:rsid w:val="00AB02DD"/>
    <w:rsid w:val="00AB045C"/>
    <w:rsid w:val="00AB05BB"/>
    <w:rsid w:val="00AB090C"/>
    <w:rsid w:val="00AB0CD9"/>
    <w:rsid w:val="00AB0F68"/>
    <w:rsid w:val="00AB0F9A"/>
    <w:rsid w:val="00AB1160"/>
    <w:rsid w:val="00AB1411"/>
    <w:rsid w:val="00AB142E"/>
    <w:rsid w:val="00AB1C10"/>
    <w:rsid w:val="00AB1E0D"/>
    <w:rsid w:val="00AB208E"/>
    <w:rsid w:val="00AB212D"/>
    <w:rsid w:val="00AB2F1F"/>
    <w:rsid w:val="00AB32C1"/>
    <w:rsid w:val="00AB3552"/>
    <w:rsid w:val="00AB414A"/>
    <w:rsid w:val="00AB4649"/>
    <w:rsid w:val="00AB49C3"/>
    <w:rsid w:val="00AB4E52"/>
    <w:rsid w:val="00AB55F8"/>
    <w:rsid w:val="00AB5624"/>
    <w:rsid w:val="00AB5DF2"/>
    <w:rsid w:val="00AB688E"/>
    <w:rsid w:val="00AB6C4D"/>
    <w:rsid w:val="00AB7633"/>
    <w:rsid w:val="00AB7866"/>
    <w:rsid w:val="00AC0289"/>
    <w:rsid w:val="00AC0894"/>
    <w:rsid w:val="00AC1D3B"/>
    <w:rsid w:val="00AC1D7C"/>
    <w:rsid w:val="00AC1FE9"/>
    <w:rsid w:val="00AC2035"/>
    <w:rsid w:val="00AC226A"/>
    <w:rsid w:val="00AC246C"/>
    <w:rsid w:val="00AC26BF"/>
    <w:rsid w:val="00AC2FB2"/>
    <w:rsid w:val="00AC32FB"/>
    <w:rsid w:val="00AC34C0"/>
    <w:rsid w:val="00AC3ADE"/>
    <w:rsid w:val="00AC3F58"/>
    <w:rsid w:val="00AC445F"/>
    <w:rsid w:val="00AC45FF"/>
    <w:rsid w:val="00AC4C92"/>
    <w:rsid w:val="00AC4D38"/>
    <w:rsid w:val="00AC4E28"/>
    <w:rsid w:val="00AC4E71"/>
    <w:rsid w:val="00AC4F7E"/>
    <w:rsid w:val="00AC521A"/>
    <w:rsid w:val="00AC5700"/>
    <w:rsid w:val="00AC5A64"/>
    <w:rsid w:val="00AC6196"/>
    <w:rsid w:val="00AC630A"/>
    <w:rsid w:val="00AC7042"/>
    <w:rsid w:val="00AC752F"/>
    <w:rsid w:val="00AC7B8D"/>
    <w:rsid w:val="00AC7D54"/>
    <w:rsid w:val="00AC7E49"/>
    <w:rsid w:val="00AD096D"/>
    <w:rsid w:val="00AD099F"/>
    <w:rsid w:val="00AD0AEE"/>
    <w:rsid w:val="00AD1525"/>
    <w:rsid w:val="00AD169F"/>
    <w:rsid w:val="00AD16B8"/>
    <w:rsid w:val="00AD1A22"/>
    <w:rsid w:val="00AD1C10"/>
    <w:rsid w:val="00AD2565"/>
    <w:rsid w:val="00AD2CE1"/>
    <w:rsid w:val="00AD2E7B"/>
    <w:rsid w:val="00AD2F8F"/>
    <w:rsid w:val="00AD3550"/>
    <w:rsid w:val="00AD3685"/>
    <w:rsid w:val="00AD3798"/>
    <w:rsid w:val="00AD3A40"/>
    <w:rsid w:val="00AD3D71"/>
    <w:rsid w:val="00AD3F4F"/>
    <w:rsid w:val="00AD403C"/>
    <w:rsid w:val="00AD4153"/>
    <w:rsid w:val="00AD4281"/>
    <w:rsid w:val="00AD477D"/>
    <w:rsid w:val="00AD4838"/>
    <w:rsid w:val="00AD5420"/>
    <w:rsid w:val="00AD55ED"/>
    <w:rsid w:val="00AD56CF"/>
    <w:rsid w:val="00AD5AE5"/>
    <w:rsid w:val="00AD5DDB"/>
    <w:rsid w:val="00AD5E3E"/>
    <w:rsid w:val="00AD60B8"/>
    <w:rsid w:val="00AD60EF"/>
    <w:rsid w:val="00AD612C"/>
    <w:rsid w:val="00AD734C"/>
    <w:rsid w:val="00AD7770"/>
    <w:rsid w:val="00AD7922"/>
    <w:rsid w:val="00AD7C7D"/>
    <w:rsid w:val="00AE0164"/>
    <w:rsid w:val="00AE0413"/>
    <w:rsid w:val="00AE05BF"/>
    <w:rsid w:val="00AE07D2"/>
    <w:rsid w:val="00AE08D9"/>
    <w:rsid w:val="00AE0D38"/>
    <w:rsid w:val="00AE0D8D"/>
    <w:rsid w:val="00AE1EC6"/>
    <w:rsid w:val="00AE1F6E"/>
    <w:rsid w:val="00AE21C3"/>
    <w:rsid w:val="00AE23C8"/>
    <w:rsid w:val="00AE265A"/>
    <w:rsid w:val="00AE308D"/>
    <w:rsid w:val="00AE36D1"/>
    <w:rsid w:val="00AE3DDB"/>
    <w:rsid w:val="00AE4A64"/>
    <w:rsid w:val="00AE52FB"/>
    <w:rsid w:val="00AE55C8"/>
    <w:rsid w:val="00AE5771"/>
    <w:rsid w:val="00AE59FC"/>
    <w:rsid w:val="00AE6542"/>
    <w:rsid w:val="00AE6AAF"/>
    <w:rsid w:val="00AE6E2E"/>
    <w:rsid w:val="00AE6E97"/>
    <w:rsid w:val="00AE758E"/>
    <w:rsid w:val="00AE7973"/>
    <w:rsid w:val="00AE7F69"/>
    <w:rsid w:val="00AF059D"/>
    <w:rsid w:val="00AF077D"/>
    <w:rsid w:val="00AF0787"/>
    <w:rsid w:val="00AF0992"/>
    <w:rsid w:val="00AF0C7C"/>
    <w:rsid w:val="00AF0D62"/>
    <w:rsid w:val="00AF0EB3"/>
    <w:rsid w:val="00AF11F8"/>
    <w:rsid w:val="00AF1281"/>
    <w:rsid w:val="00AF14C8"/>
    <w:rsid w:val="00AF1F4F"/>
    <w:rsid w:val="00AF23D9"/>
    <w:rsid w:val="00AF290E"/>
    <w:rsid w:val="00AF29D9"/>
    <w:rsid w:val="00AF29FA"/>
    <w:rsid w:val="00AF2CA1"/>
    <w:rsid w:val="00AF37D5"/>
    <w:rsid w:val="00AF381B"/>
    <w:rsid w:val="00AF3895"/>
    <w:rsid w:val="00AF3B84"/>
    <w:rsid w:val="00AF3E05"/>
    <w:rsid w:val="00AF3F63"/>
    <w:rsid w:val="00AF4345"/>
    <w:rsid w:val="00AF44BF"/>
    <w:rsid w:val="00AF463B"/>
    <w:rsid w:val="00AF4AD3"/>
    <w:rsid w:val="00AF4CC5"/>
    <w:rsid w:val="00AF4D6D"/>
    <w:rsid w:val="00AF4FEF"/>
    <w:rsid w:val="00AF5319"/>
    <w:rsid w:val="00AF5CE6"/>
    <w:rsid w:val="00AF603D"/>
    <w:rsid w:val="00AF608B"/>
    <w:rsid w:val="00AF650A"/>
    <w:rsid w:val="00AF6A59"/>
    <w:rsid w:val="00AF6C59"/>
    <w:rsid w:val="00AF71D6"/>
    <w:rsid w:val="00AF73B1"/>
    <w:rsid w:val="00AF75A9"/>
    <w:rsid w:val="00AF7BDD"/>
    <w:rsid w:val="00B0009E"/>
    <w:rsid w:val="00B006F0"/>
    <w:rsid w:val="00B008C0"/>
    <w:rsid w:val="00B00917"/>
    <w:rsid w:val="00B00F8C"/>
    <w:rsid w:val="00B00FEC"/>
    <w:rsid w:val="00B01693"/>
    <w:rsid w:val="00B01B75"/>
    <w:rsid w:val="00B0205C"/>
    <w:rsid w:val="00B02145"/>
    <w:rsid w:val="00B0256F"/>
    <w:rsid w:val="00B02F0C"/>
    <w:rsid w:val="00B030F5"/>
    <w:rsid w:val="00B03776"/>
    <w:rsid w:val="00B03ED8"/>
    <w:rsid w:val="00B0401D"/>
    <w:rsid w:val="00B04179"/>
    <w:rsid w:val="00B042D2"/>
    <w:rsid w:val="00B04B35"/>
    <w:rsid w:val="00B04D98"/>
    <w:rsid w:val="00B04E8D"/>
    <w:rsid w:val="00B04EF9"/>
    <w:rsid w:val="00B04F50"/>
    <w:rsid w:val="00B0542F"/>
    <w:rsid w:val="00B05A05"/>
    <w:rsid w:val="00B05B87"/>
    <w:rsid w:val="00B06495"/>
    <w:rsid w:val="00B064F1"/>
    <w:rsid w:val="00B0654F"/>
    <w:rsid w:val="00B06ACE"/>
    <w:rsid w:val="00B06D89"/>
    <w:rsid w:val="00B06DA3"/>
    <w:rsid w:val="00B07013"/>
    <w:rsid w:val="00B071D5"/>
    <w:rsid w:val="00B0733E"/>
    <w:rsid w:val="00B10045"/>
    <w:rsid w:val="00B107AE"/>
    <w:rsid w:val="00B109DF"/>
    <w:rsid w:val="00B10E7D"/>
    <w:rsid w:val="00B10EEF"/>
    <w:rsid w:val="00B10EF0"/>
    <w:rsid w:val="00B118E1"/>
    <w:rsid w:val="00B11A39"/>
    <w:rsid w:val="00B11A5F"/>
    <w:rsid w:val="00B11A9A"/>
    <w:rsid w:val="00B11F1F"/>
    <w:rsid w:val="00B120CF"/>
    <w:rsid w:val="00B1210E"/>
    <w:rsid w:val="00B1243E"/>
    <w:rsid w:val="00B12940"/>
    <w:rsid w:val="00B129A4"/>
    <w:rsid w:val="00B129BD"/>
    <w:rsid w:val="00B12BDA"/>
    <w:rsid w:val="00B12CE6"/>
    <w:rsid w:val="00B12D62"/>
    <w:rsid w:val="00B131F4"/>
    <w:rsid w:val="00B132F8"/>
    <w:rsid w:val="00B135AC"/>
    <w:rsid w:val="00B135BB"/>
    <w:rsid w:val="00B1367A"/>
    <w:rsid w:val="00B13BE0"/>
    <w:rsid w:val="00B13D2B"/>
    <w:rsid w:val="00B13F2E"/>
    <w:rsid w:val="00B14011"/>
    <w:rsid w:val="00B14793"/>
    <w:rsid w:val="00B148F7"/>
    <w:rsid w:val="00B15075"/>
    <w:rsid w:val="00B15774"/>
    <w:rsid w:val="00B158B2"/>
    <w:rsid w:val="00B15CFE"/>
    <w:rsid w:val="00B15DB9"/>
    <w:rsid w:val="00B1634D"/>
    <w:rsid w:val="00B16B86"/>
    <w:rsid w:val="00B16E95"/>
    <w:rsid w:val="00B1780E"/>
    <w:rsid w:val="00B17F47"/>
    <w:rsid w:val="00B200D3"/>
    <w:rsid w:val="00B2060E"/>
    <w:rsid w:val="00B20DCF"/>
    <w:rsid w:val="00B20F8A"/>
    <w:rsid w:val="00B215EB"/>
    <w:rsid w:val="00B21A5C"/>
    <w:rsid w:val="00B22023"/>
    <w:rsid w:val="00B22522"/>
    <w:rsid w:val="00B2288A"/>
    <w:rsid w:val="00B237FA"/>
    <w:rsid w:val="00B23BF0"/>
    <w:rsid w:val="00B24102"/>
    <w:rsid w:val="00B24D66"/>
    <w:rsid w:val="00B25165"/>
    <w:rsid w:val="00B258AF"/>
    <w:rsid w:val="00B260D9"/>
    <w:rsid w:val="00B264B0"/>
    <w:rsid w:val="00B26CDB"/>
    <w:rsid w:val="00B26ECF"/>
    <w:rsid w:val="00B27444"/>
    <w:rsid w:val="00B274AA"/>
    <w:rsid w:val="00B2752B"/>
    <w:rsid w:val="00B27734"/>
    <w:rsid w:val="00B27771"/>
    <w:rsid w:val="00B27787"/>
    <w:rsid w:val="00B277A3"/>
    <w:rsid w:val="00B27833"/>
    <w:rsid w:val="00B278D7"/>
    <w:rsid w:val="00B300B8"/>
    <w:rsid w:val="00B300D6"/>
    <w:rsid w:val="00B30188"/>
    <w:rsid w:val="00B303DC"/>
    <w:rsid w:val="00B304A4"/>
    <w:rsid w:val="00B3091E"/>
    <w:rsid w:val="00B30AF2"/>
    <w:rsid w:val="00B312C2"/>
    <w:rsid w:val="00B31602"/>
    <w:rsid w:val="00B3174B"/>
    <w:rsid w:val="00B3181A"/>
    <w:rsid w:val="00B319FE"/>
    <w:rsid w:val="00B3232C"/>
    <w:rsid w:val="00B331B8"/>
    <w:rsid w:val="00B334B4"/>
    <w:rsid w:val="00B33786"/>
    <w:rsid w:val="00B337A4"/>
    <w:rsid w:val="00B33B37"/>
    <w:rsid w:val="00B34725"/>
    <w:rsid w:val="00B35468"/>
    <w:rsid w:val="00B355F0"/>
    <w:rsid w:val="00B3578C"/>
    <w:rsid w:val="00B3595B"/>
    <w:rsid w:val="00B35AA1"/>
    <w:rsid w:val="00B35E63"/>
    <w:rsid w:val="00B369C4"/>
    <w:rsid w:val="00B36D9E"/>
    <w:rsid w:val="00B37019"/>
    <w:rsid w:val="00B37311"/>
    <w:rsid w:val="00B37387"/>
    <w:rsid w:val="00B373FB"/>
    <w:rsid w:val="00B37975"/>
    <w:rsid w:val="00B4106F"/>
    <w:rsid w:val="00B418A1"/>
    <w:rsid w:val="00B41BE7"/>
    <w:rsid w:val="00B424F7"/>
    <w:rsid w:val="00B42568"/>
    <w:rsid w:val="00B4316E"/>
    <w:rsid w:val="00B4339F"/>
    <w:rsid w:val="00B436BD"/>
    <w:rsid w:val="00B4376E"/>
    <w:rsid w:val="00B4381B"/>
    <w:rsid w:val="00B4383C"/>
    <w:rsid w:val="00B4403D"/>
    <w:rsid w:val="00B44317"/>
    <w:rsid w:val="00B447F3"/>
    <w:rsid w:val="00B44CAA"/>
    <w:rsid w:val="00B456A5"/>
    <w:rsid w:val="00B45847"/>
    <w:rsid w:val="00B460A1"/>
    <w:rsid w:val="00B46275"/>
    <w:rsid w:val="00B464C7"/>
    <w:rsid w:val="00B464FA"/>
    <w:rsid w:val="00B4658A"/>
    <w:rsid w:val="00B4733F"/>
    <w:rsid w:val="00B4758E"/>
    <w:rsid w:val="00B47CBB"/>
    <w:rsid w:val="00B502BC"/>
    <w:rsid w:val="00B5083E"/>
    <w:rsid w:val="00B50A1F"/>
    <w:rsid w:val="00B50ADB"/>
    <w:rsid w:val="00B50B87"/>
    <w:rsid w:val="00B50C2D"/>
    <w:rsid w:val="00B50FD1"/>
    <w:rsid w:val="00B515B6"/>
    <w:rsid w:val="00B51604"/>
    <w:rsid w:val="00B517DA"/>
    <w:rsid w:val="00B5197B"/>
    <w:rsid w:val="00B51C2A"/>
    <w:rsid w:val="00B51F64"/>
    <w:rsid w:val="00B5248D"/>
    <w:rsid w:val="00B52868"/>
    <w:rsid w:val="00B53B4E"/>
    <w:rsid w:val="00B53C5F"/>
    <w:rsid w:val="00B53CFF"/>
    <w:rsid w:val="00B53F86"/>
    <w:rsid w:val="00B53FF7"/>
    <w:rsid w:val="00B54A43"/>
    <w:rsid w:val="00B54ADC"/>
    <w:rsid w:val="00B54BD8"/>
    <w:rsid w:val="00B54C55"/>
    <w:rsid w:val="00B5508A"/>
    <w:rsid w:val="00B55138"/>
    <w:rsid w:val="00B558D7"/>
    <w:rsid w:val="00B5596C"/>
    <w:rsid w:val="00B56204"/>
    <w:rsid w:val="00B569B2"/>
    <w:rsid w:val="00B56FBD"/>
    <w:rsid w:val="00B5715A"/>
    <w:rsid w:val="00B572A7"/>
    <w:rsid w:val="00B57327"/>
    <w:rsid w:val="00B573F7"/>
    <w:rsid w:val="00B57F2F"/>
    <w:rsid w:val="00B57FE9"/>
    <w:rsid w:val="00B6002D"/>
    <w:rsid w:val="00B6010B"/>
    <w:rsid w:val="00B61262"/>
    <w:rsid w:val="00B61363"/>
    <w:rsid w:val="00B61469"/>
    <w:rsid w:val="00B6154C"/>
    <w:rsid w:val="00B615D8"/>
    <w:rsid w:val="00B6210A"/>
    <w:rsid w:val="00B6220A"/>
    <w:rsid w:val="00B62608"/>
    <w:rsid w:val="00B62743"/>
    <w:rsid w:val="00B629F3"/>
    <w:rsid w:val="00B630EB"/>
    <w:rsid w:val="00B6358B"/>
    <w:rsid w:val="00B63C08"/>
    <w:rsid w:val="00B64041"/>
    <w:rsid w:val="00B640CF"/>
    <w:rsid w:val="00B641C6"/>
    <w:rsid w:val="00B64780"/>
    <w:rsid w:val="00B654AD"/>
    <w:rsid w:val="00B65828"/>
    <w:rsid w:val="00B65E01"/>
    <w:rsid w:val="00B6625D"/>
    <w:rsid w:val="00B662BF"/>
    <w:rsid w:val="00B665BB"/>
    <w:rsid w:val="00B66800"/>
    <w:rsid w:val="00B668CA"/>
    <w:rsid w:val="00B66AB0"/>
    <w:rsid w:val="00B66D54"/>
    <w:rsid w:val="00B66E77"/>
    <w:rsid w:val="00B672D9"/>
    <w:rsid w:val="00B673B0"/>
    <w:rsid w:val="00B677D7"/>
    <w:rsid w:val="00B67A93"/>
    <w:rsid w:val="00B7095E"/>
    <w:rsid w:val="00B70C27"/>
    <w:rsid w:val="00B70ED8"/>
    <w:rsid w:val="00B710E0"/>
    <w:rsid w:val="00B7162D"/>
    <w:rsid w:val="00B71DA0"/>
    <w:rsid w:val="00B71E56"/>
    <w:rsid w:val="00B71F90"/>
    <w:rsid w:val="00B7203E"/>
    <w:rsid w:val="00B72438"/>
    <w:rsid w:val="00B727DF"/>
    <w:rsid w:val="00B72CF9"/>
    <w:rsid w:val="00B72EE9"/>
    <w:rsid w:val="00B730F2"/>
    <w:rsid w:val="00B73637"/>
    <w:rsid w:val="00B73942"/>
    <w:rsid w:val="00B73D34"/>
    <w:rsid w:val="00B742C1"/>
    <w:rsid w:val="00B74720"/>
    <w:rsid w:val="00B74AA2"/>
    <w:rsid w:val="00B74C99"/>
    <w:rsid w:val="00B74DC7"/>
    <w:rsid w:val="00B75032"/>
    <w:rsid w:val="00B750D5"/>
    <w:rsid w:val="00B7591C"/>
    <w:rsid w:val="00B75D1D"/>
    <w:rsid w:val="00B75E98"/>
    <w:rsid w:val="00B75F68"/>
    <w:rsid w:val="00B76340"/>
    <w:rsid w:val="00B76A3F"/>
    <w:rsid w:val="00B76A7D"/>
    <w:rsid w:val="00B76B06"/>
    <w:rsid w:val="00B76CE1"/>
    <w:rsid w:val="00B76DA3"/>
    <w:rsid w:val="00B76DEB"/>
    <w:rsid w:val="00B776D5"/>
    <w:rsid w:val="00B77B7E"/>
    <w:rsid w:val="00B804DE"/>
    <w:rsid w:val="00B805D0"/>
    <w:rsid w:val="00B80744"/>
    <w:rsid w:val="00B80979"/>
    <w:rsid w:val="00B81296"/>
    <w:rsid w:val="00B81382"/>
    <w:rsid w:val="00B818AA"/>
    <w:rsid w:val="00B81B66"/>
    <w:rsid w:val="00B81BC2"/>
    <w:rsid w:val="00B81C2F"/>
    <w:rsid w:val="00B81C75"/>
    <w:rsid w:val="00B81D8F"/>
    <w:rsid w:val="00B81EEF"/>
    <w:rsid w:val="00B81F26"/>
    <w:rsid w:val="00B821DC"/>
    <w:rsid w:val="00B82628"/>
    <w:rsid w:val="00B82CC0"/>
    <w:rsid w:val="00B82EBA"/>
    <w:rsid w:val="00B8344D"/>
    <w:rsid w:val="00B8350E"/>
    <w:rsid w:val="00B8352B"/>
    <w:rsid w:val="00B83812"/>
    <w:rsid w:val="00B83CC3"/>
    <w:rsid w:val="00B840BB"/>
    <w:rsid w:val="00B84898"/>
    <w:rsid w:val="00B84C9F"/>
    <w:rsid w:val="00B8525F"/>
    <w:rsid w:val="00B853BC"/>
    <w:rsid w:val="00B856E9"/>
    <w:rsid w:val="00B85774"/>
    <w:rsid w:val="00B85893"/>
    <w:rsid w:val="00B85BDF"/>
    <w:rsid w:val="00B85CD6"/>
    <w:rsid w:val="00B86429"/>
    <w:rsid w:val="00B8648F"/>
    <w:rsid w:val="00B866C7"/>
    <w:rsid w:val="00B86741"/>
    <w:rsid w:val="00B86EF1"/>
    <w:rsid w:val="00B86EFB"/>
    <w:rsid w:val="00B86FD6"/>
    <w:rsid w:val="00B8735F"/>
    <w:rsid w:val="00B87563"/>
    <w:rsid w:val="00B87EBC"/>
    <w:rsid w:val="00B87FF0"/>
    <w:rsid w:val="00B903AE"/>
    <w:rsid w:val="00B90825"/>
    <w:rsid w:val="00B9084F"/>
    <w:rsid w:val="00B90862"/>
    <w:rsid w:val="00B90DD5"/>
    <w:rsid w:val="00B91163"/>
    <w:rsid w:val="00B912EC"/>
    <w:rsid w:val="00B915DD"/>
    <w:rsid w:val="00B917AC"/>
    <w:rsid w:val="00B91B14"/>
    <w:rsid w:val="00B91F77"/>
    <w:rsid w:val="00B92126"/>
    <w:rsid w:val="00B92626"/>
    <w:rsid w:val="00B926AC"/>
    <w:rsid w:val="00B92E6B"/>
    <w:rsid w:val="00B93043"/>
    <w:rsid w:val="00B93431"/>
    <w:rsid w:val="00B93500"/>
    <w:rsid w:val="00B93522"/>
    <w:rsid w:val="00B93D97"/>
    <w:rsid w:val="00B93FBF"/>
    <w:rsid w:val="00B940B6"/>
    <w:rsid w:val="00B94392"/>
    <w:rsid w:val="00B94D75"/>
    <w:rsid w:val="00B95504"/>
    <w:rsid w:val="00B955F5"/>
    <w:rsid w:val="00B95663"/>
    <w:rsid w:val="00B95A36"/>
    <w:rsid w:val="00B95A93"/>
    <w:rsid w:val="00B95B92"/>
    <w:rsid w:val="00B95CCC"/>
    <w:rsid w:val="00B95E93"/>
    <w:rsid w:val="00B95F44"/>
    <w:rsid w:val="00B9611F"/>
    <w:rsid w:val="00B961EA"/>
    <w:rsid w:val="00B9650E"/>
    <w:rsid w:val="00B968EA"/>
    <w:rsid w:val="00B968FE"/>
    <w:rsid w:val="00B96D3C"/>
    <w:rsid w:val="00B97577"/>
    <w:rsid w:val="00B97B8F"/>
    <w:rsid w:val="00BA0965"/>
    <w:rsid w:val="00BA0FE9"/>
    <w:rsid w:val="00BA103F"/>
    <w:rsid w:val="00BA139F"/>
    <w:rsid w:val="00BA16BA"/>
    <w:rsid w:val="00BA1A0B"/>
    <w:rsid w:val="00BA1A82"/>
    <w:rsid w:val="00BA1B2C"/>
    <w:rsid w:val="00BA1D11"/>
    <w:rsid w:val="00BA1E22"/>
    <w:rsid w:val="00BA1E85"/>
    <w:rsid w:val="00BA359B"/>
    <w:rsid w:val="00BA3A93"/>
    <w:rsid w:val="00BA3DF2"/>
    <w:rsid w:val="00BA3E3F"/>
    <w:rsid w:val="00BA46E8"/>
    <w:rsid w:val="00BA4732"/>
    <w:rsid w:val="00BA4D05"/>
    <w:rsid w:val="00BA4D72"/>
    <w:rsid w:val="00BA4F45"/>
    <w:rsid w:val="00BA5165"/>
    <w:rsid w:val="00BA5599"/>
    <w:rsid w:val="00BA5A40"/>
    <w:rsid w:val="00BA5FD5"/>
    <w:rsid w:val="00BA62AB"/>
    <w:rsid w:val="00BA7E0B"/>
    <w:rsid w:val="00BB0053"/>
    <w:rsid w:val="00BB0118"/>
    <w:rsid w:val="00BB0DE3"/>
    <w:rsid w:val="00BB0EA0"/>
    <w:rsid w:val="00BB10CD"/>
    <w:rsid w:val="00BB10F0"/>
    <w:rsid w:val="00BB122E"/>
    <w:rsid w:val="00BB161D"/>
    <w:rsid w:val="00BB1A82"/>
    <w:rsid w:val="00BB1BDE"/>
    <w:rsid w:val="00BB1DD9"/>
    <w:rsid w:val="00BB20DC"/>
    <w:rsid w:val="00BB25B3"/>
    <w:rsid w:val="00BB25BB"/>
    <w:rsid w:val="00BB287A"/>
    <w:rsid w:val="00BB2DD8"/>
    <w:rsid w:val="00BB318A"/>
    <w:rsid w:val="00BB35FC"/>
    <w:rsid w:val="00BB3EB9"/>
    <w:rsid w:val="00BB4389"/>
    <w:rsid w:val="00BB4973"/>
    <w:rsid w:val="00BB4A6F"/>
    <w:rsid w:val="00BB4DA4"/>
    <w:rsid w:val="00BB4E26"/>
    <w:rsid w:val="00BB546C"/>
    <w:rsid w:val="00BB56B1"/>
    <w:rsid w:val="00BB5759"/>
    <w:rsid w:val="00BB5A30"/>
    <w:rsid w:val="00BB5B98"/>
    <w:rsid w:val="00BB6407"/>
    <w:rsid w:val="00BB718E"/>
    <w:rsid w:val="00BB7409"/>
    <w:rsid w:val="00BB7BAC"/>
    <w:rsid w:val="00BB7F7D"/>
    <w:rsid w:val="00BC009A"/>
    <w:rsid w:val="00BC057A"/>
    <w:rsid w:val="00BC0598"/>
    <w:rsid w:val="00BC08D8"/>
    <w:rsid w:val="00BC08FC"/>
    <w:rsid w:val="00BC0AC6"/>
    <w:rsid w:val="00BC1010"/>
    <w:rsid w:val="00BC13CC"/>
    <w:rsid w:val="00BC1799"/>
    <w:rsid w:val="00BC202D"/>
    <w:rsid w:val="00BC213B"/>
    <w:rsid w:val="00BC2821"/>
    <w:rsid w:val="00BC2964"/>
    <w:rsid w:val="00BC30D2"/>
    <w:rsid w:val="00BC3112"/>
    <w:rsid w:val="00BC3776"/>
    <w:rsid w:val="00BC3916"/>
    <w:rsid w:val="00BC39C4"/>
    <w:rsid w:val="00BC3D8E"/>
    <w:rsid w:val="00BC3E6F"/>
    <w:rsid w:val="00BC3E7F"/>
    <w:rsid w:val="00BC41B5"/>
    <w:rsid w:val="00BC4C63"/>
    <w:rsid w:val="00BC53C2"/>
    <w:rsid w:val="00BC54D1"/>
    <w:rsid w:val="00BC58C5"/>
    <w:rsid w:val="00BC58C6"/>
    <w:rsid w:val="00BC5C9E"/>
    <w:rsid w:val="00BC6308"/>
    <w:rsid w:val="00BC63B9"/>
    <w:rsid w:val="00BC63FE"/>
    <w:rsid w:val="00BC666D"/>
    <w:rsid w:val="00BC67A4"/>
    <w:rsid w:val="00BC6AA4"/>
    <w:rsid w:val="00BC6B4D"/>
    <w:rsid w:val="00BC6C4F"/>
    <w:rsid w:val="00BC75C4"/>
    <w:rsid w:val="00BC76AA"/>
    <w:rsid w:val="00BC793F"/>
    <w:rsid w:val="00BD1290"/>
    <w:rsid w:val="00BD15B6"/>
    <w:rsid w:val="00BD1A5A"/>
    <w:rsid w:val="00BD1CFB"/>
    <w:rsid w:val="00BD29A3"/>
    <w:rsid w:val="00BD2AAB"/>
    <w:rsid w:val="00BD2ACF"/>
    <w:rsid w:val="00BD2B8F"/>
    <w:rsid w:val="00BD2F3F"/>
    <w:rsid w:val="00BD34A7"/>
    <w:rsid w:val="00BD35B9"/>
    <w:rsid w:val="00BD369D"/>
    <w:rsid w:val="00BD36EC"/>
    <w:rsid w:val="00BD4A52"/>
    <w:rsid w:val="00BD51CA"/>
    <w:rsid w:val="00BD5459"/>
    <w:rsid w:val="00BD59FB"/>
    <w:rsid w:val="00BD5CD2"/>
    <w:rsid w:val="00BD5F3C"/>
    <w:rsid w:val="00BD6B0D"/>
    <w:rsid w:val="00BD77DE"/>
    <w:rsid w:val="00BD79C2"/>
    <w:rsid w:val="00BD7D1A"/>
    <w:rsid w:val="00BE0515"/>
    <w:rsid w:val="00BE1254"/>
    <w:rsid w:val="00BE1B27"/>
    <w:rsid w:val="00BE1F2E"/>
    <w:rsid w:val="00BE1FA7"/>
    <w:rsid w:val="00BE2AD7"/>
    <w:rsid w:val="00BE2BAA"/>
    <w:rsid w:val="00BE2FF7"/>
    <w:rsid w:val="00BE31DB"/>
    <w:rsid w:val="00BE38FD"/>
    <w:rsid w:val="00BE4972"/>
    <w:rsid w:val="00BE4DA5"/>
    <w:rsid w:val="00BE4F8D"/>
    <w:rsid w:val="00BE50E1"/>
    <w:rsid w:val="00BE590A"/>
    <w:rsid w:val="00BE5DC6"/>
    <w:rsid w:val="00BE5DED"/>
    <w:rsid w:val="00BE6179"/>
    <w:rsid w:val="00BE66A5"/>
    <w:rsid w:val="00BE6A22"/>
    <w:rsid w:val="00BE6C52"/>
    <w:rsid w:val="00BE6FA3"/>
    <w:rsid w:val="00BE71DF"/>
    <w:rsid w:val="00BE770F"/>
    <w:rsid w:val="00BE778C"/>
    <w:rsid w:val="00BE77C4"/>
    <w:rsid w:val="00BE7FE3"/>
    <w:rsid w:val="00BF01D4"/>
    <w:rsid w:val="00BF0463"/>
    <w:rsid w:val="00BF08C8"/>
    <w:rsid w:val="00BF0CFC"/>
    <w:rsid w:val="00BF11F8"/>
    <w:rsid w:val="00BF1B9B"/>
    <w:rsid w:val="00BF1DB3"/>
    <w:rsid w:val="00BF20FB"/>
    <w:rsid w:val="00BF2355"/>
    <w:rsid w:val="00BF2997"/>
    <w:rsid w:val="00BF2B28"/>
    <w:rsid w:val="00BF2B84"/>
    <w:rsid w:val="00BF3159"/>
    <w:rsid w:val="00BF3A7A"/>
    <w:rsid w:val="00BF4058"/>
    <w:rsid w:val="00BF4C22"/>
    <w:rsid w:val="00BF4CD1"/>
    <w:rsid w:val="00BF4DD7"/>
    <w:rsid w:val="00BF51E4"/>
    <w:rsid w:val="00BF5900"/>
    <w:rsid w:val="00BF59E2"/>
    <w:rsid w:val="00BF5DFD"/>
    <w:rsid w:val="00BF6043"/>
    <w:rsid w:val="00BF76ED"/>
    <w:rsid w:val="00BF774F"/>
    <w:rsid w:val="00BF7850"/>
    <w:rsid w:val="00C00156"/>
    <w:rsid w:val="00C003C3"/>
    <w:rsid w:val="00C006F6"/>
    <w:rsid w:val="00C00838"/>
    <w:rsid w:val="00C008C6"/>
    <w:rsid w:val="00C00BE6"/>
    <w:rsid w:val="00C00F80"/>
    <w:rsid w:val="00C01250"/>
    <w:rsid w:val="00C01619"/>
    <w:rsid w:val="00C02C01"/>
    <w:rsid w:val="00C02D7B"/>
    <w:rsid w:val="00C03041"/>
    <w:rsid w:val="00C03384"/>
    <w:rsid w:val="00C035DA"/>
    <w:rsid w:val="00C03815"/>
    <w:rsid w:val="00C041F4"/>
    <w:rsid w:val="00C04C59"/>
    <w:rsid w:val="00C0524E"/>
    <w:rsid w:val="00C05428"/>
    <w:rsid w:val="00C058A3"/>
    <w:rsid w:val="00C05E05"/>
    <w:rsid w:val="00C0670F"/>
    <w:rsid w:val="00C06B5A"/>
    <w:rsid w:val="00C06D95"/>
    <w:rsid w:val="00C0711F"/>
    <w:rsid w:val="00C077E1"/>
    <w:rsid w:val="00C079C7"/>
    <w:rsid w:val="00C07B2D"/>
    <w:rsid w:val="00C07EF8"/>
    <w:rsid w:val="00C07F83"/>
    <w:rsid w:val="00C107BE"/>
    <w:rsid w:val="00C10BD0"/>
    <w:rsid w:val="00C10C03"/>
    <w:rsid w:val="00C10CAF"/>
    <w:rsid w:val="00C112F7"/>
    <w:rsid w:val="00C1161D"/>
    <w:rsid w:val="00C117E7"/>
    <w:rsid w:val="00C11E13"/>
    <w:rsid w:val="00C12CC4"/>
    <w:rsid w:val="00C12CE6"/>
    <w:rsid w:val="00C12D9C"/>
    <w:rsid w:val="00C13208"/>
    <w:rsid w:val="00C13398"/>
    <w:rsid w:val="00C133F5"/>
    <w:rsid w:val="00C13413"/>
    <w:rsid w:val="00C1360E"/>
    <w:rsid w:val="00C13819"/>
    <w:rsid w:val="00C13CCA"/>
    <w:rsid w:val="00C142EA"/>
    <w:rsid w:val="00C1475A"/>
    <w:rsid w:val="00C14863"/>
    <w:rsid w:val="00C14AD2"/>
    <w:rsid w:val="00C14CA5"/>
    <w:rsid w:val="00C14E4D"/>
    <w:rsid w:val="00C14F3C"/>
    <w:rsid w:val="00C14FCC"/>
    <w:rsid w:val="00C15213"/>
    <w:rsid w:val="00C1538B"/>
    <w:rsid w:val="00C15750"/>
    <w:rsid w:val="00C15BE1"/>
    <w:rsid w:val="00C160D9"/>
    <w:rsid w:val="00C16B32"/>
    <w:rsid w:val="00C16FF1"/>
    <w:rsid w:val="00C17089"/>
    <w:rsid w:val="00C1715B"/>
    <w:rsid w:val="00C174EA"/>
    <w:rsid w:val="00C1757F"/>
    <w:rsid w:val="00C17A9F"/>
    <w:rsid w:val="00C17B74"/>
    <w:rsid w:val="00C17BCC"/>
    <w:rsid w:val="00C20001"/>
    <w:rsid w:val="00C20358"/>
    <w:rsid w:val="00C204E7"/>
    <w:rsid w:val="00C2053F"/>
    <w:rsid w:val="00C20A09"/>
    <w:rsid w:val="00C20AEB"/>
    <w:rsid w:val="00C20E0E"/>
    <w:rsid w:val="00C20F22"/>
    <w:rsid w:val="00C21336"/>
    <w:rsid w:val="00C2161D"/>
    <w:rsid w:val="00C21C05"/>
    <w:rsid w:val="00C21FF8"/>
    <w:rsid w:val="00C220F2"/>
    <w:rsid w:val="00C223A0"/>
    <w:rsid w:val="00C225E7"/>
    <w:rsid w:val="00C2398A"/>
    <w:rsid w:val="00C23BBD"/>
    <w:rsid w:val="00C23E3D"/>
    <w:rsid w:val="00C2455C"/>
    <w:rsid w:val="00C24638"/>
    <w:rsid w:val="00C2472C"/>
    <w:rsid w:val="00C24E22"/>
    <w:rsid w:val="00C2554A"/>
    <w:rsid w:val="00C26495"/>
    <w:rsid w:val="00C26B77"/>
    <w:rsid w:val="00C273ED"/>
    <w:rsid w:val="00C27447"/>
    <w:rsid w:val="00C27891"/>
    <w:rsid w:val="00C27D45"/>
    <w:rsid w:val="00C27D6F"/>
    <w:rsid w:val="00C300F5"/>
    <w:rsid w:val="00C30304"/>
    <w:rsid w:val="00C30395"/>
    <w:rsid w:val="00C30AED"/>
    <w:rsid w:val="00C30BEE"/>
    <w:rsid w:val="00C31073"/>
    <w:rsid w:val="00C3128B"/>
    <w:rsid w:val="00C312C4"/>
    <w:rsid w:val="00C314B5"/>
    <w:rsid w:val="00C32532"/>
    <w:rsid w:val="00C32570"/>
    <w:rsid w:val="00C329FF"/>
    <w:rsid w:val="00C32C1E"/>
    <w:rsid w:val="00C32D53"/>
    <w:rsid w:val="00C32F69"/>
    <w:rsid w:val="00C3312E"/>
    <w:rsid w:val="00C3346E"/>
    <w:rsid w:val="00C337CD"/>
    <w:rsid w:val="00C33CD5"/>
    <w:rsid w:val="00C33E8B"/>
    <w:rsid w:val="00C340CF"/>
    <w:rsid w:val="00C34101"/>
    <w:rsid w:val="00C348FE"/>
    <w:rsid w:val="00C34DDF"/>
    <w:rsid w:val="00C34EAC"/>
    <w:rsid w:val="00C34FBC"/>
    <w:rsid w:val="00C35087"/>
    <w:rsid w:val="00C35140"/>
    <w:rsid w:val="00C3523B"/>
    <w:rsid w:val="00C35947"/>
    <w:rsid w:val="00C3595E"/>
    <w:rsid w:val="00C35C46"/>
    <w:rsid w:val="00C36150"/>
    <w:rsid w:val="00C36836"/>
    <w:rsid w:val="00C36B6C"/>
    <w:rsid w:val="00C36FFE"/>
    <w:rsid w:val="00C37295"/>
    <w:rsid w:val="00C37B45"/>
    <w:rsid w:val="00C4061D"/>
    <w:rsid w:val="00C40A83"/>
    <w:rsid w:val="00C40D37"/>
    <w:rsid w:val="00C40F06"/>
    <w:rsid w:val="00C40FA8"/>
    <w:rsid w:val="00C412E1"/>
    <w:rsid w:val="00C413EC"/>
    <w:rsid w:val="00C416FD"/>
    <w:rsid w:val="00C41E73"/>
    <w:rsid w:val="00C41F28"/>
    <w:rsid w:val="00C41FA0"/>
    <w:rsid w:val="00C424ED"/>
    <w:rsid w:val="00C4271F"/>
    <w:rsid w:val="00C42A6C"/>
    <w:rsid w:val="00C42B60"/>
    <w:rsid w:val="00C42C3E"/>
    <w:rsid w:val="00C43292"/>
    <w:rsid w:val="00C43E4A"/>
    <w:rsid w:val="00C43FD4"/>
    <w:rsid w:val="00C44045"/>
    <w:rsid w:val="00C4445E"/>
    <w:rsid w:val="00C44846"/>
    <w:rsid w:val="00C44DB1"/>
    <w:rsid w:val="00C45A51"/>
    <w:rsid w:val="00C463BA"/>
    <w:rsid w:val="00C469E3"/>
    <w:rsid w:val="00C46CCD"/>
    <w:rsid w:val="00C46EBB"/>
    <w:rsid w:val="00C4705E"/>
    <w:rsid w:val="00C47155"/>
    <w:rsid w:val="00C47210"/>
    <w:rsid w:val="00C47902"/>
    <w:rsid w:val="00C47987"/>
    <w:rsid w:val="00C47B25"/>
    <w:rsid w:val="00C47CD2"/>
    <w:rsid w:val="00C47D56"/>
    <w:rsid w:val="00C50188"/>
    <w:rsid w:val="00C50821"/>
    <w:rsid w:val="00C510DE"/>
    <w:rsid w:val="00C51A91"/>
    <w:rsid w:val="00C51D72"/>
    <w:rsid w:val="00C52B13"/>
    <w:rsid w:val="00C52F64"/>
    <w:rsid w:val="00C53085"/>
    <w:rsid w:val="00C536E4"/>
    <w:rsid w:val="00C538AE"/>
    <w:rsid w:val="00C53C32"/>
    <w:rsid w:val="00C53E7A"/>
    <w:rsid w:val="00C53F3D"/>
    <w:rsid w:val="00C54492"/>
    <w:rsid w:val="00C544B6"/>
    <w:rsid w:val="00C54601"/>
    <w:rsid w:val="00C54815"/>
    <w:rsid w:val="00C54E26"/>
    <w:rsid w:val="00C54F8F"/>
    <w:rsid w:val="00C55509"/>
    <w:rsid w:val="00C5575B"/>
    <w:rsid w:val="00C55BC6"/>
    <w:rsid w:val="00C55D06"/>
    <w:rsid w:val="00C55DAB"/>
    <w:rsid w:val="00C564C9"/>
    <w:rsid w:val="00C5654E"/>
    <w:rsid w:val="00C568B9"/>
    <w:rsid w:val="00C56A84"/>
    <w:rsid w:val="00C56C5B"/>
    <w:rsid w:val="00C573C7"/>
    <w:rsid w:val="00C575E8"/>
    <w:rsid w:val="00C5777E"/>
    <w:rsid w:val="00C57A9A"/>
    <w:rsid w:val="00C57BA2"/>
    <w:rsid w:val="00C57D3D"/>
    <w:rsid w:val="00C57EB0"/>
    <w:rsid w:val="00C606C5"/>
    <w:rsid w:val="00C60984"/>
    <w:rsid w:val="00C60E33"/>
    <w:rsid w:val="00C6105E"/>
    <w:rsid w:val="00C6111A"/>
    <w:rsid w:val="00C615DC"/>
    <w:rsid w:val="00C61801"/>
    <w:rsid w:val="00C6182F"/>
    <w:rsid w:val="00C618DF"/>
    <w:rsid w:val="00C61F7C"/>
    <w:rsid w:val="00C623F5"/>
    <w:rsid w:val="00C6249B"/>
    <w:rsid w:val="00C633F9"/>
    <w:rsid w:val="00C637BA"/>
    <w:rsid w:val="00C63BD8"/>
    <w:rsid w:val="00C65030"/>
    <w:rsid w:val="00C652A1"/>
    <w:rsid w:val="00C655E4"/>
    <w:rsid w:val="00C65738"/>
    <w:rsid w:val="00C6590A"/>
    <w:rsid w:val="00C65FFB"/>
    <w:rsid w:val="00C66663"/>
    <w:rsid w:val="00C668D8"/>
    <w:rsid w:val="00C66AAF"/>
    <w:rsid w:val="00C66BCD"/>
    <w:rsid w:val="00C66D75"/>
    <w:rsid w:val="00C66E74"/>
    <w:rsid w:val="00C67029"/>
    <w:rsid w:val="00C67091"/>
    <w:rsid w:val="00C670BF"/>
    <w:rsid w:val="00C6717B"/>
    <w:rsid w:val="00C67CCE"/>
    <w:rsid w:val="00C70B38"/>
    <w:rsid w:val="00C70B43"/>
    <w:rsid w:val="00C70D6B"/>
    <w:rsid w:val="00C70F10"/>
    <w:rsid w:val="00C71316"/>
    <w:rsid w:val="00C714F2"/>
    <w:rsid w:val="00C71A56"/>
    <w:rsid w:val="00C71D6E"/>
    <w:rsid w:val="00C7256E"/>
    <w:rsid w:val="00C72FA0"/>
    <w:rsid w:val="00C730CC"/>
    <w:rsid w:val="00C73705"/>
    <w:rsid w:val="00C73C33"/>
    <w:rsid w:val="00C73FB7"/>
    <w:rsid w:val="00C740DE"/>
    <w:rsid w:val="00C743E0"/>
    <w:rsid w:val="00C7532A"/>
    <w:rsid w:val="00C75721"/>
    <w:rsid w:val="00C760A6"/>
    <w:rsid w:val="00C762B7"/>
    <w:rsid w:val="00C763D3"/>
    <w:rsid w:val="00C7676F"/>
    <w:rsid w:val="00C76825"/>
    <w:rsid w:val="00C76D83"/>
    <w:rsid w:val="00C76F95"/>
    <w:rsid w:val="00C77B63"/>
    <w:rsid w:val="00C77C4B"/>
    <w:rsid w:val="00C77D50"/>
    <w:rsid w:val="00C77F77"/>
    <w:rsid w:val="00C80979"/>
    <w:rsid w:val="00C80996"/>
    <w:rsid w:val="00C80DC6"/>
    <w:rsid w:val="00C80F60"/>
    <w:rsid w:val="00C812A2"/>
    <w:rsid w:val="00C815E4"/>
    <w:rsid w:val="00C819F5"/>
    <w:rsid w:val="00C822CB"/>
    <w:rsid w:val="00C8290C"/>
    <w:rsid w:val="00C82CB0"/>
    <w:rsid w:val="00C83021"/>
    <w:rsid w:val="00C831FA"/>
    <w:rsid w:val="00C835DE"/>
    <w:rsid w:val="00C84958"/>
    <w:rsid w:val="00C84C25"/>
    <w:rsid w:val="00C8512B"/>
    <w:rsid w:val="00C85333"/>
    <w:rsid w:val="00C8565C"/>
    <w:rsid w:val="00C858C8"/>
    <w:rsid w:val="00C85A79"/>
    <w:rsid w:val="00C86242"/>
    <w:rsid w:val="00C8632D"/>
    <w:rsid w:val="00C86B22"/>
    <w:rsid w:val="00C86D3D"/>
    <w:rsid w:val="00C86D64"/>
    <w:rsid w:val="00C87CDD"/>
    <w:rsid w:val="00C87F44"/>
    <w:rsid w:val="00C909EE"/>
    <w:rsid w:val="00C90E27"/>
    <w:rsid w:val="00C91062"/>
    <w:rsid w:val="00C910ED"/>
    <w:rsid w:val="00C914C9"/>
    <w:rsid w:val="00C9156F"/>
    <w:rsid w:val="00C91E57"/>
    <w:rsid w:val="00C920BB"/>
    <w:rsid w:val="00C922E8"/>
    <w:rsid w:val="00C9291B"/>
    <w:rsid w:val="00C92F47"/>
    <w:rsid w:val="00C92FFA"/>
    <w:rsid w:val="00C93188"/>
    <w:rsid w:val="00C931B7"/>
    <w:rsid w:val="00C93950"/>
    <w:rsid w:val="00C9434D"/>
    <w:rsid w:val="00C94356"/>
    <w:rsid w:val="00C94446"/>
    <w:rsid w:val="00C94A1B"/>
    <w:rsid w:val="00C94EF3"/>
    <w:rsid w:val="00C952A9"/>
    <w:rsid w:val="00C9534F"/>
    <w:rsid w:val="00C9571A"/>
    <w:rsid w:val="00C95E98"/>
    <w:rsid w:val="00C95F67"/>
    <w:rsid w:val="00C961C0"/>
    <w:rsid w:val="00C964F6"/>
    <w:rsid w:val="00C965E4"/>
    <w:rsid w:val="00C96A33"/>
    <w:rsid w:val="00C96C96"/>
    <w:rsid w:val="00C971B0"/>
    <w:rsid w:val="00C9720C"/>
    <w:rsid w:val="00C9739A"/>
    <w:rsid w:val="00CA13BF"/>
    <w:rsid w:val="00CA13F7"/>
    <w:rsid w:val="00CA1463"/>
    <w:rsid w:val="00CA14DE"/>
    <w:rsid w:val="00CA1D38"/>
    <w:rsid w:val="00CA2595"/>
    <w:rsid w:val="00CA2A57"/>
    <w:rsid w:val="00CA2C4B"/>
    <w:rsid w:val="00CA30A9"/>
    <w:rsid w:val="00CA3312"/>
    <w:rsid w:val="00CA35EC"/>
    <w:rsid w:val="00CA3CB4"/>
    <w:rsid w:val="00CA3D36"/>
    <w:rsid w:val="00CA3EC4"/>
    <w:rsid w:val="00CA40DD"/>
    <w:rsid w:val="00CA4249"/>
    <w:rsid w:val="00CA4CF3"/>
    <w:rsid w:val="00CA4EF3"/>
    <w:rsid w:val="00CA5426"/>
    <w:rsid w:val="00CA575F"/>
    <w:rsid w:val="00CA57D4"/>
    <w:rsid w:val="00CA5CA5"/>
    <w:rsid w:val="00CA5F74"/>
    <w:rsid w:val="00CA6F7C"/>
    <w:rsid w:val="00CA7AC2"/>
    <w:rsid w:val="00CA7C8E"/>
    <w:rsid w:val="00CA7EEF"/>
    <w:rsid w:val="00CB0265"/>
    <w:rsid w:val="00CB0652"/>
    <w:rsid w:val="00CB085F"/>
    <w:rsid w:val="00CB095E"/>
    <w:rsid w:val="00CB0A8A"/>
    <w:rsid w:val="00CB0E18"/>
    <w:rsid w:val="00CB119B"/>
    <w:rsid w:val="00CB138C"/>
    <w:rsid w:val="00CB13CD"/>
    <w:rsid w:val="00CB1BD3"/>
    <w:rsid w:val="00CB21EF"/>
    <w:rsid w:val="00CB26B1"/>
    <w:rsid w:val="00CB2714"/>
    <w:rsid w:val="00CB2824"/>
    <w:rsid w:val="00CB2C75"/>
    <w:rsid w:val="00CB2F95"/>
    <w:rsid w:val="00CB30E7"/>
    <w:rsid w:val="00CB3270"/>
    <w:rsid w:val="00CB3823"/>
    <w:rsid w:val="00CB3D8F"/>
    <w:rsid w:val="00CB4679"/>
    <w:rsid w:val="00CB4C9B"/>
    <w:rsid w:val="00CB4DA4"/>
    <w:rsid w:val="00CB4F36"/>
    <w:rsid w:val="00CB557A"/>
    <w:rsid w:val="00CB5F95"/>
    <w:rsid w:val="00CB6108"/>
    <w:rsid w:val="00CB644A"/>
    <w:rsid w:val="00CB65A6"/>
    <w:rsid w:val="00CB6EA0"/>
    <w:rsid w:val="00CB6FAF"/>
    <w:rsid w:val="00CB7071"/>
    <w:rsid w:val="00CB75C3"/>
    <w:rsid w:val="00CB75F9"/>
    <w:rsid w:val="00CB7D14"/>
    <w:rsid w:val="00CB7D9F"/>
    <w:rsid w:val="00CC01EA"/>
    <w:rsid w:val="00CC07A1"/>
    <w:rsid w:val="00CC0824"/>
    <w:rsid w:val="00CC0840"/>
    <w:rsid w:val="00CC08D7"/>
    <w:rsid w:val="00CC0A9A"/>
    <w:rsid w:val="00CC0EA3"/>
    <w:rsid w:val="00CC155F"/>
    <w:rsid w:val="00CC156F"/>
    <w:rsid w:val="00CC17DC"/>
    <w:rsid w:val="00CC186A"/>
    <w:rsid w:val="00CC1AEE"/>
    <w:rsid w:val="00CC2B9C"/>
    <w:rsid w:val="00CC2BDD"/>
    <w:rsid w:val="00CC30D6"/>
    <w:rsid w:val="00CC326E"/>
    <w:rsid w:val="00CC3389"/>
    <w:rsid w:val="00CC3520"/>
    <w:rsid w:val="00CC378A"/>
    <w:rsid w:val="00CC38EE"/>
    <w:rsid w:val="00CC409F"/>
    <w:rsid w:val="00CC4867"/>
    <w:rsid w:val="00CC566D"/>
    <w:rsid w:val="00CC5CA4"/>
    <w:rsid w:val="00CC60CD"/>
    <w:rsid w:val="00CC6AA6"/>
    <w:rsid w:val="00CC6ACF"/>
    <w:rsid w:val="00CC6F63"/>
    <w:rsid w:val="00CC722F"/>
    <w:rsid w:val="00CC726E"/>
    <w:rsid w:val="00CC7476"/>
    <w:rsid w:val="00CC75EE"/>
    <w:rsid w:val="00CC7CE7"/>
    <w:rsid w:val="00CD0BAE"/>
    <w:rsid w:val="00CD1017"/>
    <w:rsid w:val="00CD129C"/>
    <w:rsid w:val="00CD12BA"/>
    <w:rsid w:val="00CD13BE"/>
    <w:rsid w:val="00CD181E"/>
    <w:rsid w:val="00CD1D10"/>
    <w:rsid w:val="00CD2688"/>
    <w:rsid w:val="00CD2B6B"/>
    <w:rsid w:val="00CD2C45"/>
    <w:rsid w:val="00CD2CD2"/>
    <w:rsid w:val="00CD347F"/>
    <w:rsid w:val="00CD387C"/>
    <w:rsid w:val="00CD474C"/>
    <w:rsid w:val="00CD4C49"/>
    <w:rsid w:val="00CD5589"/>
    <w:rsid w:val="00CD5A21"/>
    <w:rsid w:val="00CD5CCC"/>
    <w:rsid w:val="00CD6B16"/>
    <w:rsid w:val="00CD6B5E"/>
    <w:rsid w:val="00CD7045"/>
    <w:rsid w:val="00CD71C4"/>
    <w:rsid w:val="00CD739C"/>
    <w:rsid w:val="00CD7422"/>
    <w:rsid w:val="00CE0343"/>
    <w:rsid w:val="00CE0950"/>
    <w:rsid w:val="00CE0D96"/>
    <w:rsid w:val="00CE0FC5"/>
    <w:rsid w:val="00CE11D8"/>
    <w:rsid w:val="00CE1648"/>
    <w:rsid w:val="00CE1A90"/>
    <w:rsid w:val="00CE1BDF"/>
    <w:rsid w:val="00CE1C5C"/>
    <w:rsid w:val="00CE1CA9"/>
    <w:rsid w:val="00CE1E07"/>
    <w:rsid w:val="00CE2567"/>
    <w:rsid w:val="00CE25DD"/>
    <w:rsid w:val="00CE263A"/>
    <w:rsid w:val="00CE2A65"/>
    <w:rsid w:val="00CE2D19"/>
    <w:rsid w:val="00CE2E49"/>
    <w:rsid w:val="00CE3037"/>
    <w:rsid w:val="00CE32AD"/>
    <w:rsid w:val="00CE3361"/>
    <w:rsid w:val="00CE3435"/>
    <w:rsid w:val="00CE36E4"/>
    <w:rsid w:val="00CE3DCA"/>
    <w:rsid w:val="00CE3F49"/>
    <w:rsid w:val="00CE47E9"/>
    <w:rsid w:val="00CE4946"/>
    <w:rsid w:val="00CE49B0"/>
    <w:rsid w:val="00CE4D55"/>
    <w:rsid w:val="00CE4EA8"/>
    <w:rsid w:val="00CE5261"/>
    <w:rsid w:val="00CE5820"/>
    <w:rsid w:val="00CE584B"/>
    <w:rsid w:val="00CE5A0A"/>
    <w:rsid w:val="00CE5B72"/>
    <w:rsid w:val="00CE62C6"/>
    <w:rsid w:val="00CE6C5C"/>
    <w:rsid w:val="00CE7030"/>
    <w:rsid w:val="00CE72F6"/>
    <w:rsid w:val="00CE73DC"/>
    <w:rsid w:val="00CE7E82"/>
    <w:rsid w:val="00CE7F90"/>
    <w:rsid w:val="00CE7FF2"/>
    <w:rsid w:val="00CF0054"/>
    <w:rsid w:val="00CF063B"/>
    <w:rsid w:val="00CF0B25"/>
    <w:rsid w:val="00CF0C99"/>
    <w:rsid w:val="00CF0E8B"/>
    <w:rsid w:val="00CF1090"/>
    <w:rsid w:val="00CF12A2"/>
    <w:rsid w:val="00CF12DA"/>
    <w:rsid w:val="00CF185C"/>
    <w:rsid w:val="00CF18C7"/>
    <w:rsid w:val="00CF1AB9"/>
    <w:rsid w:val="00CF1B03"/>
    <w:rsid w:val="00CF1B1E"/>
    <w:rsid w:val="00CF1E58"/>
    <w:rsid w:val="00CF1F79"/>
    <w:rsid w:val="00CF22C6"/>
    <w:rsid w:val="00CF2B1C"/>
    <w:rsid w:val="00CF2B8E"/>
    <w:rsid w:val="00CF39B2"/>
    <w:rsid w:val="00CF3E3D"/>
    <w:rsid w:val="00CF3F41"/>
    <w:rsid w:val="00CF4060"/>
    <w:rsid w:val="00CF52EB"/>
    <w:rsid w:val="00CF57AF"/>
    <w:rsid w:val="00CF585D"/>
    <w:rsid w:val="00CF5CA8"/>
    <w:rsid w:val="00CF675E"/>
    <w:rsid w:val="00CF6EA9"/>
    <w:rsid w:val="00CF70D5"/>
    <w:rsid w:val="00CF715E"/>
    <w:rsid w:val="00CF72BD"/>
    <w:rsid w:val="00CF767E"/>
    <w:rsid w:val="00CF78C0"/>
    <w:rsid w:val="00CF793A"/>
    <w:rsid w:val="00CF7A19"/>
    <w:rsid w:val="00CF7A51"/>
    <w:rsid w:val="00CF7BB5"/>
    <w:rsid w:val="00D00C54"/>
    <w:rsid w:val="00D015A8"/>
    <w:rsid w:val="00D01F47"/>
    <w:rsid w:val="00D024F9"/>
    <w:rsid w:val="00D027F9"/>
    <w:rsid w:val="00D032AA"/>
    <w:rsid w:val="00D03A3E"/>
    <w:rsid w:val="00D03B1A"/>
    <w:rsid w:val="00D03D46"/>
    <w:rsid w:val="00D03E97"/>
    <w:rsid w:val="00D04005"/>
    <w:rsid w:val="00D040BB"/>
    <w:rsid w:val="00D05501"/>
    <w:rsid w:val="00D056E9"/>
    <w:rsid w:val="00D05CB6"/>
    <w:rsid w:val="00D05E3B"/>
    <w:rsid w:val="00D060FC"/>
    <w:rsid w:val="00D061FC"/>
    <w:rsid w:val="00D06325"/>
    <w:rsid w:val="00D0651F"/>
    <w:rsid w:val="00D06DF0"/>
    <w:rsid w:val="00D072BF"/>
    <w:rsid w:val="00D07684"/>
    <w:rsid w:val="00D076A6"/>
    <w:rsid w:val="00D0789A"/>
    <w:rsid w:val="00D07F59"/>
    <w:rsid w:val="00D1026B"/>
    <w:rsid w:val="00D104B2"/>
    <w:rsid w:val="00D10875"/>
    <w:rsid w:val="00D10986"/>
    <w:rsid w:val="00D11877"/>
    <w:rsid w:val="00D1188C"/>
    <w:rsid w:val="00D11BB2"/>
    <w:rsid w:val="00D11BF3"/>
    <w:rsid w:val="00D120DE"/>
    <w:rsid w:val="00D123F2"/>
    <w:rsid w:val="00D124B3"/>
    <w:rsid w:val="00D1278D"/>
    <w:rsid w:val="00D12D14"/>
    <w:rsid w:val="00D12DAB"/>
    <w:rsid w:val="00D12F1F"/>
    <w:rsid w:val="00D13207"/>
    <w:rsid w:val="00D13358"/>
    <w:rsid w:val="00D1342C"/>
    <w:rsid w:val="00D13584"/>
    <w:rsid w:val="00D13F37"/>
    <w:rsid w:val="00D13FED"/>
    <w:rsid w:val="00D1421E"/>
    <w:rsid w:val="00D142DE"/>
    <w:rsid w:val="00D142FA"/>
    <w:rsid w:val="00D143C6"/>
    <w:rsid w:val="00D14873"/>
    <w:rsid w:val="00D14C06"/>
    <w:rsid w:val="00D14DAF"/>
    <w:rsid w:val="00D151F4"/>
    <w:rsid w:val="00D1564A"/>
    <w:rsid w:val="00D156AA"/>
    <w:rsid w:val="00D156E5"/>
    <w:rsid w:val="00D158B3"/>
    <w:rsid w:val="00D15A0B"/>
    <w:rsid w:val="00D15AF0"/>
    <w:rsid w:val="00D15D3B"/>
    <w:rsid w:val="00D16747"/>
    <w:rsid w:val="00D16B73"/>
    <w:rsid w:val="00D175C7"/>
    <w:rsid w:val="00D176B9"/>
    <w:rsid w:val="00D17E09"/>
    <w:rsid w:val="00D20886"/>
    <w:rsid w:val="00D2104F"/>
    <w:rsid w:val="00D21298"/>
    <w:rsid w:val="00D2133B"/>
    <w:rsid w:val="00D219C1"/>
    <w:rsid w:val="00D22D2E"/>
    <w:rsid w:val="00D22E00"/>
    <w:rsid w:val="00D234BD"/>
    <w:rsid w:val="00D240A6"/>
    <w:rsid w:val="00D24F1A"/>
    <w:rsid w:val="00D251E6"/>
    <w:rsid w:val="00D253DF"/>
    <w:rsid w:val="00D259B0"/>
    <w:rsid w:val="00D25A66"/>
    <w:rsid w:val="00D26097"/>
    <w:rsid w:val="00D261C5"/>
    <w:rsid w:val="00D26391"/>
    <w:rsid w:val="00D2699D"/>
    <w:rsid w:val="00D27747"/>
    <w:rsid w:val="00D27A36"/>
    <w:rsid w:val="00D27B2F"/>
    <w:rsid w:val="00D27BF7"/>
    <w:rsid w:val="00D30729"/>
    <w:rsid w:val="00D30D3B"/>
    <w:rsid w:val="00D30E9C"/>
    <w:rsid w:val="00D30EAF"/>
    <w:rsid w:val="00D30F60"/>
    <w:rsid w:val="00D3127E"/>
    <w:rsid w:val="00D314F6"/>
    <w:rsid w:val="00D31A4F"/>
    <w:rsid w:val="00D31D6C"/>
    <w:rsid w:val="00D31D99"/>
    <w:rsid w:val="00D31FAE"/>
    <w:rsid w:val="00D3248E"/>
    <w:rsid w:val="00D32CDD"/>
    <w:rsid w:val="00D32E0D"/>
    <w:rsid w:val="00D32E5B"/>
    <w:rsid w:val="00D3326D"/>
    <w:rsid w:val="00D333A0"/>
    <w:rsid w:val="00D33415"/>
    <w:rsid w:val="00D33748"/>
    <w:rsid w:val="00D33977"/>
    <w:rsid w:val="00D34097"/>
    <w:rsid w:val="00D34174"/>
    <w:rsid w:val="00D344BA"/>
    <w:rsid w:val="00D3471E"/>
    <w:rsid w:val="00D3544C"/>
    <w:rsid w:val="00D35C0A"/>
    <w:rsid w:val="00D361A1"/>
    <w:rsid w:val="00D3719F"/>
    <w:rsid w:val="00D371C8"/>
    <w:rsid w:val="00D373B0"/>
    <w:rsid w:val="00D379DB"/>
    <w:rsid w:val="00D4061B"/>
    <w:rsid w:val="00D41CAE"/>
    <w:rsid w:val="00D4225A"/>
    <w:rsid w:val="00D4284F"/>
    <w:rsid w:val="00D431DA"/>
    <w:rsid w:val="00D43450"/>
    <w:rsid w:val="00D434B9"/>
    <w:rsid w:val="00D43926"/>
    <w:rsid w:val="00D43D75"/>
    <w:rsid w:val="00D43F48"/>
    <w:rsid w:val="00D43F90"/>
    <w:rsid w:val="00D43FB1"/>
    <w:rsid w:val="00D44156"/>
    <w:rsid w:val="00D44198"/>
    <w:rsid w:val="00D441A2"/>
    <w:rsid w:val="00D4427C"/>
    <w:rsid w:val="00D445B3"/>
    <w:rsid w:val="00D44AD0"/>
    <w:rsid w:val="00D453B5"/>
    <w:rsid w:val="00D45977"/>
    <w:rsid w:val="00D4625E"/>
    <w:rsid w:val="00D463BF"/>
    <w:rsid w:val="00D46DBF"/>
    <w:rsid w:val="00D46E14"/>
    <w:rsid w:val="00D46F26"/>
    <w:rsid w:val="00D473E9"/>
    <w:rsid w:val="00D47408"/>
    <w:rsid w:val="00D4744B"/>
    <w:rsid w:val="00D47591"/>
    <w:rsid w:val="00D501C5"/>
    <w:rsid w:val="00D50F4A"/>
    <w:rsid w:val="00D51089"/>
    <w:rsid w:val="00D51095"/>
    <w:rsid w:val="00D52242"/>
    <w:rsid w:val="00D5228C"/>
    <w:rsid w:val="00D52B81"/>
    <w:rsid w:val="00D52E06"/>
    <w:rsid w:val="00D532C4"/>
    <w:rsid w:val="00D533BC"/>
    <w:rsid w:val="00D53650"/>
    <w:rsid w:val="00D53B41"/>
    <w:rsid w:val="00D53D80"/>
    <w:rsid w:val="00D54112"/>
    <w:rsid w:val="00D54129"/>
    <w:rsid w:val="00D541F5"/>
    <w:rsid w:val="00D54509"/>
    <w:rsid w:val="00D54A77"/>
    <w:rsid w:val="00D553C7"/>
    <w:rsid w:val="00D557EA"/>
    <w:rsid w:val="00D5648F"/>
    <w:rsid w:val="00D5651D"/>
    <w:rsid w:val="00D567A0"/>
    <w:rsid w:val="00D572D0"/>
    <w:rsid w:val="00D5786C"/>
    <w:rsid w:val="00D579A2"/>
    <w:rsid w:val="00D57B21"/>
    <w:rsid w:val="00D57B9A"/>
    <w:rsid w:val="00D60190"/>
    <w:rsid w:val="00D602D3"/>
    <w:rsid w:val="00D604CC"/>
    <w:rsid w:val="00D605A5"/>
    <w:rsid w:val="00D605B2"/>
    <w:rsid w:val="00D606A0"/>
    <w:rsid w:val="00D60A2F"/>
    <w:rsid w:val="00D60DAB"/>
    <w:rsid w:val="00D61087"/>
    <w:rsid w:val="00D6114F"/>
    <w:rsid w:val="00D61A8A"/>
    <w:rsid w:val="00D61F8C"/>
    <w:rsid w:val="00D62152"/>
    <w:rsid w:val="00D62369"/>
    <w:rsid w:val="00D623AA"/>
    <w:rsid w:val="00D62A24"/>
    <w:rsid w:val="00D62E43"/>
    <w:rsid w:val="00D62FA3"/>
    <w:rsid w:val="00D62FAC"/>
    <w:rsid w:val="00D635B0"/>
    <w:rsid w:val="00D637A9"/>
    <w:rsid w:val="00D63BE1"/>
    <w:rsid w:val="00D63C73"/>
    <w:rsid w:val="00D6403E"/>
    <w:rsid w:val="00D6486B"/>
    <w:rsid w:val="00D648A3"/>
    <w:rsid w:val="00D6520D"/>
    <w:rsid w:val="00D65280"/>
    <w:rsid w:val="00D65765"/>
    <w:rsid w:val="00D658DF"/>
    <w:rsid w:val="00D659F8"/>
    <w:rsid w:val="00D65D96"/>
    <w:rsid w:val="00D65F29"/>
    <w:rsid w:val="00D6616F"/>
    <w:rsid w:val="00D662AA"/>
    <w:rsid w:val="00D6699B"/>
    <w:rsid w:val="00D6708E"/>
    <w:rsid w:val="00D67254"/>
    <w:rsid w:val="00D7009E"/>
    <w:rsid w:val="00D7068C"/>
    <w:rsid w:val="00D7093C"/>
    <w:rsid w:val="00D70C63"/>
    <w:rsid w:val="00D710C5"/>
    <w:rsid w:val="00D71705"/>
    <w:rsid w:val="00D717AF"/>
    <w:rsid w:val="00D7187B"/>
    <w:rsid w:val="00D71888"/>
    <w:rsid w:val="00D71B45"/>
    <w:rsid w:val="00D72258"/>
    <w:rsid w:val="00D722C1"/>
    <w:rsid w:val="00D72437"/>
    <w:rsid w:val="00D726A5"/>
    <w:rsid w:val="00D7278A"/>
    <w:rsid w:val="00D727AC"/>
    <w:rsid w:val="00D72906"/>
    <w:rsid w:val="00D72AC2"/>
    <w:rsid w:val="00D72CAE"/>
    <w:rsid w:val="00D73784"/>
    <w:rsid w:val="00D738E2"/>
    <w:rsid w:val="00D73F28"/>
    <w:rsid w:val="00D74605"/>
    <w:rsid w:val="00D74660"/>
    <w:rsid w:val="00D74797"/>
    <w:rsid w:val="00D74968"/>
    <w:rsid w:val="00D749D2"/>
    <w:rsid w:val="00D74D9B"/>
    <w:rsid w:val="00D74F2E"/>
    <w:rsid w:val="00D750A2"/>
    <w:rsid w:val="00D750B3"/>
    <w:rsid w:val="00D753AC"/>
    <w:rsid w:val="00D75650"/>
    <w:rsid w:val="00D756E6"/>
    <w:rsid w:val="00D756E8"/>
    <w:rsid w:val="00D75B68"/>
    <w:rsid w:val="00D767BF"/>
    <w:rsid w:val="00D76F8C"/>
    <w:rsid w:val="00D76FB3"/>
    <w:rsid w:val="00D779E7"/>
    <w:rsid w:val="00D801EB"/>
    <w:rsid w:val="00D80747"/>
    <w:rsid w:val="00D8099F"/>
    <w:rsid w:val="00D809FF"/>
    <w:rsid w:val="00D80AD2"/>
    <w:rsid w:val="00D80BA5"/>
    <w:rsid w:val="00D80E48"/>
    <w:rsid w:val="00D80EBA"/>
    <w:rsid w:val="00D810F2"/>
    <w:rsid w:val="00D811DC"/>
    <w:rsid w:val="00D81285"/>
    <w:rsid w:val="00D8133C"/>
    <w:rsid w:val="00D818EC"/>
    <w:rsid w:val="00D81B9A"/>
    <w:rsid w:val="00D81F38"/>
    <w:rsid w:val="00D822C6"/>
    <w:rsid w:val="00D8230F"/>
    <w:rsid w:val="00D82522"/>
    <w:rsid w:val="00D82890"/>
    <w:rsid w:val="00D82906"/>
    <w:rsid w:val="00D82D27"/>
    <w:rsid w:val="00D83CCC"/>
    <w:rsid w:val="00D843D6"/>
    <w:rsid w:val="00D85237"/>
    <w:rsid w:val="00D853C2"/>
    <w:rsid w:val="00D85475"/>
    <w:rsid w:val="00D85566"/>
    <w:rsid w:val="00D85583"/>
    <w:rsid w:val="00D85A2F"/>
    <w:rsid w:val="00D85A69"/>
    <w:rsid w:val="00D85FF7"/>
    <w:rsid w:val="00D86605"/>
    <w:rsid w:val="00D87A9E"/>
    <w:rsid w:val="00D87BDC"/>
    <w:rsid w:val="00D87CC9"/>
    <w:rsid w:val="00D87E1A"/>
    <w:rsid w:val="00D90145"/>
    <w:rsid w:val="00D9065E"/>
    <w:rsid w:val="00D9096B"/>
    <w:rsid w:val="00D90B19"/>
    <w:rsid w:val="00D90B9F"/>
    <w:rsid w:val="00D90D1C"/>
    <w:rsid w:val="00D90D5C"/>
    <w:rsid w:val="00D90ED4"/>
    <w:rsid w:val="00D90FF0"/>
    <w:rsid w:val="00D91838"/>
    <w:rsid w:val="00D91E5A"/>
    <w:rsid w:val="00D92089"/>
    <w:rsid w:val="00D920E8"/>
    <w:rsid w:val="00D9257C"/>
    <w:rsid w:val="00D92722"/>
    <w:rsid w:val="00D92BF2"/>
    <w:rsid w:val="00D93295"/>
    <w:rsid w:val="00D9335B"/>
    <w:rsid w:val="00D9361A"/>
    <w:rsid w:val="00D93B16"/>
    <w:rsid w:val="00D93DAF"/>
    <w:rsid w:val="00D941AE"/>
    <w:rsid w:val="00D94BA4"/>
    <w:rsid w:val="00D94C90"/>
    <w:rsid w:val="00D94E5E"/>
    <w:rsid w:val="00D94F2C"/>
    <w:rsid w:val="00D95381"/>
    <w:rsid w:val="00D954BD"/>
    <w:rsid w:val="00D95FB3"/>
    <w:rsid w:val="00D96138"/>
    <w:rsid w:val="00D965AB"/>
    <w:rsid w:val="00D965BF"/>
    <w:rsid w:val="00D96B07"/>
    <w:rsid w:val="00D96BD2"/>
    <w:rsid w:val="00D96C5E"/>
    <w:rsid w:val="00D96F58"/>
    <w:rsid w:val="00D974EC"/>
    <w:rsid w:val="00D97594"/>
    <w:rsid w:val="00D97956"/>
    <w:rsid w:val="00DA002B"/>
    <w:rsid w:val="00DA0351"/>
    <w:rsid w:val="00DA037D"/>
    <w:rsid w:val="00DA0417"/>
    <w:rsid w:val="00DA059A"/>
    <w:rsid w:val="00DA0676"/>
    <w:rsid w:val="00DA077F"/>
    <w:rsid w:val="00DA08F0"/>
    <w:rsid w:val="00DA0A69"/>
    <w:rsid w:val="00DA0F27"/>
    <w:rsid w:val="00DA156A"/>
    <w:rsid w:val="00DA1A44"/>
    <w:rsid w:val="00DA1DA8"/>
    <w:rsid w:val="00DA22C1"/>
    <w:rsid w:val="00DA24B0"/>
    <w:rsid w:val="00DA2582"/>
    <w:rsid w:val="00DA2694"/>
    <w:rsid w:val="00DA38BB"/>
    <w:rsid w:val="00DA3B84"/>
    <w:rsid w:val="00DA3CF1"/>
    <w:rsid w:val="00DA3E6B"/>
    <w:rsid w:val="00DA3FAB"/>
    <w:rsid w:val="00DA4271"/>
    <w:rsid w:val="00DA4961"/>
    <w:rsid w:val="00DA4B0E"/>
    <w:rsid w:val="00DA50E4"/>
    <w:rsid w:val="00DA5BEB"/>
    <w:rsid w:val="00DA66B1"/>
    <w:rsid w:val="00DA69F8"/>
    <w:rsid w:val="00DA6BFD"/>
    <w:rsid w:val="00DA7261"/>
    <w:rsid w:val="00DA738C"/>
    <w:rsid w:val="00DA7645"/>
    <w:rsid w:val="00DA7696"/>
    <w:rsid w:val="00DA7E15"/>
    <w:rsid w:val="00DA7EE0"/>
    <w:rsid w:val="00DA7FC8"/>
    <w:rsid w:val="00DB02FF"/>
    <w:rsid w:val="00DB03D9"/>
    <w:rsid w:val="00DB0B92"/>
    <w:rsid w:val="00DB0C4D"/>
    <w:rsid w:val="00DB10BD"/>
    <w:rsid w:val="00DB1433"/>
    <w:rsid w:val="00DB1897"/>
    <w:rsid w:val="00DB197C"/>
    <w:rsid w:val="00DB1AAF"/>
    <w:rsid w:val="00DB1F14"/>
    <w:rsid w:val="00DB26B5"/>
    <w:rsid w:val="00DB2ABA"/>
    <w:rsid w:val="00DB2E31"/>
    <w:rsid w:val="00DB31ED"/>
    <w:rsid w:val="00DB35F3"/>
    <w:rsid w:val="00DB399E"/>
    <w:rsid w:val="00DB3AA0"/>
    <w:rsid w:val="00DB3C49"/>
    <w:rsid w:val="00DB41B9"/>
    <w:rsid w:val="00DB42C2"/>
    <w:rsid w:val="00DB42EA"/>
    <w:rsid w:val="00DB434B"/>
    <w:rsid w:val="00DB444B"/>
    <w:rsid w:val="00DB4459"/>
    <w:rsid w:val="00DB4564"/>
    <w:rsid w:val="00DB4628"/>
    <w:rsid w:val="00DB4714"/>
    <w:rsid w:val="00DB4788"/>
    <w:rsid w:val="00DB4D04"/>
    <w:rsid w:val="00DB510A"/>
    <w:rsid w:val="00DB5178"/>
    <w:rsid w:val="00DB5386"/>
    <w:rsid w:val="00DB5ABE"/>
    <w:rsid w:val="00DB5E7F"/>
    <w:rsid w:val="00DB6292"/>
    <w:rsid w:val="00DB632B"/>
    <w:rsid w:val="00DB6586"/>
    <w:rsid w:val="00DB67E7"/>
    <w:rsid w:val="00DB68BB"/>
    <w:rsid w:val="00DB6D2C"/>
    <w:rsid w:val="00DB6F55"/>
    <w:rsid w:val="00DB7289"/>
    <w:rsid w:val="00DB7806"/>
    <w:rsid w:val="00DB7E0D"/>
    <w:rsid w:val="00DB7F10"/>
    <w:rsid w:val="00DC1524"/>
    <w:rsid w:val="00DC1889"/>
    <w:rsid w:val="00DC1CA3"/>
    <w:rsid w:val="00DC2270"/>
    <w:rsid w:val="00DC2A33"/>
    <w:rsid w:val="00DC2DE8"/>
    <w:rsid w:val="00DC305E"/>
    <w:rsid w:val="00DC3214"/>
    <w:rsid w:val="00DC3537"/>
    <w:rsid w:val="00DC3579"/>
    <w:rsid w:val="00DC3A57"/>
    <w:rsid w:val="00DC3E0F"/>
    <w:rsid w:val="00DC41D8"/>
    <w:rsid w:val="00DC42FB"/>
    <w:rsid w:val="00DC43AE"/>
    <w:rsid w:val="00DC466F"/>
    <w:rsid w:val="00DC4841"/>
    <w:rsid w:val="00DC51EE"/>
    <w:rsid w:val="00DC5533"/>
    <w:rsid w:val="00DC5770"/>
    <w:rsid w:val="00DC5801"/>
    <w:rsid w:val="00DC59D7"/>
    <w:rsid w:val="00DC5BC0"/>
    <w:rsid w:val="00DC5CD6"/>
    <w:rsid w:val="00DC6198"/>
    <w:rsid w:val="00DC6861"/>
    <w:rsid w:val="00DC6D48"/>
    <w:rsid w:val="00DC6E13"/>
    <w:rsid w:val="00DC6E1B"/>
    <w:rsid w:val="00DC71FE"/>
    <w:rsid w:val="00DC734F"/>
    <w:rsid w:val="00DC75BB"/>
    <w:rsid w:val="00DC7EBE"/>
    <w:rsid w:val="00DD0B1D"/>
    <w:rsid w:val="00DD0DA2"/>
    <w:rsid w:val="00DD0F3F"/>
    <w:rsid w:val="00DD1011"/>
    <w:rsid w:val="00DD12EF"/>
    <w:rsid w:val="00DD1418"/>
    <w:rsid w:val="00DD157D"/>
    <w:rsid w:val="00DD158F"/>
    <w:rsid w:val="00DD16FB"/>
    <w:rsid w:val="00DD1B57"/>
    <w:rsid w:val="00DD1E9E"/>
    <w:rsid w:val="00DD206A"/>
    <w:rsid w:val="00DD2188"/>
    <w:rsid w:val="00DD232B"/>
    <w:rsid w:val="00DD235A"/>
    <w:rsid w:val="00DD2381"/>
    <w:rsid w:val="00DD28B6"/>
    <w:rsid w:val="00DD28EF"/>
    <w:rsid w:val="00DD2B1D"/>
    <w:rsid w:val="00DD2DB8"/>
    <w:rsid w:val="00DD3821"/>
    <w:rsid w:val="00DD391B"/>
    <w:rsid w:val="00DD43A8"/>
    <w:rsid w:val="00DD45D3"/>
    <w:rsid w:val="00DD47AB"/>
    <w:rsid w:val="00DD487B"/>
    <w:rsid w:val="00DD48F3"/>
    <w:rsid w:val="00DD4A77"/>
    <w:rsid w:val="00DD4E0C"/>
    <w:rsid w:val="00DD5A2A"/>
    <w:rsid w:val="00DD6001"/>
    <w:rsid w:val="00DD662B"/>
    <w:rsid w:val="00DD6C92"/>
    <w:rsid w:val="00DD6F89"/>
    <w:rsid w:val="00DD6F96"/>
    <w:rsid w:val="00DD731E"/>
    <w:rsid w:val="00DD7991"/>
    <w:rsid w:val="00DD79AE"/>
    <w:rsid w:val="00DD7BD4"/>
    <w:rsid w:val="00DE00CE"/>
    <w:rsid w:val="00DE01AB"/>
    <w:rsid w:val="00DE06E7"/>
    <w:rsid w:val="00DE0B85"/>
    <w:rsid w:val="00DE119F"/>
    <w:rsid w:val="00DE12BD"/>
    <w:rsid w:val="00DE1532"/>
    <w:rsid w:val="00DE179B"/>
    <w:rsid w:val="00DE1AC8"/>
    <w:rsid w:val="00DE2151"/>
    <w:rsid w:val="00DE2323"/>
    <w:rsid w:val="00DE28D5"/>
    <w:rsid w:val="00DE292D"/>
    <w:rsid w:val="00DE2AA3"/>
    <w:rsid w:val="00DE2FA7"/>
    <w:rsid w:val="00DE2FC0"/>
    <w:rsid w:val="00DE30BE"/>
    <w:rsid w:val="00DE30D1"/>
    <w:rsid w:val="00DE3B74"/>
    <w:rsid w:val="00DE40F7"/>
    <w:rsid w:val="00DE44B1"/>
    <w:rsid w:val="00DE47DF"/>
    <w:rsid w:val="00DE4D21"/>
    <w:rsid w:val="00DE5887"/>
    <w:rsid w:val="00DE5EA6"/>
    <w:rsid w:val="00DE5F41"/>
    <w:rsid w:val="00DE5FBB"/>
    <w:rsid w:val="00DE61FB"/>
    <w:rsid w:val="00DE6756"/>
    <w:rsid w:val="00DE6B6A"/>
    <w:rsid w:val="00DE6EFC"/>
    <w:rsid w:val="00DE730F"/>
    <w:rsid w:val="00DE731D"/>
    <w:rsid w:val="00DE73FD"/>
    <w:rsid w:val="00DE7A1D"/>
    <w:rsid w:val="00DE7C78"/>
    <w:rsid w:val="00DE7CAB"/>
    <w:rsid w:val="00DF0A8D"/>
    <w:rsid w:val="00DF0CBA"/>
    <w:rsid w:val="00DF0DD5"/>
    <w:rsid w:val="00DF0E97"/>
    <w:rsid w:val="00DF0E9F"/>
    <w:rsid w:val="00DF11F0"/>
    <w:rsid w:val="00DF1956"/>
    <w:rsid w:val="00DF19A5"/>
    <w:rsid w:val="00DF19ED"/>
    <w:rsid w:val="00DF1A5F"/>
    <w:rsid w:val="00DF1AD2"/>
    <w:rsid w:val="00DF1CFC"/>
    <w:rsid w:val="00DF1D62"/>
    <w:rsid w:val="00DF1E43"/>
    <w:rsid w:val="00DF2170"/>
    <w:rsid w:val="00DF27A8"/>
    <w:rsid w:val="00DF284F"/>
    <w:rsid w:val="00DF2912"/>
    <w:rsid w:val="00DF2A8C"/>
    <w:rsid w:val="00DF2D89"/>
    <w:rsid w:val="00DF2FC2"/>
    <w:rsid w:val="00DF3D62"/>
    <w:rsid w:val="00DF432F"/>
    <w:rsid w:val="00DF4786"/>
    <w:rsid w:val="00DF484A"/>
    <w:rsid w:val="00DF50DE"/>
    <w:rsid w:val="00DF572E"/>
    <w:rsid w:val="00DF593E"/>
    <w:rsid w:val="00DF596A"/>
    <w:rsid w:val="00DF5F36"/>
    <w:rsid w:val="00DF6DA6"/>
    <w:rsid w:val="00DF708D"/>
    <w:rsid w:val="00DF741E"/>
    <w:rsid w:val="00DF751C"/>
    <w:rsid w:val="00DF7A7A"/>
    <w:rsid w:val="00DF7EB3"/>
    <w:rsid w:val="00DF7EB8"/>
    <w:rsid w:val="00E0029F"/>
    <w:rsid w:val="00E0031E"/>
    <w:rsid w:val="00E006E6"/>
    <w:rsid w:val="00E00793"/>
    <w:rsid w:val="00E00FD5"/>
    <w:rsid w:val="00E01284"/>
    <w:rsid w:val="00E014E0"/>
    <w:rsid w:val="00E01956"/>
    <w:rsid w:val="00E01A81"/>
    <w:rsid w:val="00E01ED2"/>
    <w:rsid w:val="00E02047"/>
    <w:rsid w:val="00E023E5"/>
    <w:rsid w:val="00E02837"/>
    <w:rsid w:val="00E03175"/>
    <w:rsid w:val="00E04158"/>
    <w:rsid w:val="00E0443C"/>
    <w:rsid w:val="00E0482D"/>
    <w:rsid w:val="00E04B4F"/>
    <w:rsid w:val="00E0536A"/>
    <w:rsid w:val="00E0555F"/>
    <w:rsid w:val="00E05929"/>
    <w:rsid w:val="00E05EAA"/>
    <w:rsid w:val="00E06A69"/>
    <w:rsid w:val="00E06BCE"/>
    <w:rsid w:val="00E06F24"/>
    <w:rsid w:val="00E06FD6"/>
    <w:rsid w:val="00E074C1"/>
    <w:rsid w:val="00E07B79"/>
    <w:rsid w:val="00E07CDC"/>
    <w:rsid w:val="00E1006A"/>
    <w:rsid w:val="00E105B9"/>
    <w:rsid w:val="00E1079E"/>
    <w:rsid w:val="00E10F6A"/>
    <w:rsid w:val="00E112FA"/>
    <w:rsid w:val="00E12CED"/>
    <w:rsid w:val="00E133D1"/>
    <w:rsid w:val="00E13530"/>
    <w:rsid w:val="00E13762"/>
    <w:rsid w:val="00E137D4"/>
    <w:rsid w:val="00E13D2C"/>
    <w:rsid w:val="00E13EE3"/>
    <w:rsid w:val="00E14676"/>
    <w:rsid w:val="00E148CD"/>
    <w:rsid w:val="00E14B98"/>
    <w:rsid w:val="00E14E22"/>
    <w:rsid w:val="00E14F0E"/>
    <w:rsid w:val="00E14FF5"/>
    <w:rsid w:val="00E15260"/>
    <w:rsid w:val="00E15513"/>
    <w:rsid w:val="00E15713"/>
    <w:rsid w:val="00E15A59"/>
    <w:rsid w:val="00E15DC6"/>
    <w:rsid w:val="00E16682"/>
    <w:rsid w:val="00E1678A"/>
    <w:rsid w:val="00E16BCC"/>
    <w:rsid w:val="00E16F33"/>
    <w:rsid w:val="00E1723A"/>
    <w:rsid w:val="00E17549"/>
    <w:rsid w:val="00E1773D"/>
    <w:rsid w:val="00E17ACF"/>
    <w:rsid w:val="00E17BAE"/>
    <w:rsid w:val="00E17C9B"/>
    <w:rsid w:val="00E17E85"/>
    <w:rsid w:val="00E17E99"/>
    <w:rsid w:val="00E2002A"/>
    <w:rsid w:val="00E2055A"/>
    <w:rsid w:val="00E208FE"/>
    <w:rsid w:val="00E20D6C"/>
    <w:rsid w:val="00E20D7C"/>
    <w:rsid w:val="00E21F2D"/>
    <w:rsid w:val="00E2260E"/>
    <w:rsid w:val="00E22A26"/>
    <w:rsid w:val="00E22B5D"/>
    <w:rsid w:val="00E22DD9"/>
    <w:rsid w:val="00E22EAA"/>
    <w:rsid w:val="00E2307E"/>
    <w:rsid w:val="00E23273"/>
    <w:rsid w:val="00E2336E"/>
    <w:rsid w:val="00E23655"/>
    <w:rsid w:val="00E23AB9"/>
    <w:rsid w:val="00E23AC4"/>
    <w:rsid w:val="00E23ADF"/>
    <w:rsid w:val="00E23D59"/>
    <w:rsid w:val="00E23ED2"/>
    <w:rsid w:val="00E23EEF"/>
    <w:rsid w:val="00E24241"/>
    <w:rsid w:val="00E2427B"/>
    <w:rsid w:val="00E2456D"/>
    <w:rsid w:val="00E247BB"/>
    <w:rsid w:val="00E247D5"/>
    <w:rsid w:val="00E24D8C"/>
    <w:rsid w:val="00E256F7"/>
    <w:rsid w:val="00E25995"/>
    <w:rsid w:val="00E25AB1"/>
    <w:rsid w:val="00E25C46"/>
    <w:rsid w:val="00E25D57"/>
    <w:rsid w:val="00E26257"/>
    <w:rsid w:val="00E264AD"/>
    <w:rsid w:val="00E26A60"/>
    <w:rsid w:val="00E26D47"/>
    <w:rsid w:val="00E26FFC"/>
    <w:rsid w:val="00E27074"/>
    <w:rsid w:val="00E2777E"/>
    <w:rsid w:val="00E278C2"/>
    <w:rsid w:val="00E27C1F"/>
    <w:rsid w:val="00E27E1C"/>
    <w:rsid w:val="00E300F2"/>
    <w:rsid w:val="00E301AB"/>
    <w:rsid w:val="00E30B66"/>
    <w:rsid w:val="00E30BF9"/>
    <w:rsid w:val="00E31966"/>
    <w:rsid w:val="00E31A38"/>
    <w:rsid w:val="00E3203D"/>
    <w:rsid w:val="00E32AE4"/>
    <w:rsid w:val="00E32D6A"/>
    <w:rsid w:val="00E32FD0"/>
    <w:rsid w:val="00E33396"/>
    <w:rsid w:val="00E335C5"/>
    <w:rsid w:val="00E3374B"/>
    <w:rsid w:val="00E33B08"/>
    <w:rsid w:val="00E33D24"/>
    <w:rsid w:val="00E33D9F"/>
    <w:rsid w:val="00E33E8E"/>
    <w:rsid w:val="00E34706"/>
    <w:rsid w:val="00E349B8"/>
    <w:rsid w:val="00E34ED4"/>
    <w:rsid w:val="00E3535B"/>
    <w:rsid w:val="00E35580"/>
    <w:rsid w:val="00E3626F"/>
    <w:rsid w:val="00E36DD5"/>
    <w:rsid w:val="00E36E11"/>
    <w:rsid w:val="00E37219"/>
    <w:rsid w:val="00E3751A"/>
    <w:rsid w:val="00E377A6"/>
    <w:rsid w:val="00E37BF6"/>
    <w:rsid w:val="00E4005E"/>
    <w:rsid w:val="00E408EA"/>
    <w:rsid w:val="00E40A1E"/>
    <w:rsid w:val="00E41A5B"/>
    <w:rsid w:val="00E41CF2"/>
    <w:rsid w:val="00E41D23"/>
    <w:rsid w:val="00E42317"/>
    <w:rsid w:val="00E4297F"/>
    <w:rsid w:val="00E42988"/>
    <w:rsid w:val="00E43041"/>
    <w:rsid w:val="00E438F7"/>
    <w:rsid w:val="00E43AA0"/>
    <w:rsid w:val="00E43BD0"/>
    <w:rsid w:val="00E43C3D"/>
    <w:rsid w:val="00E43E29"/>
    <w:rsid w:val="00E43EE5"/>
    <w:rsid w:val="00E44373"/>
    <w:rsid w:val="00E4454B"/>
    <w:rsid w:val="00E4466B"/>
    <w:rsid w:val="00E44ACD"/>
    <w:rsid w:val="00E44CB9"/>
    <w:rsid w:val="00E452D8"/>
    <w:rsid w:val="00E45343"/>
    <w:rsid w:val="00E453C9"/>
    <w:rsid w:val="00E45B97"/>
    <w:rsid w:val="00E46274"/>
    <w:rsid w:val="00E46852"/>
    <w:rsid w:val="00E46AB1"/>
    <w:rsid w:val="00E46EA0"/>
    <w:rsid w:val="00E47134"/>
    <w:rsid w:val="00E479FF"/>
    <w:rsid w:val="00E47E39"/>
    <w:rsid w:val="00E47FF7"/>
    <w:rsid w:val="00E50043"/>
    <w:rsid w:val="00E50A19"/>
    <w:rsid w:val="00E511DA"/>
    <w:rsid w:val="00E51392"/>
    <w:rsid w:val="00E513F1"/>
    <w:rsid w:val="00E515B1"/>
    <w:rsid w:val="00E51662"/>
    <w:rsid w:val="00E5269A"/>
    <w:rsid w:val="00E529F3"/>
    <w:rsid w:val="00E52B8F"/>
    <w:rsid w:val="00E531D3"/>
    <w:rsid w:val="00E533DD"/>
    <w:rsid w:val="00E535D1"/>
    <w:rsid w:val="00E535E5"/>
    <w:rsid w:val="00E536FC"/>
    <w:rsid w:val="00E53AA6"/>
    <w:rsid w:val="00E53C1A"/>
    <w:rsid w:val="00E53C6C"/>
    <w:rsid w:val="00E53CB2"/>
    <w:rsid w:val="00E53D6A"/>
    <w:rsid w:val="00E53EE8"/>
    <w:rsid w:val="00E545D3"/>
    <w:rsid w:val="00E547E9"/>
    <w:rsid w:val="00E54898"/>
    <w:rsid w:val="00E548F2"/>
    <w:rsid w:val="00E551A4"/>
    <w:rsid w:val="00E55558"/>
    <w:rsid w:val="00E55BB8"/>
    <w:rsid w:val="00E56344"/>
    <w:rsid w:val="00E57196"/>
    <w:rsid w:val="00E57CED"/>
    <w:rsid w:val="00E57D4E"/>
    <w:rsid w:val="00E57DC4"/>
    <w:rsid w:val="00E57E87"/>
    <w:rsid w:val="00E57EAF"/>
    <w:rsid w:val="00E600D9"/>
    <w:rsid w:val="00E60DE1"/>
    <w:rsid w:val="00E61076"/>
    <w:rsid w:val="00E61812"/>
    <w:rsid w:val="00E618D1"/>
    <w:rsid w:val="00E61A15"/>
    <w:rsid w:val="00E61C1E"/>
    <w:rsid w:val="00E62517"/>
    <w:rsid w:val="00E62CF0"/>
    <w:rsid w:val="00E62E5D"/>
    <w:rsid w:val="00E62E85"/>
    <w:rsid w:val="00E63096"/>
    <w:rsid w:val="00E633ED"/>
    <w:rsid w:val="00E637DF"/>
    <w:rsid w:val="00E63F93"/>
    <w:rsid w:val="00E64378"/>
    <w:rsid w:val="00E6446D"/>
    <w:rsid w:val="00E64B76"/>
    <w:rsid w:val="00E65073"/>
    <w:rsid w:val="00E650E0"/>
    <w:rsid w:val="00E65AAC"/>
    <w:rsid w:val="00E65E8C"/>
    <w:rsid w:val="00E65F87"/>
    <w:rsid w:val="00E66098"/>
    <w:rsid w:val="00E66800"/>
    <w:rsid w:val="00E66A2B"/>
    <w:rsid w:val="00E66D78"/>
    <w:rsid w:val="00E66DCD"/>
    <w:rsid w:val="00E66FDD"/>
    <w:rsid w:val="00E673C1"/>
    <w:rsid w:val="00E67C5C"/>
    <w:rsid w:val="00E67E55"/>
    <w:rsid w:val="00E70504"/>
    <w:rsid w:val="00E71198"/>
    <w:rsid w:val="00E71D91"/>
    <w:rsid w:val="00E71E4D"/>
    <w:rsid w:val="00E71E4F"/>
    <w:rsid w:val="00E72486"/>
    <w:rsid w:val="00E724EF"/>
    <w:rsid w:val="00E7250A"/>
    <w:rsid w:val="00E7264E"/>
    <w:rsid w:val="00E72651"/>
    <w:rsid w:val="00E728BD"/>
    <w:rsid w:val="00E72FC5"/>
    <w:rsid w:val="00E73275"/>
    <w:rsid w:val="00E7364E"/>
    <w:rsid w:val="00E73753"/>
    <w:rsid w:val="00E73957"/>
    <w:rsid w:val="00E73C90"/>
    <w:rsid w:val="00E73D3A"/>
    <w:rsid w:val="00E7412C"/>
    <w:rsid w:val="00E743A1"/>
    <w:rsid w:val="00E74513"/>
    <w:rsid w:val="00E74688"/>
    <w:rsid w:val="00E7491F"/>
    <w:rsid w:val="00E74BC5"/>
    <w:rsid w:val="00E74F05"/>
    <w:rsid w:val="00E7518B"/>
    <w:rsid w:val="00E755A5"/>
    <w:rsid w:val="00E757B9"/>
    <w:rsid w:val="00E7593F"/>
    <w:rsid w:val="00E76497"/>
    <w:rsid w:val="00E76AC9"/>
    <w:rsid w:val="00E76C33"/>
    <w:rsid w:val="00E77B50"/>
    <w:rsid w:val="00E8011B"/>
    <w:rsid w:val="00E801FE"/>
    <w:rsid w:val="00E80768"/>
    <w:rsid w:val="00E80C67"/>
    <w:rsid w:val="00E80E1E"/>
    <w:rsid w:val="00E81225"/>
    <w:rsid w:val="00E81C6E"/>
    <w:rsid w:val="00E82135"/>
    <w:rsid w:val="00E82862"/>
    <w:rsid w:val="00E82A26"/>
    <w:rsid w:val="00E82CA0"/>
    <w:rsid w:val="00E82E17"/>
    <w:rsid w:val="00E82E8A"/>
    <w:rsid w:val="00E84324"/>
    <w:rsid w:val="00E84787"/>
    <w:rsid w:val="00E84AD4"/>
    <w:rsid w:val="00E84B58"/>
    <w:rsid w:val="00E84D20"/>
    <w:rsid w:val="00E84FEB"/>
    <w:rsid w:val="00E8534F"/>
    <w:rsid w:val="00E854EA"/>
    <w:rsid w:val="00E85EC9"/>
    <w:rsid w:val="00E85EF1"/>
    <w:rsid w:val="00E860EE"/>
    <w:rsid w:val="00E86456"/>
    <w:rsid w:val="00E86BAE"/>
    <w:rsid w:val="00E86DB6"/>
    <w:rsid w:val="00E876A3"/>
    <w:rsid w:val="00E8787B"/>
    <w:rsid w:val="00E87894"/>
    <w:rsid w:val="00E87DC5"/>
    <w:rsid w:val="00E903A5"/>
    <w:rsid w:val="00E90400"/>
    <w:rsid w:val="00E90A19"/>
    <w:rsid w:val="00E90B40"/>
    <w:rsid w:val="00E912AA"/>
    <w:rsid w:val="00E91460"/>
    <w:rsid w:val="00E915F1"/>
    <w:rsid w:val="00E916A7"/>
    <w:rsid w:val="00E9182A"/>
    <w:rsid w:val="00E918FB"/>
    <w:rsid w:val="00E91BC3"/>
    <w:rsid w:val="00E91C42"/>
    <w:rsid w:val="00E91E62"/>
    <w:rsid w:val="00E920D5"/>
    <w:rsid w:val="00E92341"/>
    <w:rsid w:val="00E92BD2"/>
    <w:rsid w:val="00E933B3"/>
    <w:rsid w:val="00E93635"/>
    <w:rsid w:val="00E93E2E"/>
    <w:rsid w:val="00E94225"/>
    <w:rsid w:val="00E943A6"/>
    <w:rsid w:val="00E9456F"/>
    <w:rsid w:val="00E94F06"/>
    <w:rsid w:val="00E9515A"/>
    <w:rsid w:val="00E95243"/>
    <w:rsid w:val="00E956CB"/>
    <w:rsid w:val="00E958AD"/>
    <w:rsid w:val="00E95A58"/>
    <w:rsid w:val="00E95CE8"/>
    <w:rsid w:val="00E960B8"/>
    <w:rsid w:val="00E96745"/>
    <w:rsid w:val="00E96AEE"/>
    <w:rsid w:val="00E96D1C"/>
    <w:rsid w:val="00E97375"/>
    <w:rsid w:val="00E977CB"/>
    <w:rsid w:val="00E977CE"/>
    <w:rsid w:val="00E97836"/>
    <w:rsid w:val="00E97990"/>
    <w:rsid w:val="00E97BB1"/>
    <w:rsid w:val="00E97D2F"/>
    <w:rsid w:val="00E97EA7"/>
    <w:rsid w:val="00E97FB1"/>
    <w:rsid w:val="00EA0408"/>
    <w:rsid w:val="00EA044D"/>
    <w:rsid w:val="00EA0716"/>
    <w:rsid w:val="00EA0ADD"/>
    <w:rsid w:val="00EA0E67"/>
    <w:rsid w:val="00EA1514"/>
    <w:rsid w:val="00EA16E1"/>
    <w:rsid w:val="00EA170C"/>
    <w:rsid w:val="00EA174F"/>
    <w:rsid w:val="00EA1767"/>
    <w:rsid w:val="00EA1F8E"/>
    <w:rsid w:val="00EA209C"/>
    <w:rsid w:val="00EA21F6"/>
    <w:rsid w:val="00EA2360"/>
    <w:rsid w:val="00EA272B"/>
    <w:rsid w:val="00EA2772"/>
    <w:rsid w:val="00EA27C6"/>
    <w:rsid w:val="00EA2DAE"/>
    <w:rsid w:val="00EA2F5D"/>
    <w:rsid w:val="00EA301E"/>
    <w:rsid w:val="00EA34AC"/>
    <w:rsid w:val="00EA3BA1"/>
    <w:rsid w:val="00EA3D5F"/>
    <w:rsid w:val="00EA4013"/>
    <w:rsid w:val="00EA41B9"/>
    <w:rsid w:val="00EA449C"/>
    <w:rsid w:val="00EA4F1E"/>
    <w:rsid w:val="00EA4F7D"/>
    <w:rsid w:val="00EA55A2"/>
    <w:rsid w:val="00EA5F9C"/>
    <w:rsid w:val="00EA633B"/>
    <w:rsid w:val="00EA659C"/>
    <w:rsid w:val="00EA6866"/>
    <w:rsid w:val="00EA6CA0"/>
    <w:rsid w:val="00EA7206"/>
    <w:rsid w:val="00EA78E0"/>
    <w:rsid w:val="00EB08A1"/>
    <w:rsid w:val="00EB0A68"/>
    <w:rsid w:val="00EB0E44"/>
    <w:rsid w:val="00EB0E6A"/>
    <w:rsid w:val="00EB0FE6"/>
    <w:rsid w:val="00EB1456"/>
    <w:rsid w:val="00EB16EB"/>
    <w:rsid w:val="00EB182C"/>
    <w:rsid w:val="00EB19D9"/>
    <w:rsid w:val="00EB1A00"/>
    <w:rsid w:val="00EB1FE4"/>
    <w:rsid w:val="00EB2287"/>
    <w:rsid w:val="00EB269D"/>
    <w:rsid w:val="00EB2E2E"/>
    <w:rsid w:val="00EB30E8"/>
    <w:rsid w:val="00EB344E"/>
    <w:rsid w:val="00EB397E"/>
    <w:rsid w:val="00EB3DFB"/>
    <w:rsid w:val="00EB400A"/>
    <w:rsid w:val="00EB42B4"/>
    <w:rsid w:val="00EB45D7"/>
    <w:rsid w:val="00EB47B3"/>
    <w:rsid w:val="00EB4926"/>
    <w:rsid w:val="00EB4B58"/>
    <w:rsid w:val="00EB4E5F"/>
    <w:rsid w:val="00EB5197"/>
    <w:rsid w:val="00EB51AD"/>
    <w:rsid w:val="00EB5629"/>
    <w:rsid w:val="00EB5734"/>
    <w:rsid w:val="00EB61A4"/>
    <w:rsid w:val="00EB6C13"/>
    <w:rsid w:val="00EB6D43"/>
    <w:rsid w:val="00EB7133"/>
    <w:rsid w:val="00EB75E2"/>
    <w:rsid w:val="00EB75EB"/>
    <w:rsid w:val="00EB7605"/>
    <w:rsid w:val="00EB76CB"/>
    <w:rsid w:val="00EB77A0"/>
    <w:rsid w:val="00EB7D10"/>
    <w:rsid w:val="00EB7DDD"/>
    <w:rsid w:val="00EC01EA"/>
    <w:rsid w:val="00EC0655"/>
    <w:rsid w:val="00EC089D"/>
    <w:rsid w:val="00EC0DD3"/>
    <w:rsid w:val="00EC101A"/>
    <w:rsid w:val="00EC1394"/>
    <w:rsid w:val="00EC1E5C"/>
    <w:rsid w:val="00EC20D7"/>
    <w:rsid w:val="00EC226A"/>
    <w:rsid w:val="00EC229B"/>
    <w:rsid w:val="00EC25B6"/>
    <w:rsid w:val="00EC28DD"/>
    <w:rsid w:val="00EC2B80"/>
    <w:rsid w:val="00EC2ED0"/>
    <w:rsid w:val="00EC2EE6"/>
    <w:rsid w:val="00EC2F7B"/>
    <w:rsid w:val="00EC3012"/>
    <w:rsid w:val="00EC3713"/>
    <w:rsid w:val="00EC3780"/>
    <w:rsid w:val="00EC37A0"/>
    <w:rsid w:val="00EC3926"/>
    <w:rsid w:val="00EC3FA5"/>
    <w:rsid w:val="00EC4011"/>
    <w:rsid w:val="00EC44B6"/>
    <w:rsid w:val="00EC464E"/>
    <w:rsid w:val="00EC48E2"/>
    <w:rsid w:val="00EC5009"/>
    <w:rsid w:val="00EC552D"/>
    <w:rsid w:val="00EC5B93"/>
    <w:rsid w:val="00EC64A1"/>
    <w:rsid w:val="00EC6506"/>
    <w:rsid w:val="00EC6899"/>
    <w:rsid w:val="00EC69DD"/>
    <w:rsid w:val="00EC6B90"/>
    <w:rsid w:val="00EC6FCF"/>
    <w:rsid w:val="00EC7100"/>
    <w:rsid w:val="00EC774B"/>
    <w:rsid w:val="00EC78CC"/>
    <w:rsid w:val="00ED013B"/>
    <w:rsid w:val="00ED0E0A"/>
    <w:rsid w:val="00ED1009"/>
    <w:rsid w:val="00ED13EB"/>
    <w:rsid w:val="00ED1462"/>
    <w:rsid w:val="00ED14A1"/>
    <w:rsid w:val="00ED14BA"/>
    <w:rsid w:val="00ED14D7"/>
    <w:rsid w:val="00ED17FA"/>
    <w:rsid w:val="00ED1856"/>
    <w:rsid w:val="00ED18DB"/>
    <w:rsid w:val="00ED231F"/>
    <w:rsid w:val="00ED24B6"/>
    <w:rsid w:val="00ED25D2"/>
    <w:rsid w:val="00ED281D"/>
    <w:rsid w:val="00ED33F4"/>
    <w:rsid w:val="00ED35A5"/>
    <w:rsid w:val="00ED35C0"/>
    <w:rsid w:val="00ED3F0E"/>
    <w:rsid w:val="00ED3F38"/>
    <w:rsid w:val="00ED4124"/>
    <w:rsid w:val="00ED4269"/>
    <w:rsid w:val="00ED462A"/>
    <w:rsid w:val="00ED49DF"/>
    <w:rsid w:val="00ED5030"/>
    <w:rsid w:val="00ED5424"/>
    <w:rsid w:val="00ED547D"/>
    <w:rsid w:val="00ED596C"/>
    <w:rsid w:val="00ED5ACF"/>
    <w:rsid w:val="00ED612B"/>
    <w:rsid w:val="00ED642C"/>
    <w:rsid w:val="00ED7ADE"/>
    <w:rsid w:val="00ED7CA2"/>
    <w:rsid w:val="00EE0174"/>
    <w:rsid w:val="00EE01D1"/>
    <w:rsid w:val="00EE0205"/>
    <w:rsid w:val="00EE053B"/>
    <w:rsid w:val="00EE083C"/>
    <w:rsid w:val="00EE0D46"/>
    <w:rsid w:val="00EE0D6A"/>
    <w:rsid w:val="00EE12E9"/>
    <w:rsid w:val="00EE13A7"/>
    <w:rsid w:val="00EE1516"/>
    <w:rsid w:val="00EE2B55"/>
    <w:rsid w:val="00EE2D57"/>
    <w:rsid w:val="00EE3341"/>
    <w:rsid w:val="00EE3404"/>
    <w:rsid w:val="00EE3445"/>
    <w:rsid w:val="00EE365A"/>
    <w:rsid w:val="00EE426E"/>
    <w:rsid w:val="00EE4436"/>
    <w:rsid w:val="00EE4BBE"/>
    <w:rsid w:val="00EE5266"/>
    <w:rsid w:val="00EE546C"/>
    <w:rsid w:val="00EE563D"/>
    <w:rsid w:val="00EE58CA"/>
    <w:rsid w:val="00EE5CF8"/>
    <w:rsid w:val="00EE5D84"/>
    <w:rsid w:val="00EE5DFC"/>
    <w:rsid w:val="00EE60E7"/>
    <w:rsid w:val="00EE60F1"/>
    <w:rsid w:val="00EE633D"/>
    <w:rsid w:val="00EE6940"/>
    <w:rsid w:val="00EE6A20"/>
    <w:rsid w:val="00EE7503"/>
    <w:rsid w:val="00EE7636"/>
    <w:rsid w:val="00EE76AA"/>
    <w:rsid w:val="00EE7F14"/>
    <w:rsid w:val="00EF00A8"/>
    <w:rsid w:val="00EF02E6"/>
    <w:rsid w:val="00EF045D"/>
    <w:rsid w:val="00EF0718"/>
    <w:rsid w:val="00EF0908"/>
    <w:rsid w:val="00EF0983"/>
    <w:rsid w:val="00EF0C8C"/>
    <w:rsid w:val="00EF0E21"/>
    <w:rsid w:val="00EF0FE9"/>
    <w:rsid w:val="00EF12C8"/>
    <w:rsid w:val="00EF138D"/>
    <w:rsid w:val="00EF1821"/>
    <w:rsid w:val="00EF1943"/>
    <w:rsid w:val="00EF1ABA"/>
    <w:rsid w:val="00EF1D2D"/>
    <w:rsid w:val="00EF1D2F"/>
    <w:rsid w:val="00EF1ED9"/>
    <w:rsid w:val="00EF20C3"/>
    <w:rsid w:val="00EF231B"/>
    <w:rsid w:val="00EF2449"/>
    <w:rsid w:val="00EF2467"/>
    <w:rsid w:val="00EF256C"/>
    <w:rsid w:val="00EF2F8B"/>
    <w:rsid w:val="00EF3393"/>
    <w:rsid w:val="00EF3C53"/>
    <w:rsid w:val="00EF3C6A"/>
    <w:rsid w:val="00EF3F1A"/>
    <w:rsid w:val="00EF463E"/>
    <w:rsid w:val="00EF47EF"/>
    <w:rsid w:val="00EF541D"/>
    <w:rsid w:val="00EF571F"/>
    <w:rsid w:val="00EF579C"/>
    <w:rsid w:val="00EF57BB"/>
    <w:rsid w:val="00EF585C"/>
    <w:rsid w:val="00EF5B95"/>
    <w:rsid w:val="00EF60B7"/>
    <w:rsid w:val="00EF613D"/>
    <w:rsid w:val="00EF63BF"/>
    <w:rsid w:val="00EF6AA3"/>
    <w:rsid w:val="00EF7569"/>
    <w:rsid w:val="00EF77B3"/>
    <w:rsid w:val="00EF7A7D"/>
    <w:rsid w:val="00F003AA"/>
    <w:rsid w:val="00F00465"/>
    <w:rsid w:val="00F0077B"/>
    <w:rsid w:val="00F00922"/>
    <w:rsid w:val="00F00A21"/>
    <w:rsid w:val="00F00A42"/>
    <w:rsid w:val="00F00B40"/>
    <w:rsid w:val="00F00EAC"/>
    <w:rsid w:val="00F0102C"/>
    <w:rsid w:val="00F0106B"/>
    <w:rsid w:val="00F0134D"/>
    <w:rsid w:val="00F0137B"/>
    <w:rsid w:val="00F0139C"/>
    <w:rsid w:val="00F0175F"/>
    <w:rsid w:val="00F01950"/>
    <w:rsid w:val="00F01E38"/>
    <w:rsid w:val="00F020E1"/>
    <w:rsid w:val="00F02164"/>
    <w:rsid w:val="00F0221D"/>
    <w:rsid w:val="00F025AE"/>
    <w:rsid w:val="00F02DE5"/>
    <w:rsid w:val="00F03012"/>
    <w:rsid w:val="00F03105"/>
    <w:rsid w:val="00F0324F"/>
    <w:rsid w:val="00F0347F"/>
    <w:rsid w:val="00F03846"/>
    <w:rsid w:val="00F03AA2"/>
    <w:rsid w:val="00F03D4D"/>
    <w:rsid w:val="00F04084"/>
    <w:rsid w:val="00F043F9"/>
    <w:rsid w:val="00F04CF2"/>
    <w:rsid w:val="00F04E02"/>
    <w:rsid w:val="00F0526C"/>
    <w:rsid w:val="00F05558"/>
    <w:rsid w:val="00F0595E"/>
    <w:rsid w:val="00F05A7B"/>
    <w:rsid w:val="00F05AD1"/>
    <w:rsid w:val="00F06293"/>
    <w:rsid w:val="00F06454"/>
    <w:rsid w:val="00F0690A"/>
    <w:rsid w:val="00F06A72"/>
    <w:rsid w:val="00F06AA4"/>
    <w:rsid w:val="00F06CB2"/>
    <w:rsid w:val="00F06CE3"/>
    <w:rsid w:val="00F06E72"/>
    <w:rsid w:val="00F072E8"/>
    <w:rsid w:val="00F07C8A"/>
    <w:rsid w:val="00F07D8B"/>
    <w:rsid w:val="00F07FA5"/>
    <w:rsid w:val="00F104D0"/>
    <w:rsid w:val="00F10840"/>
    <w:rsid w:val="00F10F23"/>
    <w:rsid w:val="00F11175"/>
    <w:rsid w:val="00F11318"/>
    <w:rsid w:val="00F116E1"/>
    <w:rsid w:val="00F11E4F"/>
    <w:rsid w:val="00F11F00"/>
    <w:rsid w:val="00F120AC"/>
    <w:rsid w:val="00F126F2"/>
    <w:rsid w:val="00F1272B"/>
    <w:rsid w:val="00F13033"/>
    <w:rsid w:val="00F13232"/>
    <w:rsid w:val="00F132E7"/>
    <w:rsid w:val="00F13A85"/>
    <w:rsid w:val="00F13C6A"/>
    <w:rsid w:val="00F13C93"/>
    <w:rsid w:val="00F14182"/>
    <w:rsid w:val="00F14212"/>
    <w:rsid w:val="00F1446C"/>
    <w:rsid w:val="00F14895"/>
    <w:rsid w:val="00F148F1"/>
    <w:rsid w:val="00F14A1F"/>
    <w:rsid w:val="00F14BE6"/>
    <w:rsid w:val="00F14C11"/>
    <w:rsid w:val="00F14D95"/>
    <w:rsid w:val="00F15940"/>
    <w:rsid w:val="00F15A01"/>
    <w:rsid w:val="00F15D2C"/>
    <w:rsid w:val="00F15DA1"/>
    <w:rsid w:val="00F161D9"/>
    <w:rsid w:val="00F16582"/>
    <w:rsid w:val="00F169AE"/>
    <w:rsid w:val="00F169B8"/>
    <w:rsid w:val="00F16B9D"/>
    <w:rsid w:val="00F16CE1"/>
    <w:rsid w:val="00F17125"/>
    <w:rsid w:val="00F171DD"/>
    <w:rsid w:val="00F1727E"/>
    <w:rsid w:val="00F179EF"/>
    <w:rsid w:val="00F17E02"/>
    <w:rsid w:val="00F17E22"/>
    <w:rsid w:val="00F20017"/>
    <w:rsid w:val="00F20429"/>
    <w:rsid w:val="00F20444"/>
    <w:rsid w:val="00F20776"/>
    <w:rsid w:val="00F20B54"/>
    <w:rsid w:val="00F21051"/>
    <w:rsid w:val="00F2106E"/>
    <w:rsid w:val="00F21514"/>
    <w:rsid w:val="00F21AE7"/>
    <w:rsid w:val="00F21B8E"/>
    <w:rsid w:val="00F21CAF"/>
    <w:rsid w:val="00F21FFD"/>
    <w:rsid w:val="00F22155"/>
    <w:rsid w:val="00F223BD"/>
    <w:rsid w:val="00F223EA"/>
    <w:rsid w:val="00F22EE2"/>
    <w:rsid w:val="00F232DA"/>
    <w:rsid w:val="00F2330B"/>
    <w:rsid w:val="00F23587"/>
    <w:rsid w:val="00F23723"/>
    <w:rsid w:val="00F23BAD"/>
    <w:rsid w:val="00F2401F"/>
    <w:rsid w:val="00F2432F"/>
    <w:rsid w:val="00F24455"/>
    <w:rsid w:val="00F24481"/>
    <w:rsid w:val="00F24874"/>
    <w:rsid w:val="00F2495B"/>
    <w:rsid w:val="00F24980"/>
    <w:rsid w:val="00F249BD"/>
    <w:rsid w:val="00F24B20"/>
    <w:rsid w:val="00F24EF6"/>
    <w:rsid w:val="00F25C36"/>
    <w:rsid w:val="00F26145"/>
    <w:rsid w:val="00F26345"/>
    <w:rsid w:val="00F2634C"/>
    <w:rsid w:val="00F268AC"/>
    <w:rsid w:val="00F26D6D"/>
    <w:rsid w:val="00F27307"/>
    <w:rsid w:val="00F274E6"/>
    <w:rsid w:val="00F27A25"/>
    <w:rsid w:val="00F27BC4"/>
    <w:rsid w:val="00F27C95"/>
    <w:rsid w:val="00F3031B"/>
    <w:rsid w:val="00F30616"/>
    <w:rsid w:val="00F30910"/>
    <w:rsid w:val="00F30FED"/>
    <w:rsid w:val="00F31092"/>
    <w:rsid w:val="00F31673"/>
    <w:rsid w:val="00F3172C"/>
    <w:rsid w:val="00F319F9"/>
    <w:rsid w:val="00F31D7F"/>
    <w:rsid w:val="00F325D0"/>
    <w:rsid w:val="00F32AF9"/>
    <w:rsid w:val="00F32C09"/>
    <w:rsid w:val="00F33992"/>
    <w:rsid w:val="00F33B96"/>
    <w:rsid w:val="00F33BF2"/>
    <w:rsid w:val="00F33C71"/>
    <w:rsid w:val="00F346B1"/>
    <w:rsid w:val="00F3484E"/>
    <w:rsid w:val="00F34E84"/>
    <w:rsid w:val="00F34FB3"/>
    <w:rsid w:val="00F3591A"/>
    <w:rsid w:val="00F36323"/>
    <w:rsid w:val="00F368D8"/>
    <w:rsid w:val="00F36D3F"/>
    <w:rsid w:val="00F36D5D"/>
    <w:rsid w:val="00F36EA7"/>
    <w:rsid w:val="00F36F16"/>
    <w:rsid w:val="00F37507"/>
    <w:rsid w:val="00F37B1C"/>
    <w:rsid w:val="00F37D46"/>
    <w:rsid w:val="00F40042"/>
    <w:rsid w:val="00F402F3"/>
    <w:rsid w:val="00F4076B"/>
    <w:rsid w:val="00F40CC3"/>
    <w:rsid w:val="00F41179"/>
    <w:rsid w:val="00F41313"/>
    <w:rsid w:val="00F415F2"/>
    <w:rsid w:val="00F41A3C"/>
    <w:rsid w:val="00F42037"/>
    <w:rsid w:val="00F42246"/>
    <w:rsid w:val="00F423F6"/>
    <w:rsid w:val="00F42415"/>
    <w:rsid w:val="00F424D3"/>
    <w:rsid w:val="00F4284C"/>
    <w:rsid w:val="00F42A93"/>
    <w:rsid w:val="00F42FA8"/>
    <w:rsid w:val="00F432E2"/>
    <w:rsid w:val="00F435C6"/>
    <w:rsid w:val="00F43886"/>
    <w:rsid w:val="00F43E81"/>
    <w:rsid w:val="00F43FC2"/>
    <w:rsid w:val="00F443B0"/>
    <w:rsid w:val="00F444E7"/>
    <w:rsid w:val="00F447EA"/>
    <w:rsid w:val="00F44943"/>
    <w:rsid w:val="00F45159"/>
    <w:rsid w:val="00F453DF"/>
    <w:rsid w:val="00F45FDF"/>
    <w:rsid w:val="00F45FF9"/>
    <w:rsid w:val="00F4661B"/>
    <w:rsid w:val="00F46EEA"/>
    <w:rsid w:val="00F4737E"/>
    <w:rsid w:val="00F476A7"/>
    <w:rsid w:val="00F4784B"/>
    <w:rsid w:val="00F47D5F"/>
    <w:rsid w:val="00F47E5F"/>
    <w:rsid w:val="00F505C6"/>
    <w:rsid w:val="00F50623"/>
    <w:rsid w:val="00F511EE"/>
    <w:rsid w:val="00F51799"/>
    <w:rsid w:val="00F51D28"/>
    <w:rsid w:val="00F51E4D"/>
    <w:rsid w:val="00F52622"/>
    <w:rsid w:val="00F533F9"/>
    <w:rsid w:val="00F539AC"/>
    <w:rsid w:val="00F53D94"/>
    <w:rsid w:val="00F53E56"/>
    <w:rsid w:val="00F54014"/>
    <w:rsid w:val="00F5420D"/>
    <w:rsid w:val="00F54768"/>
    <w:rsid w:val="00F54ADC"/>
    <w:rsid w:val="00F553E8"/>
    <w:rsid w:val="00F55AA3"/>
    <w:rsid w:val="00F55DB2"/>
    <w:rsid w:val="00F55DFC"/>
    <w:rsid w:val="00F56C88"/>
    <w:rsid w:val="00F57BDA"/>
    <w:rsid w:val="00F57F43"/>
    <w:rsid w:val="00F60058"/>
    <w:rsid w:val="00F6066A"/>
    <w:rsid w:val="00F60688"/>
    <w:rsid w:val="00F60761"/>
    <w:rsid w:val="00F60D88"/>
    <w:rsid w:val="00F60DC0"/>
    <w:rsid w:val="00F61248"/>
    <w:rsid w:val="00F61281"/>
    <w:rsid w:val="00F613C3"/>
    <w:rsid w:val="00F617B5"/>
    <w:rsid w:val="00F61D87"/>
    <w:rsid w:val="00F62104"/>
    <w:rsid w:val="00F624BD"/>
    <w:rsid w:val="00F62635"/>
    <w:rsid w:val="00F626F5"/>
    <w:rsid w:val="00F62870"/>
    <w:rsid w:val="00F629DE"/>
    <w:rsid w:val="00F638B4"/>
    <w:rsid w:val="00F6394E"/>
    <w:rsid w:val="00F643C2"/>
    <w:rsid w:val="00F64A0B"/>
    <w:rsid w:val="00F64CAE"/>
    <w:rsid w:val="00F65001"/>
    <w:rsid w:val="00F6557B"/>
    <w:rsid w:val="00F658DA"/>
    <w:rsid w:val="00F65A0A"/>
    <w:rsid w:val="00F666B5"/>
    <w:rsid w:val="00F66F76"/>
    <w:rsid w:val="00F67275"/>
    <w:rsid w:val="00F6758A"/>
    <w:rsid w:val="00F67EF9"/>
    <w:rsid w:val="00F70011"/>
    <w:rsid w:val="00F704DC"/>
    <w:rsid w:val="00F713E2"/>
    <w:rsid w:val="00F7187B"/>
    <w:rsid w:val="00F718A4"/>
    <w:rsid w:val="00F71F54"/>
    <w:rsid w:val="00F723D7"/>
    <w:rsid w:val="00F72630"/>
    <w:rsid w:val="00F72698"/>
    <w:rsid w:val="00F728AA"/>
    <w:rsid w:val="00F728E5"/>
    <w:rsid w:val="00F72AD3"/>
    <w:rsid w:val="00F72C8A"/>
    <w:rsid w:val="00F72CA8"/>
    <w:rsid w:val="00F72D90"/>
    <w:rsid w:val="00F74073"/>
    <w:rsid w:val="00F741FA"/>
    <w:rsid w:val="00F7430B"/>
    <w:rsid w:val="00F74429"/>
    <w:rsid w:val="00F745D9"/>
    <w:rsid w:val="00F75050"/>
    <w:rsid w:val="00F7523E"/>
    <w:rsid w:val="00F759D7"/>
    <w:rsid w:val="00F7609A"/>
    <w:rsid w:val="00F76152"/>
    <w:rsid w:val="00F761AD"/>
    <w:rsid w:val="00F762F2"/>
    <w:rsid w:val="00F76924"/>
    <w:rsid w:val="00F76C8F"/>
    <w:rsid w:val="00F76FD6"/>
    <w:rsid w:val="00F77293"/>
    <w:rsid w:val="00F775EE"/>
    <w:rsid w:val="00F77C33"/>
    <w:rsid w:val="00F77D71"/>
    <w:rsid w:val="00F77F22"/>
    <w:rsid w:val="00F808F0"/>
    <w:rsid w:val="00F80927"/>
    <w:rsid w:val="00F80D74"/>
    <w:rsid w:val="00F81049"/>
    <w:rsid w:val="00F819E1"/>
    <w:rsid w:val="00F822A0"/>
    <w:rsid w:val="00F82B44"/>
    <w:rsid w:val="00F82B8B"/>
    <w:rsid w:val="00F834AE"/>
    <w:rsid w:val="00F83A8B"/>
    <w:rsid w:val="00F83B2E"/>
    <w:rsid w:val="00F84099"/>
    <w:rsid w:val="00F8412E"/>
    <w:rsid w:val="00F843F7"/>
    <w:rsid w:val="00F8476D"/>
    <w:rsid w:val="00F84932"/>
    <w:rsid w:val="00F84A59"/>
    <w:rsid w:val="00F84CCD"/>
    <w:rsid w:val="00F85501"/>
    <w:rsid w:val="00F856B7"/>
    <w:rsid w:val="00F856DE"/>
    <w:rsid w:val="00F85851"/>
    <w:rsid w:val="00F861D2"/>
    <w:rsid w:val="00F86769"/>
    <w:rsid w:val="00F8676D"/>
    <w:rsid w:val="00F86B98"/>
    <w:rsid w:val="00F86C16"/>
    <w:rsid w:val="00F86FBD"/>
    <w:rsid w:val="00F87272"/>
    <w:rsid w:val="00F874DD"/>
    <w:rsid w:val="00F8798B"/>
    <w:rsid w:val="00F87F91"/>
    <w:rsid w:val="00F9034D"/>
    <w:rsid w:val="00F90624"/>
    <w:rsid w:val="00F907AF"/>
    <w:rsid w:val="00F90E09"/>
    <w:rsid w:val="00F90E58"/>
    <w:rsid w:val="00F91633"/>
    <w:rsid w:val="00F91944"/>
    <w:rsid w:val="00F91CBC"/>
    <w:rsid w:val="00F91E36"/>
    <w:rsid w:val="00F9216B"/>
    <w:rsid w:val="00F922ED"/>
    <w:rsid w:val="00F925B2"/>
    <w:rsid w:val="00F9338F"/>
    <w:rsid w:val="00F93A0A"/>
    <w:rsid w:val="00F93FB2"/>
    <w:rsid w:val="00F94296"/>
    <w:rsid w:val="00F945C1"/>
    <w:rsid w:val="00F94A71"/>
    <w:rsid w:val="00F94CCA"/>
    <w:rsid w:val="00F95156"/>
    <w:rsid w:val="00F9535C"/>
    <w:rsid w:val="00F95426"/>
    <w:rsid w:val="00F95499"/>
    <w:rsid w:val="00F95780"/>
    <w:rsid w:val="00F95968"/>
    <w:rsid w:val="00F95D44"/>
    <w:rsid w:val="00F95EFB"/>
    <w:rsid w:val="00F9624E"/>
    <w:rsid w:val="00F965FE"/>
    <w:rsid w:val="00F9660E"/>
    <w:rsid w:val="00F9687F"/>
    <w:rsid w:val="00F96923"/>
    <w:rsid w:val="00F96BCC"/>
    <w:rsid w:val="00F96D5D"/>
    <w:rsid w:val="00F96E26"/>
    <w:rsid w:val="00F970DB"/>
    <w:rsid w:val="00F975AA"/>
    <w:rsid w:val="00F9766C"/>
    <w:rsid w:val="00F97774"/>
    <w:rsid w:val="00FA008C"/>
    <w:rsid w:val="00FA01C6"/>
    <w:rsid w:val="00FA0431"/>
    <w:rsid w:val="00FA04B0"/>
    <w:rsid w:val="00FA0577"/>
    <w:rsid w:val="00FA086C"/>
    <w:rsid w:val="00FA0870"/>
    <w:rsid w:val="00FA0DAF"/>
    <w:rsid w:val="00FA0FFB"/>
    <w:rsid w:val="00FA1292"/>
    <w:rsid w:val="00FA1441"/>
    <w:rsid w:val="00FA1596"/>
    <w:rsid w:val="00FA1D00"/>
    <w:rsid w:val="00FA1FD7"/>
    <w:rsid w:val="00FA203F"/>
    <w:rsid w:val="00FA25F4"/>
    <w:rsid w:val="00FA2775"/>
    <w:rsid w:val="00FA2D6E"/>
    <w:rsid w:val="00FA2D95"/>
    <w:rsid w:val="00FA38A1"/>
    <w:rsid w:val="00FA3C01"/>
    <w:rsid w:val="00FA3F41"/>
    <w:rsid w:val="00FA4181"/>
    <w:rsid w:val="00FA4427"/>
    <w:rsid w:val="00FA4A3B"/>
    <w:rsid w:val="00FA4FDA"/>
    <w:rsid w:val="00FA589D"/>
    <w:rsid w:val="00FA5A4A"/>
    <w:rsid w:val="00FA62C1"/>
    <w:rsid w:val="00FA63DE"/>
    <w:rsid w:val="00FA6B17"/>
    <w:rsid w:val="00FA6F91"/>
    <w:rsid w:val="00FA71CD"/>
    <w:rsid w:val="00FA7860"/>
    <w:rsid w:val="00FA7BEF"/>
    <w:rsid w:val="00FB0060"/>
    <w:rsid w:val="00FB012F"/>
    <w:rsid w:val="00FB040E"/>
    <w:rsid w:val="00FB044E"/>
    <w:rsid w:val="00FB0A08"/>
    <w:rsid w:val="00FB0AD3"/>
    <w:rsid w:val="00FB0D58"/>
    <w:rsid w:val="00FB0F9A"/>
    <w:rsid w:val="00FB1081"/>
    <w:rsid w:val="00FB1730"/>
    <w:rsid w:val="00FB185F"/>
    <w:rsid w:val="00FB21EE"/>
    <w:rsid w:val="00FB226A"/>
    <w:rsid w:val="00FB22E6"/>
    <w:rsid w:val="00FB2305"/>
    <w:rsid w:val="00FB231D"/>
    <w:rsid w:val="00FB2322"/>
    <w:rsid w:val="00FB2386"/>
    <w:rsid w:val="00FB2506"/>
    <w:rsid w:val="00FB2985"/>
    <w:rsid w:val="00FB3022"/>
    <w:rsid w:val="00FB306B"/>
    <w:rsid w:val="00FB3212"/>
    <w:rsid w:val="00FB3784"/>
    <w:rsid w:val="00FB41DC"/>
    <w:rsid w:val="00FB49A4"/>
    <w:rsid w:val="00FB4A2E"/>
    <w:rsid w:val="00FB50C2"/>
    <w:rsid w:val="00FB529D"/>
    <w:rsid w:val="00FB56C5"/>
    <w:rsid w:val="00FB57EF"/>
    <w:rsid w:val="00FB59E5"/>
    <w:rsid w:val="00FB5E74"/>
    <w:rsid w:val="00FB5FB0"/>
    <w:rsid w:val="00FB6F0E"/>
    <w:rsid w:val="00FB73B9"/>
    <w:rsid w:val="00FB75D8"/>
    <w:rsid w:val="00FB7747"/>
    <w:rsid w:val="00FB7C86"/>
    <w:rsid w:val="00FB7E29"/>
    <w:rsid w:val="00FB7F55"/>
    <w:rsid w:val="00FC01A4"/>
    <w:rsid w:val="00FC06BF"/>
    <w:rsid w:val="00FC0AE4"/>
    <w:rsid w:val="00FC0B3F"/>
    <w:rsid w:val="00FC0E21"/>
    <w:rsid w:val="00FC1694"/>
    <w:rsid w:val="00FC176E"/>
    <w:rsid w:val="00FC18A5"/>
    <w:rsid w:val="00FC1C70"/>
    <w:rsid w:val="00FC1CF2"/>
    <w:rsid w:val="00FC1ED5"/>
    <w:rsid w:val="00FC2124"/>
    <w:rsid w:val="00FC2576"/>
    <w:rsid w:val="00FC25AC"/>
    <w:rsid w:val="00FC272A"/>
    <w:rsid w:val="00FC2A8A"/>
    <w:rsid w:val="00FC2E45"/>
    <w:rsid w:val="00FC351E"/>
    <w:rsid w:val="00FC35DE"/>
    <w:rsid w:val="00FC3E9C"/>
    <w:rsid w:val="00FC4398"/>
    <w:rsid w:val="00FC4401"/>
    <w:rsid w:val="00FC48D8"/>
    <w:rsid w:val="00FC4982"/>
    <w:rsid w:val="00FC4B62"/>
    <w:rsid w:val="00FC4BA2"/>
    <w:rsid w:val="00FC503B"/>
    <w:rsid w:val="00FC517A"/>
    <w:rsid w:val="00FC5301"/>
    <w:rsid w:val="00FC588B"/>
    <w:rsid w:val="00FC5B26"/>
    <w:rsid w:val="00FC5E55"/>
    <w:rsid w:val="00FC5F5C"/>
    <w:rsid w:val="00FC6028"/>
    <w:rsid w:val="00FC635D"/>
    <w:rsid w:val="00FC66B8"/>
    <w:rsid w:val="00FC6947"/>
    <w:rsid w:val="00FC6E6C"/>
    <w:rsid w:val="00FC6E74"/>
    <w:rsid w:val="00FC7029"/>
    <w:rsid w:val="00FC7186"/>
    <w:rsid w:val="00FC742F"/>
    <w:rsid w:val="00FC7C89"/>
    <w:rsid w:val="00FD0CFD"/>
    <w:rsid w:val="00FD0F61"/>
    <w:rsid w:val="00FD10DB"/>
    <w:rsid w:val="00FD1280"/>
    <w:rsid w:val="00FD143C"/>
    <w:rsid w:val="00FD153F"/>
    <w:rsid w:val="00FD190D"/>
    <w:rsid w:val="00FD1946"/>
    <w:rsid w:val="00FD1DFB"/>
    <w:rsid w:val="00FD2965"/>
    <w:rsid w:val="00FD2A64"/>
    <w:rsid w:val="00FD2CC3"/>
    <w:rsid w:val="00FD31C7"/>
    <w:rsid w:val="00FD324E"/>
    <w:rsid w:val="00FD3ABA"/>
    <w:rsid w:val="00FD3D61"/>
    <w:rsid w:val="00FD3D8B"/>
    <w:rsid w:val="00FD436D"/>
    <w:rsid w:val="00FD476B"/>
    <w:rsid w:val="00FD491D"/>
    <w:rsid w:val="00FD49DB"/>
    <w:rsid w:val="00FD5062"/>
    <w:rsid w:val="00FD506B"/>
    <w:rsid w:val="00FD556F"/>
    <w:rsid w:val="00FD57A5"/>
    <w:rsid w:val="00FD5FCA"/>
    <w:rsid w:val="00FD63EF"/>
    <w:rsid w:val="00FD6D64"/>
    <w:rsid w:val="00FD70C7"/>
    <w:rsid w:val="00FD7399"/>
    <w:rsid w:val="00FD764D"/>
    <w:rsid w:val="00FD7ACC"/>
    <w:rsid w:val="00FD7B35"/>
    <w:rsid w:val="00FD7BCD"/>
    <w:rsid w:val="00FD7C6C"/>
    <w:rsid w:val="00FD7CDC"/>
    <w:rsid w:val="00FD7F20"/>
    <w:rsid w:val="00FE01A6"/>
    <w:rsid w:val="00FE02F8"/>
    <w:rsid w:val="00FE0BA6"/>
    <w:rsid w:val="00FE0C38"/>
    <w:rsid w:val="00FE1445"/>
    <w:rsid w:val="00FE1493"/>
    <w:rsid w:val="00FE153E"/>
    <w:rsid w:val="00FE168D"/>
    <w:rsid w:val="00FE1769"/>
    <w:rsid w:val="00FE18D2"/>
    <w:rsid w:val="00FE18EF"/>
    <w:rsid w:val="00FE1CE2"/>
    <w:rsid w:val="00FE1DFC"/>
    <w:rsid w:val="00FE21B5"/>
    <w:rsid w:val="00FE233C"/>
    <w:rsid w:val="00FE235B"/>
    <w:rsid w:val="00FE2620"/>
    <w:rsid w:val="00FE262C"/>
    <w:rsid w:val="00FE27FE"/>
    <w:rsid w:val="00FE2852"/>
    <w:rsid w:val="00FE2A5D"/>
    <w:rsid w:val="00FE2F5F"/>
    <w:rsid w:val="00FE32FF"/>
    <w:rsid w:val="00FE393B"/>
    <w:rsid w:val="00FE4608"/>
    <w:rsid w:val="00FE4826"/>
    <w:rsid w:val="00FE5D3C"/>
    <w:rsid w:val="00FE5DD2"/>
    <w:rsid w:val="00FE633A"/>
    <w:rsid w:val="00FE66DF"/>
    <w:rsid w:val="00FE6845"/>
    <w:rsid w:val="00FE693B"/>
    <w:rsid w:val="00FE6AD1"/>
    <w:rsid w:val="00FE6C84"/>
    <w:rsid w:val="00FE772E"/>
    <w:rsid w:val="00FE78FD"/>
    <w:rsid w:val="00FE7BA2"/>
    <w:rsid w:val="00FF005E"/>
    <w:rsid w:val="00FF0429"/>
    <w:rsid w:val="00FF0586"/>
    <w:rsid w:val="00FF0724"/>
    <w:rsid w:val="00FF09BD"/>
    <w:rsid w:val="00FF110B"/>
    <w:rsid w:val="00FF12E6"/>
    <w:rsid w:val="00FF1744"/>
    <w:rsid w:val="00FF183A"/>
    <w:rsid w:val="00FF1A84"/>
    <w:rsid w:val="00FF1F34"/>
    <w:rsid w:val="00FF1FD3"/>
    <w:rsid w:val="00FF2265"/>
    <w:rsid w:val="00FF2DD8"/>
    <w:rsid w:val="00FF3108"/>
    <w:rsid w:val="00FF3223"/>
    <w:rsid w:val="00FF3496"/>
    <w:rsid w:val="00FF363E"/>
    <w:rsid w:val="00FF39FF"/>
    <w:rsid w:val="00FF3CA1"/>
    <w:rsid w:val="00FF4177"/>
    <w:rsid w:val="00FF43BA"/>
    <w:rsid w:val="00FF4553"/>
    <w:rsid w:val="00FF45D1"/>
    <w:rsid w:val="00FF4675"/>
    <w:rsid w:val="00FF48C8"/>
    <w:rsid w:val="00FF49EF"/>
    <w:rsid w:val="00FF4D69"/>
    <w:rsid w:val="00FF4EC2"/>
    <w:rsid w:val="00FF5142"/>
    <w:rsid w:val="00FF74AC"/>
    <w:rsid w:val="00FF74CE"/>
    <w:rsid w:val="00FF77EC"/>
    <w:rsid w:val="00FF7932"/>
    <w:rsid w:val="00FF7C7F"/>
    <w:rsid w:val="047A472E"/>
    <w:rsid w:val="0A431A0A"/>
    <w:rsid w:val="0CA53C6D"/>
    <w:rsid w:val="0E60322C"/>
    <w:rsid w:val="12B4AF78"/>
    <w:rsid w:val="1C467056"/>
    <w:rsid w:val="1D3DCEF8"/>
    <w:rsid w:val="1F7A22FA"/>
    <w:rsid w:val="1FABAA86"/>
    <w:rsid w:val="250AAFF2"/>
    <w:rsid w:val="2D228BB6"/>
    <w:rsid w:val="377C86A2"/>
    <w:rsid w:val="3CAE58A4"/>
    <w:rsid w:val="3CE3BA19"/>
    <w:rsid w:val="46B40971"/>
    <w:rsid w:val="4A924ED7"/>
    <w:rsid w:val="4DFC659A"/>
    <w:rsid w:val="68F51F73"/>
    <w:rsid w:val="6EEE97F5"/>
    <w:rsid w:val="7DA0FA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FDD875"/>
  <w15:docId w15:val="{D7DF9354-3878-364F-A795-5B4671C41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0972"/>
    <w:pPr>
      <w:jc w:val="both"/>
    </w:pPr>
    <w:rPr>
      <w:rFonts w:ascii="Arial" w:hAnsi="Arial" w:cs="Arial"/>
      <w:sz w:val="24"/>
      <w:szCs w:val="24"/>
      <w:lang w:val="es-ES_tradnl" w:eastAsia="es-ES"/>
    </w:rPr>
  </w:style>
  <w:style w:type="paragraph" w:styleId="Ttulo1">
    <w:name w:val="heading 1"/>
    <w:basedOn w:val="Normal"/>
    <w:next w:val="Normal"/>
    <w:link w:val="Ttulo1Car"/>
    <w:uiPriority w:val="1"/>
    <w:qFormat/>
    <w:rsid w:val="00D6708E"/>
    <w:pPr>
      <w:widowControl w:val="0"/>
      <w:kinsoku w:val="0"/>
      <w:overflowPunct w:val="0"/>
      <w:autoSpaceDE w:val="0"/>
      <w:autoSpaceDN w:val="0"/>
      <w:adjustRightInd w:val="0"/>
      <w:ind w:right="15"/>
      <w:jc w:val="center"/>
      <w:outlineLvl w:val="0"/>
    </w:pPr>
    <w:rPr>
      <w:rFonts w:eastAsiaTheme="minorEastAsia"/>
      <w:b/>
      <w:bCs/>
      <w:spacing w:val="-1"/>
      <w:sz w:val="32"/>
      <w:szCs w:val="32"/>
      <w:lang w:val="es-MX" w:eastAsia="es-MX"/>
      <w14:ligatures w14:val="standardContextual"/>
    </w:rPr>
  </w:style>
  <w:style w:type="paragraph" w:styleId="Ttulo2">
    <w:name w:val="heading 2"/>
    <w:basedOn w:val="Normal"/>
    <w:next w:val="Normal"/>
    <w:link w:val="Ttulo2Car"/>
    <w:uiPriority w:val="1"/>
    <w:qFormat/>
    <w:rsid w:val="00A3561C"/>
    <w:pPr>
      <w:widowControl w:val="0"/>
      <w:autoSpaceDE w:val="0"/>
      <w:autoSpaceDN w:val="0"/>
      <w:adjustRightInd w:val="0"/>
      <w:ind w:right="15"/>
      <w:jc w:val="left"/>
      <w:outlineLvl w:val="1"/>
    </w:pPr>
    <w:rPr>
      <w:rFonts w:eastAsiaTheme="minorEastAsia"/>
      <w:b/>
      <w:bCs/>
      <w:i/>
      <w:iCs/>
      <w:lang w:val="es-MX" w:eastAsia="es-MX"/>
      <w14:ligatures w14:val="standardContextual"/>
    </w:rPr>
  </w:style>
  <w:style w:type="paragraph" w:styleId="Ttulo3">
    <w:name w:val="heading 3"/>
    <w:basedOn w:val="Normal"/>
    <w:next w:val="Normal"/>
    <w:link w:val="Ttulo3Car"/>
    <w:unhideWhenUsed/>
    <w:qFormat/>
    <w:rsid w:val="001774E6"/>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nhideWhenUsed/>
    <w:qFormat/>
    <w:rsid w:val="001774E6"/>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nhideWhenUsed/>
    <w:qFormat/>
    <w:rsid w:val="001774E6"/>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170972"/>
    <w:pPr>
      <w:tabs>
        <w:tab w:val="center" w:pos="4320"/>
        <w:tab w:val="right" w:pos="8640"/>
      </w:tabs>
    </w:pPr>
  </w:style>
  <w:style w:type="paragraph" w:styleId="Encabezado">
    <w:name w:val="header"/>
    <w:basedOn w:val="Normal"/>
    <w:link w:val="EncabezadoCar"/>
    <w:rsid w:val="00170972"/>
    <w:pPr>
      <w:tabs>
        <w:tab w:val="center" w:pos="4320"/>
        <w:tab w:val="right" w:pos="8640"/>
      </w:tabs>
    </w:pPr>
  </w:style>
  <w:style w:type="paragraph" w:customStyle="1" w:styleId="Textonotafinal">
    <w:name w:val="Texto nota final"/>
    <w:basedOn w:val="Normal"/>
    <w:rsid w:val="00170972"/>
    <w:rPr>
      <w:sz w:val="20"/>
      <w:szCs w:val="20"/>
    </w:rPr>
  </w:style>
  <w:style w:type="paragraph" w:customStyle="1" w:styleId="n0">
    <w:name w:val="n0"/>
    <w:basedOn w:val="Normal"/>
    <w:rsid w:val="00170972"/>
    <w:pPr>
      <w:keepLines/>
      <w:spacing w:before="240"/>
      <w:ind w:left="709" w:right="-351" w:hanging="709"/>
    </w:pPr>
    <w:rPr>
      <w:color w:val="800080"/>
    </w:rPr>
  </w:style>
  <w:style w:type="paragraph" w:styleId="Textoindependiente">
    <w:name w:val="Body Text"/>
    <w:basedOn w:val="Normal"/>
    <w:link w:val="TextoindependienteCar"/>
    <w:rsid w:val="00170972"/>
    <w:pPr>
      <w:spacing w:before="240"/>
    </w:pPr>
    <w:rPr>
      <w:color w:val="0000FF"/>
    </w:rPr>
  </w:style>
  <w:style w:type="paragraph" w:customStyle="1" w:styleId="n01">
    <w:name w:val="n01"/>
    <w:basedOn w:val="Normal"/>
    <w:rsid w:val="00170972"/>
    <w:pPr>
      <w:keepLines/>
      <w:spacing w:before="240"/>
      <w:ind w:left="720" w:hanging="720"/>
    </w:pPr>
    <w:rPr>
      <w:rFonts w:ascii="Univers (W1)" w:hAnsi="Univers (W1)"/>
      <w:color w:val="800080"/>
    </w:rPr>
  </w:style>
  <w:style w:type="paragraph" w:customStyle="1" w:styleId="Mapadeldocumento1">
    <w:name w:val="Mapa del documento1"/>
    <w:basedOn w:val="Normal"/>
    <w:rsid w:val="00170972"/>
    <w:pPr>
      <w:shd w:val="clear" w:color="auto" w:fill="000080"/>
    </w:pPr>
    <w:rPr>
      <w:rFonts w:ascii="Tahoma" w:hAnsi="Tahoma" w:cs="Tahoma"/>
    </w:rPr>
  </w:style>
  <w:style w:type="paragraph" w:customStyle="1" w:styleId="Profesin">
    <w:name w:val="Profesión"/>
    <w:basedOn w:val="Normal"/>
    <w:rsid w:val="00170972"/>
    <w:pPr>
      <w:jc w:val="center"/>
    </w:pPr>
    <w:rPr>
      <w:b/>
      <w:bCs/>
      <w:caps/>
      <w:sz w:val="28"/>
      <w:szCs w:val="28"/>
    </w:rPr>
  </w:style>
  <w:style w:type="paragraph" w:styleId="Subttulo">
    <w:name w:val="Subtitle"/>
    <w:basedOn w:val="Normal"/>
    <w:link w:val="SubttuloCar"/>
    <w:qFormat/>
    <w:rsid w:val="00170972"/>
    <w:pPr>
      <w:jc w:val="center"/>
    </w:pPr>
    <w:rPr>
      <w:b/>
      <w:bCs/>
    </w:rPr>
  </w:style>
  <w:style w:type="paragraph" w:styleId="Mapadeldocumento">
    <w:name w:val="Document Map"/>
    <w:basedOn w:val="Normal"/>
    <w:semiHidden/>
    <w:rsid w:val="00170972"/>
    <w:pPr>
      <w:shd w:val="clear" w:color="auto" w:fill="000080"/>
    </w:pPr>
    <w:rPr>
      <w:rFonts w:ascii="Tahoma" w:hAnsi="Tahoma" w:cs="Tahoma"/>
    </w:rPr>
  </w:style>
  <w:style w:type="paragraph" w:styleId="Textoindependiente2">
    <w:name w:val="Body Text 2"/>
    <w:basedOn w:val="Normal"/>
    <w:rsid w:val="00170972"/>
    <w:pPr>
      <w:spacing w:before="240"/>
      <w:ind w:right="1951"/>
    </w:pPr>
  </w:style>
  <w:style w:type="paragraph" w:customStyle="1" w:styleId="p0">
    <w:name w:val="p0"/>
    <w:basedOn w:val="Normal"/>
    <w:rsid w:val="00170972"/>
    <w:pPr>
      <w:keepLines/>
      <w:widowControl w:val="0"/>
      <w:spacing w:before="240"/>
    </w:pPr>
    <w:rPr>
      <w:rFonts w:ascii="Helvetica" w:hAnsi="Helvetica"/>
      <w:snapToGrid w:val="0"/>
      <w:color w:val="0000FF"/>
    </w:rPr>
  </w:style>
  <w:style w:type="paragraph" w:styleId="Textodeglobo">
    <w:name w:val="Balloon Text"/>
    <w:basedOn w:val="Normal"/>
    <w:link w:val="TextodegloboCar"/>
    <w:uiPriority w:val="99"/>
    <w:semiHidden/>
    <w:rsid w:val="00170972"/>
    <w:rPr>
      <w:rFonts w:ascii="Tahoma" w:hAnsi="Tahoma" w:cs="Tahoma"/>
      <w:sz w:val="16"/>
      <w:szCs w:val="16"/>
    </w:rPr>
  </w:style>
  <w:style w:type="paragraph" w:styleId="Textoindependiente3">
    <w:name w:val="Body Text 3"/>
    <w:basedOn w:val="Normal"/>
    <w:rsid w:val="00170972"/>
    <w:pPr>
      <w:spacing w:before="360"/>
      <w:outlineLvl w:val="0"/>
    </w:pPr>
    <w:rPr>
      <w:u w:val="single"/>
    </w:rPr>
  </w:style>
  <w:style w:type="paragraph" w:styleId="TDC7">
    <w:name w:val="toc 7"/>
    <w:basedOn w:val="Normal"/>
    <w:next w:val="Normal"/>
    <w:rsid w:val="00CC726E"/>
    <w:pPr>
      <w:tabs>
        <w:tab w:val="left" w:leader="dot" w:pos="8646"/>
        <w:tab w:val="right" w:pos="9072"/>
      </w:tabs>
      <w:ind w:left="4253" w:right="850"/>
      <w:jc w:val="left"/>
    </w:pPr>
    <w:rPr>
      <w:rFonts w:ascii="Univers (W1)" w:hAnsi="Univers (W1)" w:cs="Times New Roman"/>
    </w:rPr>
  </w:style>
  <w:style w:type="character" w:styleId="Hipervnculo">
    <w:name w:val="Hyperlink"/>
    <w:basedOn w:val="Fuentedeprrafopredeter"/>
    <w:rsid w:val="00404D4D"/>
    <w:rPr>
      <w:color w:val="0000FF"/>
      <w:u w:val="single"/>
    </w:rPr>
  </w:style>
  <w:style w:type="paragraph" w:styleId="Prrafodelista">
    <w:name w:val="List Paragraph"/>
    <w:aliases w:val="Concepto,Párrafo,de,lista"/>
    <w:basedOn w:val="Normal"/>
    <w:link w:val="PrrafodelistaCar"/>
    <w:uiPriority w:val="34"/>
    <w:qFormat/>
    <w:rsid w:val="00F8476D"/>
    <w:pPr>
      <w:ind w:left="708"/>
    </w:pPr>
  </w:style>
  <w:style w:type="paragraph" w:customStyle="1" w:styleId="Texto">
    <w:name w:val="Texto"/>
    <w:basedOn w:val="Normal"/>
    <w:link w:val="TextoCar"/>
    <w:rsid w:val="007F4D45"/>
    <w:pPr>
      <w:spacing w:after="101" w:line="216" w:lineRule="exact"/>
      <w:ind w:firstLine="288"/>
    </w:pPr>
    <w:rPr>
      <w:sz w:val="18"/>
      <w:szCs w:val="20"/>
      <w:lang w:val="es-ES"/>
    </w:rPr>
  </w:style>
  <w:style w:type="character" w:customStyle="1" w:styleId="TextoCar">
    <w:name w:val="Texto Car"/>
    <w:basedOn w:val="Fuentedeprrafopredeter"/>
    <w:link w:val="Texto"/>
    <w:rsid w:val="007F4D45"/>
    <w:rPr>
      <w:rFonts w:ascii="Arial" w:hAnsi="Arial" w:cs="Arial"/>
      <w:sz w:val="18"/>
      <w:lang w:val="es-ES" w:eastAsia="es-ES"/>
    </w:rPr>
  </w:style>
  <w:style w:type="paragraph" w:styleId="Textonotapie">
    <w:name w:val="footnote text"/>
    <w:basedOn w:val="Normal"/>
    <w:link w:val="TextonotapieCar"/>
    <w:uiPriority w:val="99"/>
    <w:rsid w:val="003E64BB"/>
    <w:rPr>
      <w:sz w:val="20"/>
      <w:szCs w:val="20"/>
    </w:rPr>
  </w:style>
  <w:style w:type="character" w:customStyle="1" w:styleId="TextonotapieCar">
    <w:name w:val="Texto nota pie Car"/>
    <w:basedOn w:val="Fuentedeprrafopredeter"/>
    <w:link w:val="Textonotapie"/>
    <w:uiPriority w:val="99"/>
    <w:rsid w:val="003E64BB"/>
    <w:rPr>
      <w:rFonts w:ascii="Arial" w:hAnsi="Arial" w:cs="Arial"/>
      <w:lang w:val="es-ES_tradnl" w:eastAsia="es-ES"/>
    </w:rPr>
  </w:style>
  <w:style w:type="character" w:styleId="Refdenotaalpie">
    <w:name w:val="footnote reference"/>
    <w:basedOn w:val="Fuentedeprrafopredeter"/>
    <w:uiPriority w:val="99"/>
    <w:rsid w:val="003E64BB"/>
    <w:rPr>
      <w:vertAlign w:val="superscript"/>
    </w:rPr>
  </w:style>
  <w:style w:type="character" w:styleId="Hipervnculovisitado">
    <w:name w:val="FollowedHyperlink"/>
    <w:basedOn w:val="Fuentedeprrafopredeter"/>
    <w:rsid w:val="00D87BDC"/>
    <w:rPr>
      <w:color w:val="800080" w:themeColor="followedHyperlink"/>
      <w:u w:val="single"/>
    </w:rPr>
  </w:style>
  <w:style w:type="paragraph" w:customStyle="1" w:styleId="Default">
    <w:name w:val="Default"/>
    <w:rsid w:val="00705BD7"/>
    <w:pPr>
      <w:autoSpaceDE w:val="0"/>
      <w:autoSpaceDN w:val="0"/>
      <w:adjustRightInd w:val="0"/>
    </w:pPr>
    <w:rPr>
      <w:rFonts w:ascii="Arial" w:hAnsi="Arial" w:cs="Arial"/>
      <w:color w:val="000000"/>
      <w:sz w:val="24"/>
      <w:szCs w:val="24"/>
    </w:rPr>
  </w:style>
  <w:style w:type="character" w:customStyle="1" w:styleId="EncabezadoCar">
    <w:name w:val="Encabezado Car"/>
    <w:basedOn w:val="Fuentedeprrafopredeter"/>
    <w:link w:val="Encabezado"/>
    <w:rsid w:val="003076C4"/>
    <w:rPr>
      <w:rFonts w:ascii="Arial" w:hAnsi="Arial" w:cs="Arial"/>
      <w:sz w:val="24"/>
      <w:szCs w:val="24"/>
      <w:lang w:val="es-ES_tradnl" w:eastAsia="es-ES"/>
    </w:rPr>
  </w:style>
  <w:style w:type="paragraph" w:styleId="Textocomentario">
    <w:name w:val="annotation text"/>
    <w:basedOn w:val="Normal"/>
    <w:link w:val="TextocomentarioCar"/>
    <w:semiHidden/>
    <w:rsid w:val="00D53650"/>
    <w:pPr>
      <w:jc w:val="left"/>
    </w:pPr>
    <w:rPr>
      <w:rFonts w:ascii="Times New Roman" w:hAnsi="Times New Roman" w:cs="Times New Roman"/>
      <w:sz w:val="20"/>
      <w:szCs w:val="20"/>
      <w:lang w:val="es-MX"/>
    </w:rPr>
  </w:style>
  <w:style w:type="character" w:customStyle="1" w:styleId="TextocomentarioCar">
    <w:name w:val="Texto comentario Car"/>
    <w:basedOn w:val="Fuentedeprrafopredeter"/>
    <w:link w:val="Textocomentario"/>
    <w:semiHidden/>
    <w:rsid w:val="00D53650"/>
    <w:rPr>
      <w:lang w:eastAsia="es-ES"/>
    </w:rPr>
  </w:style>
  <w:style w:type="paragraph" w:styleId="Textonotaalfinal">
    <w:name w:val="endnote text"/>
    <w:basedOn w:val="Normal"/>
    <w:link w:val="TextonotaalfinalCar"/>
    <w:semiHidden/>
    <w:rsid w:val="00D53650"/>
    <w:pPr>
      <w:jc w:val="left"/>
    </w:pPr>
    <w:rPr>
      <w:rFonts w:ascii="Times New Roman" w:hAnsi="Times New Roman" w:cs="Times New Roman"/>
      <w:sz w:val="20"/>
      <w:szCs w:val="20"/>
      <w:lang w:val="es-MX"/>
    </w:rPr>
  </w:style>
  <w:style w:type="character" w:customStyle="1" w:styleId="TextonotaalfinalCar">
    <w:name w:val="Texto nota al final Car"/>
    <w:basedOn w:val="Fuentedeprrafopredeter"/>
    <w:link w:val="Textonotaalfinal"/>
    <w:semiHidden/>
    <w:rsid w:val="00D53650"/>
    <w:rPr>
      <w:lang w:eastAsia="es-ES"/>
    </w:rPr>
  </w:style>
  <w:style w:type="paragraph" w:customStyle="1" w:styleId="bulnot">
    <w:name w:val="bulnot"/>
    <w:basedOn w:val="Normal"/>
    <w:rsid w:val="00D53650"/>
    <w:pPr>
      <w:tabs>
        <w:tab w:val="left" w:pos="851"/>
      </w:tabs>
      <w:spacing w:before="360"/>
      <w:ind w:left="1985" w:right="2036" w:hanging="273"/>
    </w:pPr>
    <w:rPr>
      <w:rFonts w:cs="Times New Roman"/>
      <w:b/>
      <w:color w:val="0000FF"/>
      <w:spacing w:val="10"/>
      <w:sz w:val="22"/>
      <w:szCs w:val="20"/>
      <w:lang w:val="es-MX"/>
    </w:rPr>
  </w:style>
  <w:style w:type="paragraph" w:customStyle="1" w:styleId="texto0">
    <w:name w:val="texto"/>
    <w:basedOn w:val="Normal"/>
    <w:rsid w:val="00D53650"/>
    <w:pPr>
      <w:keepLines/>
      <w:spacing w:before="240"/>
    </w:pPr>
    <w:rPr>
      <w:rFonts w:cs="Times New Roman"/>
      <w:color w:val="000080"/>
      <w:szCs w:val="20"/>
      <w:lang w:val="es-MX"/>
    </w:rPr>
  </w:style>
  <w:style w:type="paragraph" w:customStyle="1" w:styleId="bullet">
    <w:name w:val="bullet"/>
    <w:basedOn w:val="Normal"/>
    <w:rsid w:val="00D53650"/>
    <w:pPr>
      <w:keepLines/>
      <w:spacing w:before="240" w:after="120"/>
      <w:ind w:left="1418" w:right="901" w:hanging="284"/>
    </w:pPr>
    <w:rPr>
      <w:rFonts w:cs="Times New Roman"/>
      <w:b/>
      <w:color w:val="0000FF"/>
      <w:spacing w:val="10"/>
      <w:szCs w:val="20"/>
      <w:lang w:val="es-MX"/>
    </w:rPr>
  </w:style>
  <w:style w:type="paragraph" w:customStyle="1" w:styleId="estado">
    <w:name w:val="estado"/>
    <w:basedOn w:val="Normal"/>
    <w:rsid w:val="00D53650"/>
    <w:pPr>
      <w:spacing w:before="360" w:line="320" w:lineRule="exact"/>
      <w:ind w:left="567" w:hanging="567"/>
    </w:pPr>
    <w:rPr>
      <w:rFonts w:cs="Times New Roman"/>
      <w:szCs w:val="20"/>
      <w:lang w:val="es-MX"/>
    </w:rPr>
  </w:style>
  <w:style w:type="paragraph" w:customStyle="1" w:styleId="tit-gra">
    <w:name w:val="tit-gra"/>
    <w:basedOn w:val="Normal"/>
    <w:rsid w:val="00D53650"/>
    <w:pPr>
      <w:keepNext/>
      <w:keepLines/>
      <w:jc w:val="center"/>
    </w:pPr>
    <w:rPr>
      <w:rFonts w:cs="Times New Roman"/>
      <w:b/>
      <w:szCs w:val="20"/>
      <w:lang w:val="es-MX"/>
    </w:rPr>
  </w:style>
  <w:style w:type="paragraph" w:customStyle="1" w:styleId="var">
    <w:name w:val="var%"/>
    <w:basedOn w:val="Normal"/>
    <w:rsid w:val="00D53650"/>
    <w:pPr>
      <w:jc w:val="center"/>
    </w:pPr>
    <w:rPr>
      <w:rFonts w:cs="Times New Roman"/>
      <w:sz w:val="18"/>
      <w:szCs w:val="20"/>
      <w:lang w:val="es-MX"/>
    </w:rPr>
  </w:style>
  <w:style w:type="paragraph" w:styleId="Textodebloque">
    <w:name w:val="Block Text"/>
    <w:basedOn w:val="Normal"/>
    <w:rsid w:val="00D53650"/>
    <w:pPr>
      <w:spacing w:before="240"/>
      <w:ind w:left="-142" w:right="-91"/>
      <w:jc w:val="center"/>
    </w:pPr>
    <w:rPr>
      <w:rFonts w:cs="Times New Roman"/>
      <w:b/>
      <w:caps/>
      <w:szCs w:val="20"/>
      <w:lang w:val="es-MX"/>
    </w:rPr>
  </w:style>
  <w:style w:type="paragraph" w:customStyle="1" w:styleId="Textodebloque1">
    <w:name w:val="Texto de bloque1"/>
    <w:basedOn w:val="Normal"/>
    <w:rsid w:val="00D53650"/>
    <w:pPr>
      <w:spacing w:before="240"/>
      <w:ind w:left="1843" w:right="1361" w:hanging="273"/>
    </w:pPr>
    <w:rPr>
      <w:rFonts w:cs="Times New Roman"/>
      <w:b/>
      <w:sz w:val="22"/>
      <w:szCs w:val="20"/>
      <w:lang w:val="es-MX"/>
    </w:rPr>
  </w:style>
  <w:style w:type="paragraph" w:customStyle="1" w:styleId="Textoindependiente21">
    <w:name w:val="Texto independiente 21"/>
    <w:basedOn w:val="Normal"/>
    <w:rsid w:val="00D53650"/>
    <w:pPr>
      <w:spacing w:before="360"/>
      <w:ind w:left="570"/>
    </w:pPr>
    <w:rPr>
      <w:rFonts w:cs="Times New Roman"/>
      <w:color w:val="0000FF"/>
      <w:szCs w:val="20"/>
      <w:lang w:val="es-MX"/>
    </w:rPr>
  </w:style>
  <w:style w:type="paragraph" w:customStyle="1" w:styleId="nombre">
    <w:name w:val="nombre"/>
    <w:basedOn w:val="Normal"/>
    <w:rsid w:val="00D53650"/>
    <w:pPr>
      <w:keepLines/>
      <w:spacing w:before="240"/>
      <w:ind w:left="1080" w:hanging="1080"/>
      <w:jc w:val="left"/>
    </w:pPr>
    <w:rPr>
      <w:rFonts w:ascii="Helvetica" w:hAnsi="Helvetica" w:cs="Times New Roman"/>
      <w:color w:val="0000FF"/>
      <w:szCs w:val="20"/>
      <w:lang w:val="es-MX"/>
    </w:rPr>
  </w:style>
  <w:style w:type="paragraph" w:styleId="NormalWeb">
    <w:name w:val="Normal (Web)"/>
    <w:basedOn w:val="Normal"/>
    <w:uiPriority w:val="99"/>
    <w:rsid w:val="00D53650"/>
    <w:pPr>
      <w:spacing w:before="100" w:beforeAutospacing="1" w:after="100" w:afterAutospacing="1"/>
      <w:jc w:val="left"/>
    </w:pPr>
    <w:rPr>
      <w:rFonts w:ascii="Times New Roman" w:hAnsi="Times New Roman" w:cs="Times New Roman"/>
      <w:lang w:val="es-ES"/>
    </w:rPr>
  </w:style>
  <w:style w:type="paragraph" w:styleId="Ttulo">
    <w:name w:val="Title"/>
    <w:basedOn w:val="Normal"/>
    <w:link w:val="TtuloCar"/>
    <w:qFormat/>
    <w:rsid w:val="00D53650"/>
    <w:pPr>
      <w:jc w:val="center"/>
    </w:pPr>
    <w:rPr>
      <w:rFonts w:cs="Times New Roman"/>
      <w:b/>
      <w:szCs w:val="20"/>
      <w:lang w:val="es-ES"/>
    </w:rPr>
  </w:style>
  <w:style w:type="character" w:customStyle="1" w:styleId="TtuloCar">
    <w:name w:val="Título Car"/>
    <w:basedOn w:val="Fuentedeprrafopredeter"/>
    <w:link w:val="Ttulo"/>
    <w:rsid w:val="00D53650"/>
    <w:rPr>
      <w:rFonts w:ascii="Arial" w:hAnsi="Arial"/>
      <w:b/>
      <w:sz w:val="24"/>
      <w:lang w:val="es-ES" w:eastAsia="es-ES"/>
    </w:rPr>
  </w:style>
  <w:style w:type="table" w:styleId="Tablaconcuadrcula">
    <w:name w:val="Table Grid"/>
    <w:basedOn w:val="Tablanormal"/>
    <w:uiPriority w:val="39"/>
    <w:rsid w:val="00D5365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final">
    <w:name w:val="endnote reference"/>
    <w:basedOn w:val="Fuentedeprrafopredeter"/>
    <w:semiHidden/>
    <w:rsid w:val="00D53650"/>
    <w:rPr>
      <w:vertAlign w:val="superscript"/>
    </w:rPr>
  </w:style>
  <w:style w:type="paragraph" w:customStyle="1" w:styleId="p1">
    <w:name w:val="p1"/>
    <w:basedOn w:val="p0"/>
    <w:rsid w:val="00D53650"/>
    <w:pPr>
      <w:spacing w:before="360"/>
    </w:pPr>
    <w:rPr>
      <w:rFonts w:ascii="Arial" w:hAnsi="Arial" w:cs="Times New Roman"/>
      <w:szCs w:val="20"/>
    </w:rPr>
  </w:style>
  <w:style w:type="paragraph" w:styleId="ndice3">
    <w:name w:val="index 3"/>
    <w:basedOn w:val="Normal"/>
    <w:next w:val="Normal"/>
    <w:rsid w:val="00D53650"/>
    <w:pPr>
      <w:keepLines/>
      <w:ind w:left="567"/>
    </w:pPr>
    <w:rPr>
      <w:rFonts w:ascii="Univers" w:hAnsi="Univers" w:cs="Times New Roman"/>
      <w:szCs w:val="20"/>
      <w:lang w:val="es-MX"/>
    </w:rPr>
  </w:style>
  <w:style w:type="paragraph" w:customStyle="1" w:styleId="Normal1">
    <w:name w:val="Normal1"/>
    <w:rsid w:val="00D53650"/>
    <w:rPr>
      <w:rFonts w:ascii="CG Times" w:hAnsi="CG Times"/>
      <w:lang w:val="es-ES_tradnl" w:eastAsia="es-ES"/>
    </w:rPr>
  </w:style>
  <w:style w:type="paragraph" w:customStyle="1" w:styleId="consang">
    <w:name w:val="con sang"/>
    <w:basedOn w:val="Normal"/>
    <w:link w:val="consangCar"/>
    <w:qFormat/>
    <w:rsid w:val="00D53650"/>
    <w:pPr>
      <w:spacing w:after="200" w:line="276" w:lineRule="auto"/>
      <w:ind w:firstLine="426"/>
    </w:pPr>
    <w:rPr>
      <w:rFonts w:ascii="Times New Roman" w:eastAsia="Calibri" w:hAnsi="Times New Roman" w:cs="Times New Roman"/>
      <w:szCs w:val="22"/>
      <w:lang w:val="es-MX" w:eastAsia="en-US"/>
    </w:rPr>
  </w:style>
  <w:style w:type="character" w:customStyle="1" w:styleId="consangCar">
    <w:name w:val="con sang Car"/>
    <w:basedOn w:val="Fuentedeprrafopredeter"/>
    <w:link w:val="consang"/>
    <w:rsid w:val="00D53650"/>
    <w:rPr>
      <w:rFonts w:eastAsia="Calibri"/>
      <w:sz w:val="24"/>
      <w:szCs w:val="22"/>
      <w:lang w:eastAsia="en-US"/>
    </w:rPr>
  </w:style>
  <w:style w:type="character" w:styleId="nfasis">
    <w:name w:val="Emphasis"/>
    <w:basedOn w:val="Fuentedeprrafopredeter"/>
    <w:qFormat/>
    <w:rsid w:val="00D53650"/>
    <w:rPr>
      <w:i/>
      <w:iCs/>
    </w:rPr>
  </w:style>
  <w:style w:type="paragraph" w:styleId="Listaconvietas2">
    <w:name w:val="List Bullet 2"/>
    <w:basedOn w:val="Normal"/>
    <w:unhideWhenUsed/>
    <w:rsid w:val="00B53CFF"/>
    <w:pPr>
      <w:numPr>
        <w:numId w:val="20"/>
      </w:numPr>
      <w:contextualSpacing/>
    </w:pPr>
  </w:style>
  <w:style w:type="paragraph" w:styleId="Sangradetextonormal">
    <w:name w:val="Body Text Indent"/>
    <w:basedOn w:val="Normal"/>
    <w:link w:val="SangradetextonormalCar"/>
    <w:unhideWhenUsed/>
    <w:rsid w:val="00B53CFF"/>
    <w:pPr>
      <w:spacing w:after="120"/>
      <w:ind w:left="283"/>
    </w:pPr>
  </w:style>
  <w:style w:type="character" w:customStyle="1" w:styleId="SangradetextonormalCar">
    <w:name w:val="Sangría de texto normal Car"/>
    <w:basedOn w:val="Fuentedeprrafopredeter"/>
    <w:link w:val="Sangradetextonormal"/>
    <w:rsid w:val="00B53CFF"/>
    <w:rPr>
      <w:rFonts w:ascii="Arial" w:hAnsi="Arial" w:cs="Arial"/>
      <w:sz w:val="24"/>
      <w:szCs w:val="24"/>
      <w:lang w:val="es-ES_tradnl" w:eastAsia="es-ES"/>
    </w:rPr>
  </w:style>
  <w:style w:type="paragraph" w:styleId="Textoindependienteprimerasangra2">
    <w:name w:val="Body Text First Indent 2"/>
    <w:basedOn w:val="Sangradetextonormal"/>
    <w:link w:val="Textoindependienteprimerasangra2Car"/>
    <w:unhideWhenUsed/>
    <w:rsid w:val="00B53CFF"/>
    <w:pPr>
      <w:spacing w:after="0"/>
      <w:ind w:left="360" w:firstLine="360"/>
    </w:pPr>
  </w:style>
  <w:style w:type="character" w:customStyle="1" w:styleId="Textoindependienteprimerasangra2Car">
    <w:name w:val="Texto independiente primera sangría 2 Car"/>
    <w:basedOn w:val="SangradetextonormalCar"/>
    <w:link w:val="Textoindependienteprimerasangra2"/>
    <w:rsid w:val="00B53CFF"/>
    <w:rPr>
      <w:rFonts w:ascii="Arial" w:hAnsi="Arial" w:cs="Arial"/>
      <w:sz w:val="24"/>
      <w:szCs w:val="24"/>
      <w:lang w:val="es-ES_tradnl" w:eastAsia="es-ES"/>
    </w:rPr>
  </w:style>
  <w:style w:type="character" w:customStyle="1" w:styleId="Ttulo3Car">
    <w:name w:val="Título 3 Car"/>
    <w:basedOn w:val="Fuentedeprrafopredeter"/>
    <w:link w:val="Ttulo3"/>
    <w:rsid w:val="001774E6"/>
    <w:rPr>
      <w:rFonts w:asciiTheme="majorHAnsi" w:eastAsiaTheme="majorEastAsia" w:hAnsiTheme="majorHAnsi" w:cstheme="majorBidi"/>
      <w:color w:val="243F60" w:themeColor="accent1" w:themeShade="7F"/>
      <w:sz w:val="24"/>
      <w:szCs w:val="24"/>
      <w:lang w:val="es-ES_tradnl" w:eastAsia="es-ES"/>
    </w:rPr>
  </w:style>
  <w:style w:type="character" w:customStyle="1" w:styleId="Ttulo4Car">
    <w:name w:val="Título 4 Car"/>
    <w:basedOn w:val="Fuentedeprrafopredeter"/>
    <w:link w:val="Ttulo4"/>
    <w:rsid w:val="001774E6"/>
    <w:rPr>
      <w:rFonts w:asciiTheme="majorHAnsi" w:eastAsiaTheme="majorEastAsia" w:hAnsiTheme="majorHAnsi" w:cstheme="majorBidi"/>
      <w:i/>
      <w:iCs/>
      <w:color w:val="365F91" w:themeColor="accent1" w:themeShade="BF"/>
      <w:sz w:val="24"/>
      <w:szCs w:val="24"/>
      <w:lang w:val="es-ES_tradnl" w:eastAsia="es-ES"/>
    </w:rPr>
  </w:style>
  <w:style w:type="character" w:customStyle="1" w:styleId="Ttulo5Car">
    <w:name w:val="Título 5 Car"/>
    <w:basedOn w:val="Fuentedeprrafopredeter"/>
    <w:link w:val="Ttulo5"/>
    <w:rsid w:val="001774E6"/>
    <w:rPr>
      <w:rFonts w:asciiTheme="majorHAnsi" w:eastAsiaTheme="majorEastAsia" w:hAnsiTheme="majorHAnsi" w:cstheme="majorBidi"/>
      <w:color w:val="365F91" w:themeColor="accent1" w:themeShade="BF"/>
      <w:sz w:val="24"/>
      <w:szCs w:val="24"/>
      <w:lang w:val="es-ES_tradnl" w:eastAsia="es-ES"/>
    </w:rPr>
  </w:style>
  <w:style w:type="character" w:customStyle="1" w:styleId="Mencinsinresolver1">
    <w:name w:val="Mención sin resolver1"/>
    <w:basedOn w:val="Fuentedeprrafopredeter"/>
    <w:uiPriority w:val="99"/>
    <w:semiHidden/>
    <w:unhideWhenUsed/>
    <w:rsid w:val="00A27EC4"/>
    <w:rPr>
      <w:color w:val="808080"/>
      <w:shd w:val="clear" w:color="auto" w:fill="E6E6E6"/>
    </w:rPr>
  </w:style>
  <w:style w:type="character" w:customStyle="1" w:styleId="SubttuloCar">
    <w:name w:val="Subtítulo Car"/>
    <w:basedOn w:val="Fuentedeprrafopredeter"/>
    <w:link w:val="Subttulo"/>
    <w:rsid w:val="002122B8"/>
    <w:rPr>
      <w:rFonts w:ascii="Arial" w:hAnsi="Arial" w:cs="Arial"/>
      <w:b/>
      <w:bCs/>
      <w:sz w:val="24"/>
      <w:szCs w:val="24"/>
      <w:lang w:val="es-ES_tradnl" w:eastAsia="es-ES"/>
    </w:rPr>
  </w:style>
  <w:style w:type="character" w:customStyle="1" w:styleId="Mencinsinresolver2">
    <w:name w:val="Mención sin resolver2"/>
    <w:basedOn w:val="Fuentedeprrafopredeter"/>
    <w:uiPriority w:val="99"/>
    <w:semiHidden/>
    <w:unhideWhenUsed/>
    <w:rsid w:val="00F66F76"/>
    <w:rPr>
      <w:color w:val="605E5C"/>
      <w:shd w:val="clear" w:color="auto" w:fill="E1DFDD"/>
    </w:rPr>
  </w:style>
  <w:style w:type="character" w:customStyle="1" w:styleId="Mencinsinresolver3">
    <w:name w:val="Mención sin resolver3"/>
    <w:basedOn w:val="Fuentedeprrafopredeter"/>
    <w:uiPriority w:val="99"/>
    <w:semiHidden/>
    <w:unhideWhenUsed/>
    <w:rsid w:val="00433550"/>
    <w:rPr>
      <w:color w:val="605E5C"/>
      <w:shd w:val="clear" w:color="auto" w:fill="E1DFDD"/>
    </w:rPr>
  </w:style>
  <w:style w:type="paragraph" w:styleId="Revisin">
    <w:name w:val="Revision"/>
    <w:hidden/>
    <w:uiPriority w:val="99"/>
    <w:semiHidden/>
    <w:rsid w:val="00394888"/>
    <w:rPr>
      <w:rFonts w:ascii="Arial" w:hAnsi="Arial" w:cs="Arial"/>
      <w:sz w:val="24"/>
      <w:szCs w:val="24"/>
      <w:lang w:val="es-ES_tradnl" w:eastAsia="es-ES"/>
    </w:rPr>
  </w:style>
  <w:style w:type="character" w:styleId="Refdecomentario">
    <w:name w:val="annotation reference"/>
    <w:basedOn w:val="Fuentedeprrafopredeter"/>
    <w:semiHidden/>
    <w:unhideWhenUsed/>
    <w:rsid w:val="00DF50DE"/>
    <w:rPr>
      <w:sz w:val="16"/>
      <w:szCs w:val="16"/>
    </w:rPr>
  </w:style>
  <w:style w:type="paragraph" w:styleId="Asuntodelcomentario">
    <w:name w:val="annotation subject"/>
    <w:basedOn w:val="Textocomentario"/>
    <w:next w:val="Textocomentario"/>
    <w:link w:val="AsuntodelcomentarioCar"/>
    <w:semiHidden/>
    <w:unhideWhenUsed/>
    <w:rsid w:val="00DF50DE"/>
    <w:pPr>
      <w:jc w:val="both"/>
    </w:pPr>
    <w:rPr>
      <w:rFonts w:ascii="Arial" w:hAnsi="Arial" w:cs="Arial"/>
      <w:b/>
      <w:bCs/>
      <w:lang w:val="es-ES_tradnl"/>
    </w:rPr>
  </w:style>
  <w:style w:type="character" w:customStyle="1" w:styleId="AsuntodelcomentarioCar">
    <w:name w:val="Asunto del comentario Car"/>
    <w:basedOn w:val="TextocomentarioCar"/>
    <w:link w:val="Asuntodelcomentario"/>
    <w:semiHidden/>
    <w:rsid w:val="00DF50DE"/>
    <w:rPr>
      <w:rFonts w:ascii="Arial" w:hAnsi="Arial" w:cs="Arial"/>
      <w:b/>
      <w:bCs/>
      <w:lang w:val="es-ES_tradnl" w:eastAsia="es-ES"/>
    </w:rPr>
  </w:style>
  <w:style w:type="character" w:customStyle="1" w:styleId="Mencinsinresolver4">
    <w:name w:val="Mención sin resolver4"/>
    <w:basedOn w:val="Fuentedeprrafopredeter"/>
    <w:uiPriority w:val="99"/>
    <w:semiHidden/>
    <w:unhideWhenUsed/>
    <w:rsid w:val="008E0DF6"/>
    <w:rPr>
      <w:color w:val="605E5C"/>
      <w:shd w:val="clear" w:color="auto" w:fill="E1DFDD"/>
    </w:rPr>
  </w:style>
  <w:style w:type="character" w:customStyle="1" w:styleId="Ttulo1Car">
    <w:name w:val="Título 1 Car"/>
    <w:link w:val="Ttulo1"/>
    <w:uiPriority w:val="1"/>
    <w:rsid w:val="00D6708E"/>
    <w:rPr>
      <w:rFonts w:ascii="Arial" w:eastAsiaTheme="minorEastAsia" w:hAnsi="Arial" w:cs="Arial"/>
      <w:b/>
      <w:bCs/>
      <w:spacing w:val="-1"/>
      <w:sz w:val="32"/>
      <w:szCs w:val="32"/>
      <w14:ligatures w14:val="standardContextual"/>
    </w:rPr>
  </w:style>
  <w:style w:type="table" w:customStyle="1" w:styleId="TableGrid">
    <w:name w:val="TableGrid"/>
    <w:rsid w:val="00F874DD"/>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DE119F"/>
    <w:rPr>
      <w:color w:val="605E5C"/>
      <w:shd w:val="clear" w:color="auto" w:fill="E1DFDD"/>
    </w:rPr>
  </w:style>
  <w:style w:type="character" w:customStyle="1" w:styleId="PiedepginaCar">
    <w:name w:val="Pie de página Car"/>
    <w:basedOn w:val="Fuentedeprrafopredeter"/>
    <w:link w:val="Piedepgina"/>
    <w:uiPriority w:val="99"/>
    <w:rsid w:val="00130F93"/>
    <w:rPr>
      <w:rFonts w:ascii="Arial" w:hAnsi="Arial" w:cs="Arial"/>
      <w:sz w:val="24"/>
      <w:szCs w:val="24"/>
      <w:lang w:val="es-ES_tradnl" w:eastAsia="es-ES"/>
    </w:rPr>
  </w:style>
  <w:style w:type="character" w:customStyle="1" w:styleId="Ttulo2Car">
    <w:name w:val="Título 2 Car"/>
    <w:basedOn w:val="Fuentedeprrafopredeter"/>
    <w:link w:val="Ttulo2"/>
    <w:uiPriority w:val="1"/>
    <w:rsid w:val="00A3561C"/>
    <w:rPr>
      <w:rFonts w:ascii="Arial" w:eastAsiaTheme="minorEastAsia" w:hAnsi="Arial" w:cs="Arial"/>
      <w:b/>
      <w:bCs/>
      <w:i/>
      <w:iCs/>
      <w:sz w:val="24"/>
      <w:szCs w:val="24"/>
      <w14:ligatures w14:val="standardContextual"/>
    </w:rPr>
  </w:style>
  <w:style w:type="character" w:customStyle="1" w:styleId="TextoindependienteCar">
    <w:name w:val="Texto independiente Car"/>
    <w:basedOn w:val="Fuentedeprrafopredeter"/>
    <w:link w:val="Textoindependiente"/>
    <w:rsid w:val="00A764CD"/>
    <w:rPr>
      <w:rFonts w:ascii="Arial" w:hAnsi="Arial" w:cs="Arial"/>
      <w:color w:val="0000FF"/>
      <w:sz w:val="24"/>
      <w:szCs w:val="24"/>
      <w:lang w:val="es-ES_tradnl" w:eastAsia="es-ES"/>
    </w:rPr>
  </w:style>
  <w:style w:type="character" w:customStyle="1" w:styleId="PrrafodelistaCar">
    <w:name w:val="Párrafo de lista Car"/>
    <w:aliases w:val="Concepto Car,Párrafo Car,de Car,lista Car"/>
    <w:link w:val="Prrafodelista"/>
    <w:uiPriority w:val="34"/>
    <w:locked/>
    <w:rsid w:val="00B730F2"/>
    <w:rPr>
      <w:rFonts w:ascii="Arial" w:hAnsi="Arial" w:cs="Arial"/>
      <w:sz w:val="24"/>
      <w:szCs w:val="24"/>
      <w:lang w:val="es-ES_tradnl" w:eastAsia="es-ES"/>
    </w:rPr>
  </w:style>
  <w:style w:type="paragraph" w:customStyle="1" w:styleId="p01">
    <w:name w:val="p01"/>
    <w:basedOn w:val="Normal"/>
    <w:next w:val="p0"/>
    <w:rsid w:val="006C565D"/>
    <w:pPr>
      <w:keepLines/>
      <w:spacing w:before="240"/>
    </w:pPr>
    <w:rPr>
      <w:rFonts w:ascii="Univers" w:hAnsi="Univers" w:cs="Times New Roman"/>
      <w:color w:val="0000FF"/>
      <w:szCs w:val="20"/>
    </w:rPr>
  </w:style>
  <w:style w:type="character" w:customStyle="1" w:styleId="TextodegloboCar">
    <w:name w:val="Texto de globo Car"/>
    <w:basedOn w:val="Fuentedeprrafopredeter"/>
    <w:link w:val="Textodeglobo"/>
    <w:uiPriority w:val="99"/>
    <w:semiHidden/>
    <w:rsid w:val="00B50A1F"/>
    <w:rPr>
      <w:rFonts w:ascii="Tahoma" w:hAnsi="Tahoma" w:cs="Tahoma"/>
      <w:sz w:val="16"/>
      <w:szCs w:val="16"/>
      <w:lang w:val="es-ES_tradnl" w:eastAsia="es-ES"/>
    </w:rPr>
  </w:style>
  <w:style w:type="paragraph" w:customStyle="1" w:styleId="parrafo1">
    <w:name w:val="parrafo1"/>
    <w:basedOn w:val="p0"/>
    <w:rsid w:val="00996F51"/>
    <w:pPr>
      <w:keepLines w:val="0"/>
      <w:widowControl/>
      <w:spacing w:before="480"/>
      <w:ind w:left="426" w:right="443"/>
    </w:pPr>
    <w:rPr>
      <w:rFonts w:ascii="Arial" w:hAnsi="Arial" w:cs="Times New Roman"/>
      <w:snapToGrid/>
      <w:color w:val="auto"/>
      <w:szCs w:val="20"/>
      <w:lang w:val="es-MX"/>
    </w:rPr>
  </w:style>
  <w:style w:type="paragraph" w:customStyle="1" w:styleId="p02">
    <w:name w:val="p02"/>
    <w:basedOn w:val="Normal"/>
    <w:next w:val="p0"/>
    <w:rsid w:val="002D6E7A"/>
    <w:pPr>
      <w:keepLines/>
      <w:spacing w:before="240"/>
      <w:ind w:right="11"/>
    </w:pPr>
    <w:rPr>
      <w:rFonts w:ascii="Univers" w:hAnsi="Univers" w:cs="Times New Roman"/>
      <w:color w:val="0000FF"/>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7075">
      <w:bodyDiv w:val="1"/>
      <w:marLeft w:val="0"/>
      <w:marRight w:val="0"/>
      <w:marTop w:val="0"/>
      <w:marBottom w:val="0"/>
      <w:divBdr>
        <w:top w:val="none" w:sz="0" w:space="0" w:color="auto"/>
        <w:left w:val="none" w:sz="0" w:space="0" w:color="auto"/>
        <w:bottom w:val="none" w:sz="0" w:space="0" w:color="auto"/>
        <w:right w:val="none" w:sz="0" w:space="0" w:color="auto"/>
      </w:divBdr>
    </w:div>
    <w:div w:id="28840025">
      <w:bodyDiv w:val="1"/>
      <w:marLeft w:val="0"/>
      <w:marRight w:val="0"/>
      <w:marTop w:val="0"/>
      <w:marBottom w:val="0"/>
      <w:divBdr>
        <w:top w:val="none" w:sz="0" w:space="0" w:color="auto"/>
        <w:left w:val="none" w:sz="0" w:space="0" w:color="auto"/>
        <w:bottom w:val="none" w:sz="0" w:space="0" w:color="auto"/>
        <w:right w:val="none" w:sz="0" w:space="0" w:color="auto"/>
      </w:divBdr>
    </w:div>
    <w:div w:id="36706900">
      <w:bodyDiv w:val="1"/>
      <w:marLeft w:val="0"/>
      <w:marRight w:val="0"/>
      <w:marTop w:val="0"/>
      <w:marBottom w:val="0"/>
      <w:divBdr>
        <w:top w:val="none" w:sz="0" w:space="0" w:color="auto"/>
        <w:left w:val="none" w:sz="0" w:space="0" w:color="auto"/>
        <w:bottom w:val="none" w:sz="0" w:space="0" w:color="auto"/>
        <w:right w:val="none" w:sz="0" w:space="0" w:color="auto"/>
      </w:divBdr>
    </w:div>
    <w:div w:id="38095704">
      <w:bodyDiv w:val="1"/>
      <w:marLeft w:val="0"/>
      <w:marRight w:val="0"/>
      <w:marTop w:val="0"/>
      <w:marBottom w:val="0"/>
      <w:divBdr>
        <w:top w:val="none" w:sz="0" w:space="0" w:color="auto"/>
        <w:left w:val="none" w:sz="0" w:space="0" w:color="auto"/>
        <w:bottom w:val="none" w:sz="0" w:space="0" w:color="auto"/>
        <w:right w:val="none" w:sz="0" w:space="0" w:color="auto"/>
      </w:divBdr>
    </w:div>
    <w:div w:id="39137943">
      <w:bodyDiv w:val="1"/>
      <w:marLeft w:val="0"/>
      <w:marRight w:val="0"/>
      <w:marTop w:val="0"/>
      <w:marBottom w:val="0"/>
      <w:divBdr>
        <w:top w:val="none" w:sz="0" w:space="0" w:color="auto"/>
        <w:left w:val="none" w:sz="0" w:space="0" w:color="auto"/>
        <w:bottom w:val="none" w:sz="0" w:space="0" w:color="auto"/>
        <w:right w:val="none" w:sz="0" w:space="0" w:color="auto"/>
      </w:divBdr>
    </w:div>
    <w:div w:id="76096549">
      <w:bodyDiv w:val="1"/>
      <w:marLeft w:val="0"/>
      <w:marRight w:val="0"/>
      <w:marTop w:val="0"/>
      <w:marBottom w:val="0"/>
      <w:divBdr>
        <w:top w:val="none" w:sz="0" w:space="0" w:color="auto"/>
        <w:left w:val="none" w:sz="0" w:space="0" w:color="auto"/>
        <w:bottom w:val="none" w:sz="0" w:space="0" w:color="auto"/>
        <w:right w:val="none" w:sz="0" w:space="0" w:color="auto"/>
      </w:divBdr>
    </w:div>
    <w:div w:id="95098703">
      <w:bodyDiv w:val="1"/>
      <w:marLeft w:val="0"/>
      <w:marRight w:val="0"/>
      <w:marTop w:val="0"/>
      <w:marBottom w:val="0"/>
      <w:divBdr>
        <w:top w:val="none" w:sz="0" w:space="0" w:color="auto"/>
        <w:left w:val="none" w:sz="0" w:space="0" w:color="auto"/>
        <w:bottom w:val="none" w:sz="0" w:space="0" w:color="auto"/>
        <w:right w:val="none" w:sz="0" w:space="0" w:color="auto"/>
      </w:divBdr>
    </w:div>
    <w:div w:id="139736063">
      <w:bodyDiv w:val="1"/>
      <w:marLeft w:val="0"/>
      <w:marRight w:val="0"/>
      <w:marTop w:val="0"/>
      <w:marBottom w:val="0"/>
      <w:divBdr>
        <w:top w:val="none" w:sz="0" w:space="0" w:color="auto"/>
        <w:left w:val="none" w:sz="0" w:space="0" w:color="auto"/>
        <w:bottom w:val="none" w:sz="0" w:space="0" w:color="auto"/>
        <w:right w:val="none" w:sz="0" w:space="0" w:color="auto"/>
      </w:divBdr>
    </w:div>
    <w:div w:id="166218550">
      <w:bodyDiv w:val="1"/>
      <w:marLeft w:val="0"/>
      <w:marRight w:val="0"/>
      <w:marTop w:val="0"/>
      <w:marBottom w:val="0"/>
      <w:divBdr>
        <w:top w:val="none" w:sz="0" w:space="0" w:color="auto"/>
        <w:left w:val="none" w:sz="0" w:space="0" w:color="auto"/>
        <w:bottom w:val="none" w:sz="0" w:space="0" w:color="auto"/>
        <w:right w:val="none" w:sz="0" w:space="0" w:color="auto"/>
      </w:divBdr>
    </w:div>
    <w:div w:id="170413798">
      <w:bodyDiv w:val="1"/>
      <w:marLeft w:val="0"/>
      <w:marRight w:val="0"/>
      <w:marTop w:val="0"/>
      <w:marBottom w:val="0"/>
      <w:divBdr>
        <w:top w:val="none" w:sz="0" w:space="0" w:color="auto"/>
        <w:left w:val="none" w:sz="0" w:space="0" w:color="auto"/>
        <w:bottom w:val="none" w:sz="0" w:space="0" w:color="auto"/>
        <w:right w:val="none" w:sz="0" w:space="0" w:color="auto"/>
      </w:divBdr>
    </w:div>
    <w:div w:id="202714461">
      <w:bodyDiv w:val="1"/>
      <w:marLeft w:val="0"/>
      <w:marRight w:val="0"/>
      <w:marTop w:val="0"/>
      <w:marBottom w:val="0"/>
      <w:divBdr>
        <w:top w:val="none" w:sz="0" w:space="0" w:color="auto"/>
        <w:left w:val="none" w:sz="0" w:space="0" w:color="auto"/>
        <w:bottom w:val="none" w:sz="0" w:space="0" w:color="auto"/>
        <w:right w:val="none" w:sz="0" w:space="0" w:color="auto"/>
      </w:divBdr>
    </w:div>
    <w:div w:id="202863728">
      <w:bodyDiv w:val="1"/>
      <w:marLeft w:val="0"/>
      <w:marRight w:val="0"/>
      <w:marTop w:val="0"/>
      <w:marBottom w:val="0"/>
      <w:divBdr>
        <w:top w:val="none" w:sz="0" w:space="0" w:color="auto"/>
        <w:left w:val="none" w:sz="0" w:space="0" w:color="auto"/>
        <w:bottom w:val="none" w:sz="0" w:space="0" w:color="auto"/>
        <w:right w:val="none" w:sz="0" w:space="0" w:color="auto"/>
      </w:divBdr>
    </w:div>
    <w:div w:id="209877667">
      <w:bodyDiv w:val="1"/>
      <w:marLeft w:val="0"/>
      <w:marRight w:val="0"/>
      <w:marTop w:val="0"/>
      <w:marBottom w:val="0"/>
      <w:divBdr>
        <w:top w:val="none" w:sz="0" w:space="0" w:color="auto"/>
        <w:left w:val="none" w:sz="0" w:space="0" w:color="auto"/>
        <w:bottom w:val="none" w:sz="0" w:space="0" w:color="auto"/>
        <w:right w:val="none" w:sz="0" w:space="0" w:color="auto"/>
      </w:divBdr>
    </w:div>
    <w:div w:id="249000967">
      <w:bodyDiv w:val="1"/>
      <w:marLeft w:val="0"/>
      <w:marRight w:val="0"/>
      <w:marTop w:val="0"/>
      <w:marBottom w:val="0"/>
      <w:divBdr>
        <w:top w:val="none" w:sz="0" w:space="0" w:color="auto"/>
        <w:left w:val="none" w:sz="0" w:space="0" w:color="auto"/>
        <w:bottom w:val="none" w:sz="0" w:space="0" w:color="auto"/>
        <w:right w:val="none" w:sz="0" w:space="0" w:color="auto"/>
      </w:divBdr>
    </w:div>
    <w:div w:id="301232825">
      <w:bodyDiv w:val="1"/>
      <w:marLeft w:val="0"/>
      <w:marRight w:val="0"/>
      <w:marTop w:val="0"/>
      <w:marBottom w:val="0"/>
      <w:divBdr>
        <w:top w:val="none" w:sz="0" w:space="0" w:color="auto"/>
        <w:left w:val="none" w:sz="0" w:space="0" w:color="auto"/>
        <w:bottom w:val="none" w:sz="0" w:space="0" w:color="auto"/>
        <w:right w:val="none" w:sz="0" w:space="0" w:color="auto"/>
      </w:divBdr>
    </w:div>
    <w:div w:id="311757619">
      <w:bodyDiv w:val="1"/>
      <w:marLeft w:val="0"/>
      <w:marRight w:val="0"/>
      <w:marTop w:val="0"/>
      <w:marBottom w:val="0"/>
      <w:divBdr>
        <w:top w:val="none" w:sz="0" w:space="0" w:color="auto"/>
        <w:left w:val="none" w:sz="0" w:space="0" w:color="auto"/>
        <w:bottom w:val="none" w:sz="0" w:space="0" w:color="auto"/>
        <w:right w:val="none" w:sz="0" w:space="0" w:color="auto"/>
      </w:divBdr>
    </w:div>
    <w:div w:id="327565005">
      <w:bodyDiv w:val="1"/>
      <w:marLeft w:val="0"/>
      <w:marRight w:val="0"/>
      <w:marTop w:val="0"/>
      <w:marBottom w:val="0"/>
      <w:divBdr>
        <w:top w:val="none" w:sz="0" w:space="0" w:color="auto"/>
        <w:left w:val="none" w:sz="0" w:space="0" w:color="auto"/>
        <w:bottom w:val="none" w:sz="0" w:space="0" w:color="auto"/>
        <w:right w:val="none" w:sz="0" w:space="0" w:color="auto"/>
      </w:divBdr>
    </w:div>
    <w:div w:id="375010850">
      <w:bodyDiv w:val="1"/>
      <w:marLeft w:val="0"/>
      <w:marRight w:val="0"/>
      <w:marTop w:val="0"/>
      <w:marBottom w:val="0"/>
      <w:divBdr>
        <w:top w:val="none" w:sz="0" w:space="0" w:color="auto"/>
        <w:left w:val="none" w:sz="0" w:space="0" w:color="auto"/>
        <w:bottom w:val="none" w:sz="0" w:space="0" w:color="auto"/>
        <w:right w:val="none" w:sz="0" w:space="0" w:color="auto"/>
      </w:divBdr>
    </w:div>
    <w:div w:id="379598829">
      <w:bodyDiv w:val="1"/>
      <w:marLeft w:val="0"/>
      <w:marRight w:val="0"/>
      <w:marTop w:val="0"/>
      <w:marBottom w:val="0"/>
      <w:divBdr>
        <w:top w:val="none" w:sz="0" w:space="0" w:color="auto"/>
        <w:left w:val="none" w:sz="0" w:space="0" w:color="auto"/>
        <w:bottom w:val="none" w:sz="0" w:space="0" w:color="auto"/>
        <w:right w:val="none" w:sz="0" w:space="0" w:color="auto"/>
      </w:divBdr>
    </w:div>
    <w:div w:id="396823389">
      <w:bodyDiv w:val="1"/>
      <w:marLeft w:val="0"/>
      <w:marRight w:val="0"/>
      <w:marTop w:val="0"/>
      <w:marBottom w:val="0"/>
      <w:divBdr>
        <w:top w:val="none" w:sz="0" w:space="0" w:color="auto"/>
        <w:left w:val="none" w:sz="0" w:space="0" w:color="auto"/>
        <w:bottom w:val="none" w:sz="0" w:space="0" w:color="auto"/>
        <w:right w:val="none" w:sz="0" w:space="0" w:color="auto"/>
      </w:divBdr>
    </w:div>
    <w:div w:id="402872381">
      <w:bodyDiv w:val="1"/>
      <w:marLeft w:val="0"/>
      <w:marRight w:val="0"/>
      <w:marTop w:val="0"/>
      <w:marBottom w:val="0"/>
      <w:divBdr>
        <w:top w:val="none" w:sz="0" w:space="0" w:color="auto"/>
        <w:left w:val="none" w:sz="0" w:space="0" w:color="auto"/>
        <w:bottom w:val="none" w:sz="0" w:space="0" w:color="auto"/>
        <w:right w:val="none" w:sz="0" w:space="0" w:color="auto"/>
      </w:divBdr>
    </w:div>
    <w:div w:id="403726975">
      <w:bodyDiv w:val="1"/>
      <w:marLeft w:val="0"/>
      <w:marRight w:val="0"/>
      <w:marTop w:val="0"/>
      <w:marBottom w:val="0"/>
      <w:divBdr>
        <w:top w:val="none" w:sz="0" w:space="0" w:color="auto"/>
        <w:left w:val="none" w:sz="0" w:space="0" w:color="auto"/>
        <w:bottom w:val="none" w:sz="0" w:space="0" w:color="auto"/>
        <w:right w:val="none" w:sz="0" w:space="0" w:color="auto"/>
      </w:divBdr>
    </w:div>
    <w:div w:id="405032062">
      <w:bodyDiv w:val="1"/>
      <w:marLeft w:val="0"/>
      <w:marRight w:val="0"/>
      <w:marTop w:val="0"/>
      <w:marBottom w:val="0"/>
      <w:divBdr>
        <w:top w:val="none" w:sz="0" w:space="0" w:color="auto"/>
        <w:left w:val="none" w:sz="0" w:space="0" w:color="auto"/>
        <w:bottom w:val="none" w:sz="0" w:space="0" w:color="auto"/>
        <w:right w:val="none" w:sz="0" w:space="0" w:color="auto"/>
      </w:divBdr>
    </w:div>
    <w:div w:id="418256119">
      <w:bodyDiv w:val="1"/>
      <w:marLeft w:val="0"/>
      <w:marRight w:val="0"/>
      <w:marTop w:val="0"/>
      <w:marBottom w:val="0"/>
      <w:divBdr>
        <w:top w:val="none" w:sz="0" w:space="0" w:color="auto"/>
        <w:left w:val="none" w:sz="0" w:space="0" w:color="auto"/>
        <w:bottom w:val="none" w:sz="0" w:space="0" w:color="auto"/>
        <w:right w:val="none" w:sz="0" w:space="0" w:color="auto"/>
      </w:divBdr>
    </w:div>
    <w:div w:id="418647550">
      <w:bodyDiv w:val="1"/>
      <w:marLeft w:val="0"/>
      <w:marRight w:val="0"/>
      <w:marTop w:val="0"/>
      <w:marBottom w:val="0"/>
      <w:divBdr>
        <w:top w:val="none" w:sz="0" w:space="0" w:color="auto"/>
        <w:left w:val="none" w:sz="0" w:space="0" w:color="auto"/>
        <w:bottom w:val="none" w:sz="0" w:space="0" w:color="auto"/>
        <w:right w:val="none" w:sz="0" w:space="0" w:color="auto"/>
      </w:divBdr>
    </w:div>
    <w:div w:id="443228411">
      <w:bodyDiv w:val="1"/>
      <w:marLeft w:val="0"/>
      <w:marRight w:val="0"/>
      <w:marTop w:val="0"/>
      <w:marBottom w:val="0"/>
      <w:divBdr>
        <w:top w:val="none" w:sz="0" w:space="0" w:color="auto"/>
        <w:left w:val="none" w:sz="0" w:space="0" w:color="auto"/>
        <w:bottom w:val="none" w:sz="0" w:space="0" w:color="auto"/>
        <w:right w:val="none" w:sz="0" w:space="0" w:color="auto"/>
      </w:divBdr>
    </w:div>
    <w:div w:id="460995563">
      <w:bodyDiv w:val="1"/>
      <w:marLeft w:val="0"/>
      <w:marRight w:val="0"/>
      <w:marTop w:val="0"/>
      <w:marBottom w:val="0"/>
      <w:divBdr>
        <w:top w:val="none" w:sz="0" w:space="0" w:color="auto"/>
        <w:left w:val="none" w:sz="0" w:space="0" w:color="auto"/>
        <w:bottom w:val="none" w:sz="0" w:space="0" w:color="auto"/>
        <w:right w:val="none" w:sz="0" w:space="0" w:color="auto"/>
      </w:divBdr>
    </w:div>
    <w:div w:id="527573641">
      <w:bodyDiv w:val="1"/>
      <w:marLeft w:val="0"/>
      <w:marRight w:val="0"/>
      <w:marTop w:val="0"/>
      <w:marBottom w:val="0"/>
      <w:divBdr>
        <w:top w:val="none" w:sz="0" w:space="0" w:color="auto"/>
        <w:left w:val="none" w:sz="0" w:space="0" w:color="auto"/>
        <w:bottom w:val="none" w:sz="0" w:space="0" w:color="auto"/>
        <w:right w:val="none" w:sz="0" w:space="0" w:color="auto"/>
      </w:divBdr>
    </w:div>
    <w:div w:id="532965753">
      <w:bodyDiv w:val="1"/>
      <w:marLeft w:val="0"/>
      <w:marRight w:val="0"/>
      <w:marTop w:val="0"/>
      <w:marBottom w:val="0"/>
      <w:divBdr>
        <w:top w:val="none" w:sz="0" w:space="0" w:color="auto"/>
        <w:left w:val="none" w:sz="0" w:space="0" w:color="auto"/>
        <w:bottom w:val="none" w:sz="0" w:space="0" w:color="auto"/>
        <w:right w:val="none" w:sz="0" w:space="0" w:color="auto"/>
      </w:divBdr>
    </w:div>
    <w:div w:id="588545278">
      <w:bodyDiv w:val="1"/>
      <w:marLeft w:val="0"/>
      <w:marRight w:val="0"/>
      <w:marTop w:val="0"/>
      <w:marBottom w:val="0"/>
      <w:divBdr>
        <w:top w:val="none" w:sz="0" w:space="0" w:color="auto"/>
        <w:left w:val="none" w:sz="0" w:space="0" w:color="auto"/>
        <w:bottom w:val="none" w:sz="0" w:space="0" w:color="auto"/>
        <w:right w:val="none" w:sz="0" w:space="0" w:color="auto"/>
      </w:divBdr>
    </w:div>
    <w:div w:id="593132956">
      <w:bodyDiv w:val="1"/>
      <w:marLeft w:val="0"/>
      <w:marRight w:val="0"/>
      <w:marTop w:val="0"/>
      <w:marBottom w:val="0"/>
      <w:divBdr>
        <w:top w:val="none" w:sz="0" w:space="0" w:color="auto"/>
        <w:left w:val="none" w:sz="0" w:space="0" w:color="auto"/>
        <w:bottom w:val="none" w:sz="0" w:space="0" w:color="auto"/>
        <w:right w:val="none" w:sz="0" w:space="0" w:color="auto"/>
      </w:divBdr>
    </w:div>
    <w:div w:id="603460500">
      <w:bodyDiv w:val="1"/>
      <w:marLeft w:val="0"/>
      <w:marRight w:val="0"/>
      <w:marTop w:val="0"/>
      <w:marBottom w:val="0"/>
      <w:divBdr>
        <w:top w:val="none" w:sz="0" w:space="0" w:color="auto"/>
        <w:left w:val="none" w:sz="0" w:space="0" w:color="auto"/>
        <w:bottom w:val="none" w:sz="0" w:space="0" w:color="auto"/>
        <w:right w:val="none" w:sz="0" w:space="0" w:color="auto"/>
      </w:divBdr>
    </w:div>
    <w:div w:id="605503920">
      <w:bodyDiv w:val="1"/>
      <w:marLeft w:val="0"/>
      <w:marRight w:val="0"/>
      <w:marTop w:val="0"/>
      <w:marBottom w:val="0"/>
      <w:divBdr>
        <w:top w:val="none" w:sz="0" w:space="0" w:color="auto"/>
        <w:left w:val="none" w:sz="0" w:space="0" w:color="auto"/>
        <w:bottom w:val="none" w:sz="0" w:space="0" w:color="auto"/>
        <w:right w:val="none" w:sz="0" w:space="0" w:color="auto"/>
      </w:divBdr>
    </w:div>
    <w:div w:id="611015181">
      <w:bodyDiv w:val="1"/>
      <w:marLeft w:val="0"/>
      <w:marRight w:val="0"/>
      <w:marTop w:val="0"/>
      <w:marBottom w:val="0"/>
      <w:divBdr>
        <w:top w:val="none" w:sz="0" w:space="0" w:color="auto"/>
        <w:left w:val="none" w:sz="0" w:space="0" w:color="auto"/>
        <w:bottom w:val="none" w:sz="0" w:space="0" w:color="auto"/>
        <w:right w:val="none" w:sz="0" w:space="0" w:color="auto"/>
      </w:divBdr>
    </w:div>
    <w:div w:id="611279711">
      <w:bodyDiv w:val="1"/>
      <w:marLeft w:val="0"/>
      <w:marRight w:val="0"/>
      <w:marTop w:val="0"/>
      <w:marBottom w:val="0"/>
      <w:divBdr>
        <w:top w:val="none" w:sz="0" w:space="0" w:color="auto"/>
        <w:left w:val="none" w:sz="0" w:space="0" w:color="auto"/>
        <w:bottom w:val="none" w:sz="0" w:space="0" w:color="auto"/>
        <w:right w:val="none" w:sz="0" w:space="0" w:color="auto"/>
      </w:divBdr>
    </w:div>
    <w:div w:id="627395012">
      <w:bodyDiv w:val="1"/>
      <w:marLeft w:val="0"/>
      <w:marRight w:val="0"/>
      <w:marTop w:val="0"/>
      <w:marBottom w:val="0"/>
      <w:divBdr>
        <w:top w:val="none" w:sz="0" w:space="0" w:color="auto"/>
        <w:left w:val="none" w:sz="0" w:space="0" w:color="auto"/>
        <w:bottom w:val="none" w:sz="0" w:space="0" w:color="auto"/>
        <w:right w:val="none" w:sz="0" w:space="0" w:color="auto"/>
      </w:divBdr>
    </w:div>
    <w:div w:id="634944687">
      <w:bodyDiv w:val="1"/>
      <w:marLeft w:val="0"/>
      <w:marRight w:val="0"/>
      <w:marTop w:val="0"/>
      <w:marBottom w:val="0"/>
      <w:divBdr>
        <w:top w:val="none" w:sz="0" w:space="0" w:color="auto"/>
        <w:left w:val="none" w:sz="0" w:space="0" w:color="auto"/>
        <w:bottom w:val="none" w:sz="0" w:space="0" w:color="auto"/>
        <w:right w:val="none" w:sz="0" w:space="0" w:color="auto"/>
      </w:divBdr>
    </w:div>
    <w:div w:id="647630164">
      <w:bodyDiv w:val="1"/>
      <w:marLeft w:val="0"/>
      <w:marRight w:val="0"/>
      <w:marTop w:val="0"/>
      <w:marBottom w:val="0"/>
      <w:divBdr>
        <w:top w:val="none" w:sz="0" w:space="0" w:color="auto"/>
        <w:left w:val="none" w:sz="0" w:space="0" w:color="auto"/>
        <w:bottom w:val="none" w:sz="0" w:space="0" w:color="auto"/>
        <w:right w:val="none" w:sz="0" w:space="0" w:color="auto"/>
      </w:divBdr>
    </w:div>
    <w:div w:id="699282723">
      <w:bodyDiv w:val="1"/>
      <w:marLeft w:val="0"/>
      <w:marRight w:val="0"/>
      <w:marTop w:val="0"/>
      <w:marBottom w:val="0"/>
      <w:divBdr>
        <w:top w:val="none" w:sz="0" w:space="0" w:color="auto"/>
        <w:left w:val="none" w:sz="0" w:space="0" w:color="auto"/>
        <w:bottom w:val="none" w:sz="0" w:space="0" w:color="auto"/>
        <w:right w:val="none" w:sz="0" w:space="0" w:color="auto"/>
      </w:divBdr>
    </w:div>
    <w:div w:id="699428926">
      <w:bodyDiv w:val="1"/>
      <w:marLeft w:val="0"/>
      <w:marRight w:val="0"/>
      <w:marTop w:val="0"/>
      <w:marBottom w:val="0"/>
      <w:divBdr>
        <w:top w:val="none" w:sz="0" w:space="0" w:color="auto"/>
        <w:left w:val="none" w:sz="0" w:space="0" w:color="auto"/>
        <w:bottom w:val="none" w:sz="0" w:space="0" w:color="auto"/>
        <w:right w:val="none" w:sz="0" w:space="0" w:color="auto"/>
      </w:divBdr>
    </w:div>
    <w:div w:id="702633014">
      <w:bodyDiv w:val="1"/>
      <w:marLeft w:val="0"/>
      <w:marRight w:val="0"/>
      <w:marTop w:val="0"/>
      <w:marBottom w:val="0"/>
      <w:divBdr>
        <w:top w:val="none" w:sz="0" w:space="0" w:color="auto"/>
        <w:left w:val="none" w:sz="0" w:space="0" w:color="auto"/>
        <w:bottom w:val="none" w:sz="0" w:space="0" w:color="auto"/>
        <w:right w:val="none" w:sz="0" w:space="0" w:color="auto"/>
      </w:divBdr>
    </w:div>
    <w:div w:id="732049384">
      <w:bodyDiv w:val="1"/>
      <w:marLeft w:val="0"/>
      <w:marRight w:val="0"/>
      <w:marTop w:val="0"/>
      <w:marBottom w:val="0"/>
      <w:divBdr>
        <w:top w:val="none" w:sz="0" w:space="0" w:color="auto"/>
        <w:left w:val="none" w:sz="0" w:space="0" w:color="auto"/>
        <w:bottom w:val="none" w:sz="0" w:space="0" w:color="auto"/>
        <w:right w:val="none" w:sz="0" w:space="0" w:color="auto"/>
      </w:divBdr>
    </w:div>
    <w:div w:id="736828431">
      <w:bodyDiv w:val="1"/>
      <w:marLeft w:val="0"/>
      <w:marRight w:val="0"/>
      <w:marTop w:val="0"/>
      <w:marBottom w:val="0"/>
      <w:divBdr>
        <w:top w:val="none" w:sz="0" w:space="0" w:color="auto"/>
        <w:left w:val="none" w:sz="0" w:space="0" w:color="auto"/>
        <w:bottom w:val="none" w:sz="0" w:space="0" w:color="auto"/>
        <w:right w:val="none" w:sz="0" w:space="0" w:color="auto"/>
      </w:divBdr>
    </w:div>
    <w:div w:id="755976133">
      <w:bodyDiv w:val="1"/>
      <w:marLeft w:val="0"/>
      <w:marRight w:val="0"/>
      <w:marTop w:val="0"/>
      <w:marBottom w:val="0"/>
      <w:divBdr>
        <w:top w:val="none" w:sz="0" w:space="0" w:color="auto"/>
        <w:left w:val="none" w:sz="0" w:space="0" w:color="auto"/>
        <w:bottom w:val="none" w:sz="0" w:space="0" w:color="auto"/>
        <w:right w:val="none" w:sz="0" w:space="0" w:color="auto"/>
      </w:divBdr>
    </w:div>
    <w:div w:id="758479753">
      <w:bodyDiv w:val="1"/>
      <w:marLeft w:val="0"/>
      <w:marRight w:val="0"/>
      <w:marTop w:val="0"/>
      <w:marBottom w:val="0"/>
      <w:divBdr>
        <w:top w:val="none" w:sz="0" w:space="0" w:color="auto"/>
        <w:left w:val="none" w:sz="0" w:space="0" w:color="auto"/>
        <w:bottom w:val="none" w:sz="0" w:space="0" w:color="auto"/>
        <w:right w:val="none" w:sz="0" w:space="0" w:color="auto"/>
      </w:divBdr>
    </w:div>
    <w:div w:id="763458210">
      <w:bodyDiv w:val="1"/>
      <w:marLeft w:val="0"/>
      <w:marRight w:val="0"/>
      <w:marTop w:val="0"/>
      <w:marBottom w:val="0"/>
      <w:divBdr>
        <w:top w:val="none" w:sz="0" w:space="0" w:color="auto"/>
        <w:left w:val="none" w:sz="0" w:space="0" w:color="auto"/>
        <w:bottom w:val="none" w:sz="0" w:space="0" w:color="auto"/>
        <w:right w:val="none" w:sz="0" w:space="0" w:color="auto"/>
      </w:divBdr>
    </w:div>
    <w:div w:id="802573980">
      <w:bodyDiv w:val="1"/>
      <w:marLeft w:val="0"/>
      <w:marRight w:val="0"/>
      <w:marTop w:val="0"/>
      <w:marBottom w:val="0"/>
      <w:divBdr>
        <w:top w:val="none" w:sz="0" w:space="0" w:color="auto"/>
        <w:left w:val="none" w:sz="0" w:space="0" w:color="auto"/>
        <w:bottom w:val="none" w:sz="0" w:space="0" w:color="auto"/>
        <w:right w:val="none" w:sz="0" w:space="0" w:color="auto"/>
      </w:divBdr>
    </w:div>
    <w:div w:id="804927700">
      <w:bodyDiv w:val="1"/>
      <w:marLeft w:val="0"/>
      <w:marRight w:val="0"/>
      <w:marTop w:val="0"/>
      <w:marBottom w:val="0"/>
      <w:divBdr>
        <w:top w:val="none" w:sz="0" w:space="0" w:color="auto"/>
        <w:left w:val="none" w:sz="0" w:space="0" w:color="auto"/>
        <w:bottom w:val="none" w:sz="0" w:space="0" w:color="auto"/>
        <w:right w:val="none" w:sz="0" w:space="0" w:color="auto"/>
      </w:divBdr>
    </w:div>
    <w:div w:id="806701557">
      <w:bodyDiv w:val="1"/>
      <w:marLeft w:val="0"/>
      <w:marRight w:val="0"/>
      <w:marTop w:val="0"/>
      <w:marBottom w:val="0"/>
      <w:divBdr>
        <w:top w:val="none" w:sz="0" w:space="0" w:color="auto"/>
        <w:left w:val="none" w:sz="0" w:space="0" w:color="auto"/>
        <w:bottom w:val="none" w:sz="0" w:space="0" w:color="auto"/>
        <w:right w:val="none" w:sz="0" w:space="0" w:color="auto"/>
      </w:divBdr>
    </w:div>
    <w:div w:id="827094395">
      <w:bodyDiv w:val="1"/>
      <w:marLeft w:val="0"/>
      <w:marRight w:val="0"/>
      <w:marTop w:val="0"/>
      <w:marBottom w:val="0"/>
      <w:divBdr>
        <w:top w:val="none" w:sz="0" w:space="0" w:color="auto"/>
        <w:left w:val="none" w:sz="0" w:space="0" w:color="auto"/>
        <w:bottom w:val="none" w:sz="0" w:space="0" w:color="auto"/>
        <w:right w:val="none" w:sz="0" w:space="0" w:color="auto"/>
      </w:divBdr>
    </w:div>
    <w:div w:id="831683080">
      <w:bodyDiv w:val="1"/>
      <w:marLeft w:val="0"/>
      <w:marRight w:val="0"/>
      <w:marTop w:val="0"/>
      <w:marBottom w:val="0"/>
      <w:divBdr>
        <w:top w:val="none" w:sz="0" w:space="0" w:color="auto"/>
        <w:left w:val="none" w:sz="0" w:space="0" w:color="auto"/>
        <w:bottom w:val="none" w:sz="0" w:space="0" w:color="auto"/>
        <w:right w:val="none" w:sz="0" w:space="0" w:color="auto"/>
      </w:divBdr>
    </w:div>
    <w:div w:id="841050573">
      <w:bodyDiv w:val="1"/>
      <w:marLeft w:val="0"/>
      <w:marRight w:val="0"/>
      <w:marTop w:val="0"/>
      <w:marBottom w:val="0"/>
      <w:divBdr>
        <w:top w:val="none" w:sz="0" w:space="0" w:color="auto"/>
        <w:left w:val="none" w:sz="0" w:space="0" w:color="auto"/>
        <w:bottom w:val="none" w:sz="0" w:space="0" w:color="auto"/>
        <w:right w:val="none" w:sz="0" w:space="0" w:color="auto"/>
      </w:divBdr>
    </w:div>
    <w:div w:id="845242837">
      <w:bodyDiv w:val="1"/>
      <w:marLeft w:val="0"/>
      <w:marRight w:val="0"/>
      <w:marTop w:val="0"/>
      <w:marBottom w:val="0"/>
      <w:divBdr>
        <w:top w:val="none" w:sz="0" w:space="0" w:color="auto"/>
        <w:left w:val="none" w:sz="0" w:space="0" w:color="auto"/>
        <w:bottom w:val="none" w:sz="0" w:space="0" w:color="auto"/>
        <w:right w:val="none" w:sz="0" w:space="0" w:color="auto"/>
      </w:divBdr>
    </w:div>
    <w:div w:id="861939119">
      <w:bodyDiv w:val="1"/>
      <w:marLeft w:val="0"/>
      <w:marRight w:val="0"/>
      <w:marTop w:val="0"/>
      <w:marBottom w:val="0"/>
      <w:divBdr>
        <w:top w:val="none" w:sz="0" w:space="0" w:color="auto"/>
        <w:left w:val="none" w:sz="0" w:space="0" w:color="auto"/>
        <w:bottom w:val="none" w:sz="0" w:space="0" w:color="auto"/>
        <w:right w:val="none" w:sz="0" w:space="0" w:color="auto"/>
      </w:divBdr>
    </w:div>
    <w:div w:id="861941349">
      <w:bodyDiv w:val="1"/>
      <w:marLeft w:val="0"/>
      <w:marRight w:val="0"/>
      <w:marTop w:val="0"/>
      <w:marBottom w:val="0"/>
      <w:divBdr>
        <w:top w:val="none" w:sz="0" w:space="0" w:color="auto"/>
        <w:left w:val="none" w:sz="0" w:space="0" w:color="auto"/>
        <w:bottom w:val="none" w:sz="0" w:space="0" w:color="auto"/>
        <w:right w:val="none" w:sz="0" w:space="0" w:color="auto"/>
      </w:divBdr>
    </w:div>
    <w:div w:id="882903706">
      <w:bodyDiv w:val="1"/>
      <w:marLeft w:val="0"/>
      <w:marRight w:val="0"/>
      <w:marTop w:val="0"/>
      <w:marBottom w:val="0"/>
      <w:divBdr>
        <w:top w:val="none" w:sz="0" w:space="0" w:color="auto"/>
        <w:left w:val="none" w:sz="0" w:space="0" w:color="auto"/>
        <w:bottom w:val="none" w:sz="0" w:space="0" w:color="auto"/>
        <w:right w:val="none" w:sz="0" w:space="0" w:color="auto"/>
      </w:divBdr>
    </w:div>
    <w:div w:id="899636317">
      <w:bodyDiv w:val="1"/>
      <w:marLeft w:val="0"/>
      <w:marRight w:val="0"/>
      <w:marTop w:val="0"/>
      <w:marBottom w:val="0"/>
      <w:divBdr>
        <w:top w:val="none" w:sz="0" w:space="0" w:color="auto"/>
        <w:left w:val="none" w:sz="0" w:space="0" w:color="auto"/>
        <w:bottom w:val="none" w:sz="0" w:space="0" w:color="auto"/>
        <w:right w:val="none" w:sz="0" w:space="0" w:color="auto"/>
      </w:divBdr>
    </w:div>
    <w:div w:id="922185814">
      <w:bodyDiv w:val="1"/>
      <w:marLeft w:val="0"/>
      <w:marRight w:val="0"/>
      <w:marTop w:val="0"/>
      <w:marBottom w:val="0"/>
      <w:divBdr>
        <w:top w:val="none" w:sz="0" w:space="0" w:color="auto"/>
        <w:left w:val="none" w:sz="0" w:space="0" w:color="auto"/>
        <w:bottom w:val="none" w:sz="0" w:space="0" w:color="auto"/>
        <w:right w:val="none" w:sz="0" w:space="0" w:color="auto"/>
      </w:divBdr>
    </w:div>
    <w:div w:id="933318939">
      <w:bodyDiv w:val="1"/>
      <w:marLeft w:val="0"/>
      <w:marRight w:val="0"/>
      <w:marTop w:val="0"/>
      <w:marBottom w:val="0"/>
      <w:divBdr>
        <w:top w:val="none" w:sz="0" w:space="0" w:color="auto"/>
        <w:left w:val="none" w:sz="0" w:space="0" w:color="auto"/>
        <w:bottom w:val="none" w:sz="0" w:space="0" w:color="auto"/>
        <w:right w:val="none" w:sz="0" w:space="0" w:color="auto"/>
      </w:divBdr>
    </w:div>
    <w:div w:id="953288763">
      <w:bodyDiv w:val="1"/>
      <w:marLeft w:val="0"/>
      <w:marRight w:val="0"/>
      <w:marTop w:val="0"/>
      <w:marBottom w:val="0"/>
      <w:divBdr>
        <w:top w:val="none" w:sz="0" w:space="0" w:color="auto"/>
        <w:left w:val="none" w:sz="0" w:space="0" w:color="auto"/>
        <w:bottom w:val="none" w:sz="0" w:space="0" w:color="auto"/>
        <w:right w:val="none" w:sz="0" w:space="0" w:color="auto"/>
      </w:divBdr>
    </w:div>
    <w:div w:id="970742404">
      <w:bodyDiv w:val="1"/>
      <w:marLeft w:val="0"/>
      <w:marRight w:val="0"/>
      <w:marTop w:val="0"/>
      <w:marBottom w:val="0"/>
      <w:divBdr>
        <w:top w:val="none" w:sz="0" w:space="0" w:color="auto"/>
        <w:left w:val="none" w:sz="0" w:space="0" w:color="auto"/>
        <w:bottom w:val="none" w:sz="0" w:space="0" w:color="auto"/>
        <w:right w:val="none" w:sz="0" w:space="0" w:color="auto"/>
      </w:divBdr>
    </w:div>
    <w:div w:id="978464382">
      <w:bodyDiv w:val="1"/>
      <w:marLeft w:val="0"/>
      <w:marRight w:val="0"/>
      <w:marTop w:val="0"/>
      <w:marBottom w:val="0"/>
      <w:divBdr>
        <w:top w:val="none" w:sz="0" w:space="0" w:color="auto"/>
        <w:left w:val="none" w:sz="0" w:space="0" w:color="auto"/>
        <w:bottom w:val="none" w:sz="0" w:space="0" w:color="auto"/>
        <w:right w:val="none" w:sz="0" w:space="0" w:color="auto"/>
      </w:divBdr>
    </w:div>
    <w:div w:id="981270571">
      <w:bodyDiv w:val="1"/>
      <w:marLeft w:val="0"/>
      <w:marRight w:val="0"/>
      <w:marTop w:val="0"/>
      <w:marBottom w:val="0"/>
      <w:divBdr>
        <w:top w:val="none" w:sz="0" w:space="0" w:color="auto"/>
        <w:left w:val="none" w:sz="0" w:space="0" w:color="auto"/>
        <w:bottom w:val="none" w:sz="0" w:space="0" w:color="auto"/>
        <w:right w:val="none" w:sz="0" w:space="0" w:color="auto"/>
      </w:divBdr>
    </w:div>
    <w:div w:id="1012998228">
      <w:bodyDiv w:val="1"/>
      <w:marLeft w:val="0"/>
      <w:marRight w:val="0"/>
      <w:marTop w:val="0"/>
      <w:marBottom w:val="0"/>
      <w:divBdr>
        <w:top w:val="none" w:sz="0" w:space="0" w:color="auto"/>
        <w:left w:val="none" w:sz="0" w:space="0" w:color="auto"/>
        <w:bottom w:val="none" w:sz="0" w:space="0" w:color="auto"/>
        <w:right w:val="none" w:sz="0" w:space="0" w:color="auto"/>
      </w:divBdr>
    </w:div>
    <w:div w:id="1024399646">
      <w:bodyDiv w:val="1"/>
      <w:marLeft w:val="0"/>
      <w:marRight w:val="0"/>
      <w:marTop w:val="0"/>
      <w:marBottom w:val="0"/>
      <w:divBdr>
        <w:top w:val="none" w:sz="0" w:space="0" w:color="auto"/>
        <w:left w:val="none" w:sz="0" w:space="0" w:color="auto"/>
        <w:bottom w:val="none" w:sz="0" w:space="0" w:color="auto"/>
        <w:right w:val="none" w:sz="0" w:space="0" w:color="auto"/>
      </w:divBdr>
    </w:div>
    <w:div w:id="1031036441">
      <w:bodyDiv w:val="1"/>
      <w:marLeft w:val="0"/>
      <w:marRight w:val="0"/>
      <w:marTop w:val="0"/>
      <w:marBottom w:val="0"/>
      <w:divBdr>
        <w:top w:val="none" w:sz="0" w:space="0" w:color="auto"/>
        <w:left w:val="none" w:sz="0" w:space="0" w:color="auto"/>
        <w:bottom w:val="none" w:sz="0" w:space="0" w:color="auto"/>
        <w:right w:val="none" w:sz="0" w:space="0" w:color="auto"/>
      </w:divBdr>
    </w:div>
    <w:div w:id="1058435200">
      <w:bodyDiv w:val="1"/>
      <w:marLeft w:val="0"/>
      <w:marRight w:val="0"/>
      <w:marTop w:val="0"/>
      <w:marBottom w:val="0"/>
      <w:divBdr>
        <w:top w:val="none" w:sz="0" w:space="0" w:color="auto"/>
        <w:left w:val="none" w:sz="0" w:space="0" w:color="auto"/>
        <w:bottom w:val="none" w:sz="0" w:space="0" w:color="auto"/>
        <w:right w:val="none" w:sz="0" w:space="0" w:color="auto"/>
      </w:divBdr>
    </w:div>
    <w:div w:id="1067188250">
      <w:bodyDiv w:val="1"/>
      <w:marLeft w:val="0"/>
      <w:marRight w:val="0"/>
      <w:marTop w:val="0"/>
      <w:marBottom w:val="0"/>
      <w:divBdr>
        <w:top w:val="none" w:sz="0" w:space="0" w:color="auto"/>
        <w:left w:val="none" w:sz="0" w:space="0" w:color="auto"/>
        <w:bottom w:val="none" w:sz="0" w:space="0" w:color="auto"/>
        <w:right w:val="none" w:sz="0" w:space="0" w:color="auto"/>
      </w:divBdr>
    </w:div>
    <w:div w:id="1067609471">
      <w:bodyDiv w:val="1"/>
      <w:marLeft w:val="0"/>
      <w:marRight w:val="0"/>
      <w:marTop w:val="0"/>
      <w:marBottom w:val="0"/>
      <w:divBdr>
        <w:top w:val="none" w:sz="0" w:space="0" w:color="auto"/>
        <w:left w:val="none" w:sz="0" w:space="0" w:color="auto"/>
        <w:bottom w:val="none" w:sz="0" w:space="0" w:color="auto"/>
        <w:right w:val="none" w:sz="0" w:space="0" w:color="auto"/>
      </w:divBdr>
    </w:div>
    <w:div w:id="1089034815">
      <w:bodyDiv w:val="1"/>
      <w:marLeft w:val="0"/>
      <w:marRight w:val="0"/>
      <w:marTop w:val="0"/>
      <w:marBottom w:val="0"/>
      <w:divBdr>
        <w:top w:val="none" w:sz="0" w:space="0" w:color="auto"/>
        <w:left w:val="none" w:sz="0" w:space="0" w:color="auto"/>
        <w:bottom w:val="none" w:sz="0" w:space="0" w:color="auto"/>
        <w:right w:val="none" w:sz="0" w:space="0" w:color="auto"/>
      </w:divBdr>
    </w:div>
    <w:div w:id="1114403872">
      <w:bodyDiv w:val="1"/>
      <w:marLeft w:val="0"/>
      <w:marRight w:val="0"/>
      <w:marTop w:val="0"/>
      <w:marBottom w:val="0"/>
      <w:divBdr>
        <w:top w:val="none" w:sz="0" w:space="0" w:color="auto"/>
        <w:left w:val="none" w:sz="0" w:space="0" w:color="auto"/>
        <w:bottom w:val="none" w:sz="0" w:space="0" w:color="auto"/>
        <w:right w:val="none" w:sz="0" w:space="0" w:color="auto"/>
      </w:divBdr>
    </w:div>
    <w:div w:id="1120102331">
      <w:bodyDiv w:val="1"/>
      <w:marLeft w:val="0"/>
      <w:marRight w:val="0"/>
      <w:marTop w:val="0"/>
      <w:marBottom w:val="0"/>
      <w:divBdr>
        <w:top w:val="none" w:sz="0" w:space="0" w:color="auto"/>
        <w:left w:val="none" w:sz="0" w:space="0" w:color="auto"/>
        <w:bottom w:val="none" w:sz="0" w:space="0" w:color="auto"/>
        <w:right w:val="none" w:sz="0" w:space="0" w:color="auto"/>
      </w:divBdr>
    </w:div>
    <w:div w:id="1135832947">
      <w:bodyDiv w:val="1"/>
      <w:marLeft w:val="0"/>
      <w:marRight w:val="0"/>
      <w:marTop w:val="0"/>
      <w:marBottom w:val="0"/>
      <w:divBdr>
        <w:top w:val="none" w:sz="0" w:space="0" w:color="auto"/>
        <w:left w:val="none" w:sz="0" w:space="0" w:color="auto"/>
        <w:bottom w:val="none" w:sz="0" w:space="0" w:color="auto"/>
        <w:right w:val="none" w:sz="0" w:space="0" w:color="auto"/>
      </w:divBdr>
    </w:div>
    <w:div w:id="1139608566">
      <w:bodyDiv w:val="1"/>
      <w:marLeft w:val="0"/>
      <w:marRight w:val="0"/>
      <w:marTop w:val="0"/>
      <w:marBottom w:val="0"/>
      <w:divBdr>
        <w:top w:val="none" w:sz="0" w:space="0" w:color="auto"/>
        <w:left w:val="none" w:sz="0" w:space="0" w:color="auto"/>
        <w:bottom w:val="none" w:sz="0" w:space="0" w:color="auto"/>
        <w:right w:val="none" w:sz="0" w:space="0" w:color="auto"/>
      </w:divBdr>
    </w:div>
    <w:div w:id="1168251904">
      <w:bodyDiv w:val="1"/>
      <w:marLeft w:val="0"/>
      <w:marRight w:val="0"/>
      <w:marTop w:val="0"/>
      <w:marBottom w:val="0"/>
      <w:divBdr>
        <w:top w:val="none" w:sz="0" w:space="0" w:color="auto"/>
        <w:left w:val="none" w:sz="0" w:space="0" w:color="auto"/>
        <w:bottom w:val="none" w:sz="0" w:space="0" w:color="auto"/>
        <w:right w:val="none" w:sz="0" w:space="0" w:color="auto"/>
      </w:divBdr>
    </w:div>
    <w:div w:id="1192690757">
      <w:bodyDiv w:val="1"/>
      <w:marLeft w:val="0"/>
      <w:marRight w:val="0"/>
      <w:marTop w:val="0"/>
      <w:marBottom w:val="0"/>
      <w:divBdr>
        <w:top w:val="none" w:sz="0" w:space="0" w:color="auto"/>
        <w:left w:val="none" w:sz="0" w:space="0" w:color="auto"/>
        <w:bottom w:val="none" w:sz="0" w:space="0" w:color="auto"/>
        <w:right w:val="none" w:sz="0" w:space="0" w:color="auto"/>
      </w:divBdr>
    </w:div>
    <w:div w:id="1237932908">
      <w:bodyDiv w:val="1"/>
      <w:marLeft w:val="0"/>
      <w:marRight w:val="0"/>
      <w:marTop w:val="0"/>
      <w:marBottom w:val="0"/>
      <w:divBdr>
        <w:top w:val="none" w:sz="0" w:space="0" w:color="auto"/>
        <w:left w:val="none" w:sz="0" w:space="0" w:color="auto"/>
        <w:bottom w:val="none" w:sz="0" w:space="0" w:color="auto"/>
        <w:right w:val="none" w:sz="0" w:space="0" w:color="auto"/>
      </w:divBdr>
    </w:div>
    <w:div w:id="1245921548">
      <w:bodyDiv w:val="1"/>
      <w:marLeft w:val="0"/>
      <w:marRight w:val="0"/>
      <w:marTop w:val="0"/>
      <w:marBottom w:val="0"/>
      <w:divBdr>
        <w:top w:val="none" w:sz="0" w:space="0" w:color="auto"/>
        <w:left w:val="none" w:sz="0" w:space="0" w:color="auto"/>
        <w:bottom w:val="none" w:sz="0" w:space="0" w:color="auto"/>
        <w:right w:val="none" w:sz="0" w:space="0" w:color="auto"/>
      </w:divBdr>
    </w:div>
    <w:div w:id="1254243603">
      <w:bodyDiv w:val="1"/>
      <w:marLeft w:val="0"/>
      <w:marRight w:val="0"/>
      <w:marTop w:val="0"/>
      <w:marBottom w:val="0"/>
      <w:divBdr>
        <w:top w:val="none" w:sz="0" w:space="0" w:color="auto"/>
        <w:left w:val="none" w:sz="0" w:space="0" w:color="auto"/>
        <w:bottom w:val="none" w:sz="0" w:space="0" w:color="auto"/>
        <w:right w:val="none" w:sz="0" w:space="0" w:color="auto"/>
      </w:divBdr>
    </w:div>
    <w:div w:id="1267498531">
      <w:bodyDiv w:val="1"/>
      <w:marLeft w:val="0"/>
      <w:marRight w:val="0"/>
      <w:marTop w:val="0"/>
      <w:marBottom w:val="0"/>
      <w:divBdr>
        <w:top w:val="none" w:sz="0" w:space="0" w:color="auto"/>
        <w:left w:val="none" w:sz="0" w:space="0" w:color="auto"/>
        <w:bottom w:val="none" w:sz="0" w:space="0" w:color="auto"/>
        <w:right w:val="none" w:sz="0" w:space="0" w:color="auto"/>
      </w:divBdr>
    </w:div>
    <w:div w:id="1291399854">
      <w:bodyDiv w:val="1"/>
      <w:marLeft w:val="0"/>
      <w:marRight w:val="0"/>
      <w:marTop w:val="0"/>
      <w:marBottom w:val="0"/>
      <w:divBdr>
        <w:top w:val="none" w:sz="0" w:space="0" w:color="auto"/>
        <w:left w:val="none" w:sz="0" w:space="0" w:color="auto"/>
        <w:bottom w:val="none" w:sz="0" w:space="0" w:color="auto"/>
        <w:right w:val="none" w:sz="0" w:space="0" w:color="auto"/>
      </w:divBdr>
    </w:div>
    <w:div w:id="1299799605">
      <w:bodyDiv w:val="1"/>
      <w:marLeft w:val="0"/>
      <w:marRight w:val="0"/>
      <w:marTop w:val="0"/>
      <w:marBottom w:val="0"/>
      <w:divBdr>
        <w:top w:val="none" w:sz="0" w:space="0" w:color="auto"/>
        <w:left w:val="none" w:sz="0" w:space="0" w:color="auto"/>
        <w:bottom w:val="none" w:sz="0" w:space="0" w:color="auto"/>
        <w:right w:val="none" w:sz="0" w:space="0" w:color="auto"/>
      </w:divBdr>
    </w:div>
    <w:div w:id="1344819154">
      <w:bodyDiv w:val="1"/>
      <w:marLeft w:val="0"/>
      <w:marRight w:val="0"/>
      <w:marTop w:val="0"/>
      <w:marBottom w:val="0"/>
      <w:divBdr>
        <w:top w:val="none" w:sz="0" w:space="0" w:color="auto"/>
        <w:left w:val="none" w:sz="0" w:space="0" w:color="auto"/>
        <w:bottom w:val="none" w:sz="0" w:space="0" w:color="auto"/>
        <w:right w:val="none" w:sz="0" w:space="0" w:color="auto"/>
      </w:divBdr>
    </w:div>
    <w:div w:id="1365717371">
      <w:bodyDiv w:val="1"/>
      <w:marLeft w:val="0"/>
      <w:marRight w:val="0"/>
      <w:marTop w:val="0"/>
      <w:marBottom w:val="0"/>
      <w:divBdr>
        <w:top w:val="none" w:sz="0" w:space="0" w:color="auto"/>
        <w:left w:val="none" w:sz="0" w:space="0" w:color="auto"/>
        <w:bottom w:val="none" w:sz="0" w:space="0" w:color="auto"/>
        <w:right w:val="none" w:sz="0" w:space="0" w:color="auto"/>
      </w:divBdr>
    </w:div>
    <w:div w:id="1431656787">
      <w:bodyDiv w:val="1"/>
      <w:marLeft w:val="0"/>
      <w:marRight w:val="0"/>
      <w:marTop w:val="0"/>
      <w:marBottom w:val="0"/>
      <w:divBdr>
        <w:top w:val="none" w:sz="0" w:space="0" w:color="auto"/>
        <w:left w:val="none" w:sz="0" w:space="0" w:color="auto"/>
        <w:bottom w:val="none" w:sz="0" w:space="0" w:color="auto"/>
        <w:right w:val="none" w:sz="0" w:space="0" w:color="auto"/>
      </w:divBdr>
    </w:div>
    <w:div w:id="1456027314">
      <w:bodyDiv w:val="1"/>
      <w:marLeft w:val="0"/>
      <w:marRight w:val="0"/>
      <w:marTop w:val="0"/>
      <w:marBottom w:val="0"/>
      <w:divBdr>
        <w:top w:val="none" w:sz="0" w:space="0" w:color="auto"/>
        <w:left w:val="none" w:sz="0" w:space="0" w:color="auto"/>
        <w:bottom w:val="none" w:sz="0" w:space="0" w:color="auto"/>
        <w:right w:val="none" w:sz="0" w:space="0" w:color="auto"/>
      </w:divBdr>
    </w:div>
    <w:div w:id="1460799922">
      <w:bodyDiv w:val="1"/>
      <w:marLeft w:val="0"/>
      <w:marRight w:val="0"/>
      <w:marTop w:val="0"/>
      <w:marBottom w:val="0"/>
      <w:divBdr>
        <w:top w:val="none" w:sz="0" w:space="0" w:color="auto"/>
        <w:left w:val="none" w:sz="0" w:space="0" w:color="auto"/>
        <w:bottom w:val="none" w:sz="0" w:space="0" w:color="auto"/>
        <w:right w:val="none" w:sz="0" w:space="0" w:color="auto"/>
      </w:divBdr>
    </w:div>
    <w:div w:id="1486891349">
      <w:bodyDiv w:val="1"/>
      <w:marLeft w:val="0"/>
      <w:marRight w:val="0"/>
      <w:marTop w:val="0"/>
      <w:marBottom w:val="0"/>
      <w:divBdr>
        <w:top w:val="none" w:sz="0" w:space="0" w:color="auto"/>
        <w:left w:val="none" w:sz="0" w:space="0" w:color="auto"/>
        <w:bottom w:val="none" w:sz="0" w:space="0" w:color="auto"/>
        <w:right w:val="none" w:sz="0" w:space="0" w:color="auto"/>
      </w:divBdr>
    </w:div>
    <w:div w:id="1496725349">
      <w:bodyDiv w:val="1"/>
      <w:marLeft w:val="0"/>
      <w:marRight w:val="0"/>
      <w:marTop w:val="0"/>
      <w:marBottom w:val="0"/>
      <w:divBdr>
        <w:top w:val="none" w:sz="0" w:space="0" w:color="auto"/>
        <w:left w:val="none" w:sz="0" w:space="0" w:color="auto"/>
        <w:bottom w:val="none" w:sz="0" w:space="0" w:color="auto"/>
        <w:right w:val="none" w:sz="0" w:space="0" w:color="auto"/>
      </w:divBdr>
    </w:div>
    <w:div w:id="1497768288">
      <w:bodyDiv w:val="1"/>
      <w:marLeft w:val="0"/>
      <w:marRight w:val="0"/>
      <w:marTop w:val="0"/>
      <w:marBottom w:val="0"/>
      <w:divBdr>
        <w:top w:val="none" w:sz="0" w:space="0" w:color="auto"/>
        <w:left w:val="none" w:sz="0" w:space="0" w:color="auto"/>
        <w:bottom w:val="none" w:sz="0" w:space="0" w:color="auto"/>
        <w:right w:val="none" w:sz="0" w:space="0" w:color="auto"/>
      </w:divBdr>
    </w:div>
    <w:div w:id="1511597956">
      <w:bodyDiv w:val="1"/>
      <w:marLeft w:val="0"/>
      <w:marRight w:val="0"/>
      <w:marTop w:val="0"/>
      <w:marBottom w:val="0"/>
      <w:divBdr>
        <w:top w:val="none" w:sz="0" w:space="0" w:color="auto"/>
        <w:left w:val="none" w:sz="0" w:space="0" w:color="auto"/>
        <w:bottom w:val="none" w:sz="0" w:space="0" w:color="auto"/>
        <w:right w:val="none" w:sz="0" w:space="0" w:color="auto"/>
      </w:divBdr>
    </w:div>
    <w:div w:id="1520581288">
      <w:bodyDiv w:val="1"/>
      <w:marLeft w:val="0"/>
      <w:marRight w:val="0"/>
      <w:marTop w:val="0"/>
      <w:marBottom w:val="0"/>
      <w:divBdr>
        <w:top w:val="none" w:sz="0" w:space="0" w:color="auto"/>
        <w:left w:val="none" w:sz="0" w:space="0" w:color="auto"/>
        <w:bottom w:val="none" w:sz="0" w:space="0" w:color="auto"/>
        <w:right w:val="none" w:sz="0" w:space="0" w:color="auto"/>
      </w:divBdr>
    </w:div>
    <w:div w:id="1540241827">
      <w:bodyDiv w:val="1"/>
      <w:marLeft w:val="0"/>
      <w:marRight w:val="0"/>
      <w:marTop w:val="0"/>
      <w:marBottom w:val="0"/>
      <w:divBdr>
        <w:top w:val="none" w:sz="0" w:space="0" w:color="auto"/>
        <w:left w:val="none" w:sz="0" w:space="0" w:color="auto"/>
        <w:bottom w:val="none" w:sz="0" w:space="0" w:color="auto"/>
        <w:right w:val="none" w:sz="0" w:space="0" w:color="auto"/>
      </w:divBdr>
    </w:div>
    <w:div w:id="1544099114">
      <w:bodyDiv w:val="1"/>
      <w:marLeft w:val="0"/>
      <w:marRight w:val="0"/>
      <w:marTop w:val="0"/>
      <w:marBottom w:val="0"/>
      <w:divBdr>
        <w:top w:val="none" w:sz="0" w:space="0" w:color="auto"/>
        <w:left w:val="none" w:sz="0" w:space="0" w:color="auto"/>
        <w:bottom w:val="none" w:sz="0" w:space="0" w:color="auto"/>
        <w:right w:val="none" w:sz="0" w:space="0" w:color="auto"/>
      </w:divBdr>
    </w:div>
    <w:div w:id="1566407996">
      <w:bodyDiv w:val="1"/>
      <w:marLeft w:val="0"/>
      <w:marRight w:val="0"/>
      <w:marTop w:val="0"/>
      <w:marBottom w:val="0"/>
      <w:divBdr>
        <w:top w:val="none" w:sz="0" w:space="0" w:color="auto"/>
        <w:left w:val="none" w:sz="0" w:space="0" w:color="auto"/>
        <w:bottom w:val="none" w:sz="0" w:space="0" w:color="auto"/>
        <w:right w:val="none" w:sz="0" w:space="0" w:color="auto"/>
      </w:divBdr>
    </w:div>
    <w:div w:id="1577669847">
      <w:bodyDiv w:val="1"/>
      <w:marLeft w:val="0"/>
      <w:marRight w:val="0"/>
      <w:marTop w:val="0"/>
      <w:marBottom w:val="0"/>
      <w:divBdr>
        <w:top w:val="none" w:sz="0" w:space="0" w:color="auto"/>
        <w:left w:val="none" w:sz="0" w:space="0" w:color="auto"/>
        <w:bottom w:val="none" w:sz="0" w:space="0" w:color="auto"/>
        <w:right w:val="none" w:sz="0" w:space="0" w:color="auto"/>
      </w:divBdr>
    </w:div>
    <w:div w:id="1582761694">
      <w:bodyDiv w:val="1"/>
      <w:marLeft w:val="0"/>
      <w:marRight w:val="0"/>
      <w:marTop w:val="0"/>
      <w:marBottom w:val="0"/>
      <w:divBdr>
        <w:top w:val="none" w:sz="0" w:space="0" w:color="auto"/>
        <w:left w:val="none" w:sz="0" w:space="0" w:color="auto"/>
        <w:bottom w:val="none" w:sz="0" w:space="0" w:color="auto"/>
        <w:right w:val="none" w:sz="0" w:space="0" w:color="auto"/>
      </w:divBdr>
    </w:div>
    <w:div w:id="1591768300">
      <w:bodyDiv w:val="1"/>
      <w:marLeft w:val="0"/>
      <w:marRight w:val="0"/>
      <w:marTop w:val="0"/>
      <w:marBottom w:val="0"/>
      <w:divBdr>
        <w:top w:val="none" w:sz="0" w:space="0" w:color="auto"/>
        <w:left w:val="none" w:sz="0" w:space="0" w:color="auto"/>
        <w:bottom w:val="none" w:sz="0" w:space="0" w:color="auto"/>
        <w:right w:val="none" w:sz="0" w:space="0" w:color="auto"/>
      </w:divBdr>
    </w:div>
    <w:div w:id="1597323081">
      <w:bodyDiv w:val="1"/>
      <w:marLeft w:val="0"/>
      <w:marRight w:val="0"/>
      <w:marTop w:val="0"/>
      <w:marBottom w:val="0"/>
      <w:divBdr>
        <w:top w:val="none" w:sz="0" w:space="0" w:color="auto"/>
        <w:left w:val="none" w:sz="0" w:space="0" w:color="auto"/>
        <w:bottom w:val="none" w:sz="0" w:space="0" w:color="auto"/>
        <w:right w:val="none" w:sz="0" w:space="0" w:color="auto"/>
      </w:divBdr>
    </w:div>
    <w:div w:id="1611014895">
      <w:bodyDiv w:val="1"/>
      <w:marLeft w:val="0"/>
      <w:marRight w:val="0"/>
      <w:marTop w:val="0"/>
      <w:marBottom w:val="0"/>
      <w:divBdr>
        <w:top w:val="none" w:sz="0" w:space="0" w:color="auto"/>
        <w:left w:val="none" w:sz="0" w:space="0" w:color="auto"/>
        <w:bottom w:val="none" w:sz="0" w:space="0" w:color="auto"/>
        <w:right w:val="none" w:sz="0" w:space="0" w:color="auto"/>
      </w:divBdr>
    </w:div>
    <w:div w:id="1616407809">
      <w:bodyDiv w:val="1"/>
      <w:marLeft w:val="0"/>
      <w:marRight w:val="0"/>
      <w:marTop w:val="0"/>
      <w:marBottom w:val="0"/>
      <w:divBdr>
        <w:top w:val="none" w:sz="0" w:space="0" w:color="auto"/>
        <w:left w:val="none" w:sz="0" w:space="0" w:color="auto"/>
        <w:bottom w:val="none" w:sz="0" w:space="0" w:color="auto"/>
        <w:right w:val="none" w:sz="0" w:space="0" w:color="auto"/>
      </w:divBdr>
    </w:div>
    <w:div w:id="1622228928">
      <w:bodyDiv w:val="1"/>
      <w:marLeft w:val="30"/>
      <w:marRight w:val="30"/>
      <w:marTop w:val="0"/>
      <w:marBottom w:val="0"/>
      <w:divBdr>
        <w:top w:val="none" w:sz="0" w:space="0" w:color="auto"/>
        <w:left w:val="none" w:sz="0" w:space="0" w:color="auto"/>
        <w:bottom w:val="none" w:sz="0" w:space="0" w:color="auto"/>
        <w:right w:val="none" w:sz="0" w:space="0" w:color="auto"/>
      </w:divBdr>
      <w:divsChild>
        <w:div w:id="27491556">
          <w:marLeft w:val="0"/>
          <w:marRight w:val="0"/>
          <w:marTop w:val="0"/>
          <w:marBottom w:val="0"/>
          <w:divBdr>
            <w:top w:val="none" w:sz="0" w:space="0" w:color="auto"/>
            <w:left w:val="none" w:sz="0" w:space="0" w:color="auto"/>
            <w:bottom w:val="none" w:sz="0" w:space="0" w:color="auto"/>
            <w:right w:val="none" w:sz="0" w:space="0" w:color="auto"/>
          </w:divBdr>
          <w:divsChild>
            <w:div w:id="399400296">
              <w:marLeft w:val="0"/>
              <w:marRight w:val="0"/>
              <w:marTop w:val="0"/>
              <w:marBottom w:val="0"/>
              <w:divBdr>
                <w:top w:val="none" w:sz="0" w:space="0" w:color="auto"/>
                <w:left w:val="none" w:sz="0" w:space="0" w:color="auto"/>
                <w:bottom w:val="none" w:sz="0" w:space="0" w:color="auto"/>
                <w:right w:val="none" w:sz="0" w:space="0" w:color="auto"/>
              </w:divBdr>
              <w:divsChild>
                <w:div w:id="521626611">
                  <w:marLeft w:val="180"/>
                  <w:marRight w:val="0"/>
                  <w:marTop w:val="0"/>
                  <w:marBottom w:val="0"/>
                  <w:divBdr>
                    <w:top w:val="none" w:sz="0" w:space="0" w:color="auto"/>
                    <w:left w:val="none" w:sz="0" w:space="0" w:color="auto"/>
                    <w:bottom w:val="none" w:sz="0" w:space="0" w:color="auto"/>
                    <w:right w:val="none" w:sz="0" w:space="0" w:color="auto"/>
                  </w:divBdr>
                  <w:divsChild>
                    <w:div w:id="1057632977">
                      <w:marLeft w:val="0"/>
                      <w:marRight w:val="0"/>
                      <w:marTop w:val="0"/>
                      <w:marBottom w:val="0"/>
                      <w:divBdr>
                        <w:top w:val="none" w:sz="0" w:space="0" w:color="auto"/>
                        <w:left w:val="none" w:sz="0" w:space="0" w:color="auto"/>
                        <w:bottom w:val="none" w:sz="0" w:space="0" w:color="auto"/>
                        <w:right w:val="none" w:sz="0" w:space="0" w:color="auto"/>
                      </w:divBdr>
                      <w:divsChild>
                        <w:div w:id="248849325">
                          <w:marLeft w:val="0"/>
                          <w:marRight w:val="0"/>
                          <w:marTop w:val="0"/>
                          <w:marBottom w:val="0"/>
                          <w:divBdr>
                            <w:top w:val="none" w:sz="0" w:space="0" w:color="000080"/>
                            <w:left w:val="none" w:sz="0" w:space="0" w:color="000080"/>
                            <w:bottom w:val="none" w:sz="0" w:space="0" w:color="000080"/>
                            <w:right w:val="none" w:sz="0" w:space="0" w:color="000080"/>
                          </w:divBdr>
                        </w:div>
                      </w:divsChild>
                    </w:div>
                  </w:divsChild>
                </w:div>
              </w:divsChild>
            </w:div>
          </w:divsChild>
        </w:div>
      </w:divsChild>
    </w:div>
    <w:div w:id="1645741004">
      <w:bodyDiv w:val="1"/>
      <w:marLeft w:val="0"/>
      <w:marRight w:val="0"/>
      <w:marTop w:val="0"/>
      <w:marBottom w:val="0"/>
      <w:divBdr>
        <w:top w:val="none" w:sz="0" w:space="0" w:color="auto"/>
        <w:left w:val="none" w:sz="0" w:space="0" w:color="auto"/>
        <w:bottom w:val="none" w:sz="0" w:space="0" w:color="auto"/>
        <w:right w:val="none" w:sz="0" w:space="0" w:color="auto"/>
      </w:divBdr>
    </w:div>
    <w:div w:id="1649431303">
      <w:bodyDiv w:val="1"/>
      <w:marLeft w:val="0"/>
      <w:marRight w:val="0"/>
      <w:marTop w:val="0"/>
      <w:marBottom w:val="0"/>
      <w:divBdr>
        <w:top w:val="none" w:sz="0" w:space="0" w:color="auto"/>
        <w:left w:val="none" w:sz="0" w:space="0" w:color="auto"/>
        <w:bottom w:val="none" w:sz="0" w:space="0" w:color="auto"/>
        <w:right w:val="none" w:sz="0" w:space="0" w:color="auto"/>
      </w:divBdr>
    </w:div>
    <w:div w:id="1664431375">
      <w:bodyDiv w:val="1"/>
      <w:marLeft w:val="0"/>
      <w:marRight w:val="0"/>
      <w:marTop w:val="0"/>
      <w:marBottom w:val="0"/>
      <w:divBdr>
        <w:top w:val="none" w:sz="0" w:space="0" w:color="auto"/>
        <w:left w:val="none" w:sz="0" w:space="0" w:color="auto"/>
        <w:bottom w:val="none" w:sz="0" w:space="0" w:color="auto"/>
        <w:right w:val="none" w:sz="0" w:space="0" w:color="auto"/>
      </w:divBdr>
    </w:div>
    <w:div w:id="1710376425">
      <w:bodyDiv w:val="1"/>
      <w:marLeft w:val="0"/>
      <w:marRight w:val="0"/>
      <w:marTop w:val="0"/>
      <w:marBottom w:val="0"/>
      <w:divBdr>
        <w:top w:val="none" w:sz="0" w:space="0" w:color="auto"/>
        <w:left w:val="none" w:sz="0" w:space="0" w:color="auto"/>
        <w:bottom w:val="none" w:sz="0" w:space="0" w:color="auto"/>
        <w:right w:val="none" w:sz="0" w:space="0" w:color="auto"/>
      </w:divBdr>
    </w:div>
    <w:div w:id="1722823939">
      <w:bodyDiv w:val="1"/>
      <w:marLeft w:val="0"/>
      <w:marRight w:val="0"/>
      <w:marTop w:val="0"/>
      <w:marBottom w:val="0"/>
      <w:divBdr>
        <w:top w:val="none" w:sz="0" w:space="0" w:color="auto"/>
        <w:left w:val="none" w:sz="0" w:space="0" w:color="auto"/>
        <w:bottom w:val="none" w:sz="0" w:space="0" w:color="auto"/>
        <w:right w:val="none" w:sz="0" w:space="0" w:color="auto"/>
      </w:divBdr>
    </w:div>
    <w:div w:id="1744450586">
      <w:bodyDiv w:val="1"/>
      <w:marLeft w:val="0"/>
      <w:marRight w:val="0"/>
      <w:marTop w:val="0"/>
      <w:marBottom w:val="0"/>
      <w:divBdr>
        <w:top w:val="none" w:sz="0" w:space="0" w:color="auto"/>
        <w:left w:val="none" w:sz="0" w:space="0" w:color="auto"/>
        <w:bottom w:val="none" w:sz="0" w:space="0" w:color="auto"/>
        <w:right w:val="none" w:sz="0" w:space="0" w:color="auto"/>
      </w:divBdr>
    </w:div>
    <w:div w:id="1761296989">
      <w:bodyDiv w:val="1"/>
      <w:marLeft w:val="0"/>
      <w:marRight w:val="0"/>
      <w:marTop w:val="0"/>
      <w:marBottom w:val="0"/>
      <w:divBdr>
        <w:top w:val="none" w:sz="0" w:space="0" w:color="auto"/>
        <w:left w:val="none" w:sz="0" w:space="0" w:color="auto"/>
        <w:bottom w:val="none" w:sz="0" w:space="0" w:color="auto"/>
        <w:right w:val="none" w:sz="0" w:space="0" w:color="auto"/>
      </w:divBdr>
    </w:div>
    <w:div w:id="1779063728">
      <w:bodyDiv w:val="1"/>
      <w:marLeft w:val="0"/>
      <w:marRight w:val="0"/>
      <w:marTop w:val="0"/>
      <w:marBottom w:val="0"/>
      <w:divBdr>
        <w:top w:val="none" w:sz="0" w:space="0" w:color="auto"/>
        <w:left w:val="none" w:sz="0" w:space="0" w:color="auto"/>
        <w:bottom w:val="none" w:sz="0" w:space="0" w:color="auto"/>
        <w:right w:val="none" w:sz="0" w:space="0" w:color="auto"/>
      </w:divBdr>
    </w:div>
    <w:div w:id="1783763391">
      <w:bodyDiv w:val="1"/>
      <w:marLeft w:val="0"/>
      <w:marRight w:val="0"/>
      <w:marTop w:val="0"/>
      <w:marBottom w:val="0"/>
      <w:divBdr>
        <w:top w:val="none" w:sz="0" w:space="0" w:color="auto"/>
        <w:left w:val="none" w:sz="0" w:space="0" w:color="auto"/>
        <w:bottom w:val="none" w:sz="0" w:space="0" w:color="auto"/>
        <w:right w:val="none" w:sz="0" w:space="0" w:color="auto"/>
      </w:divBdr>
    </w:div>
    <w:div w:id="1848210628">
      <w:bodyDiv w:val="1"/>
      <w:marLeft w:val="0"/>
      <w:marRight w:val="0"/>
      <w:marTop w:val="0"/>
      <w:marBottom w:val="0"/>
      <w:divBdr>
        <w:top w:val="none" w:sz="0" w:space="0" w:color="auto"/>
        <w:left w:val="none" w:sz="0" w:space="0" w:color="auto"/>
        <w:bottom w:val="none" w:sz="0" w:space="0" w:color="auto"/>
        <w:right w:val="none" w:sz="0" w:space="0" w:color="auto"/>
      </w:divBdr>
    </w:div>
    <w:div w:id="1885216736">
      <w:bodyDiv w:val="1"/>
      <w:marLeft w:val="0"/>
      <w:marRight w:val="0"/>
      <w:marTop w:val="0"/>
      <w:marBottom w:val="0"/>
      <w:divBdr>
        <w:top w:val="none" w:sz="0" w:space="0" w:color="auto"/>
        <w:left w:val="none" w:sz="0" w:space="0" w:color="auto"/>
        <w:bottom w:val="none" w:sz="0" w:space="0" w:color="auto"/>
        <w:right w:val="none" w:sz="0" w:space="0" w:color="auto"/>
      </w:divBdr>
    </w:div>
    <w:div w:id="1897357759">
      <w:bodyDiv w:val="1"/>
      <w:marLeft w:val="0"/>
      <w:marRight w:val="0"/>
      <w:marTop w:val="0"/>
      <w:marBottom w:val="0"/>
      <w:divBdr>
        <w:top w:val="none" w:sz="0" w:space="0" w:color="auto"/>
        <w:left w:val="none" w:sz="0" w:space="0" w:color="auto"/>
        <w:bottom w:val="none" w:sz="0" w:space="0" w:color="auto"/>
        <w:right w:val="none" w:sz="0" w:space="0" w:color="auto"/>
      </w:divBdr>
    </w:div>
    <w:div w:id="1903785911">
      <w:bodyDiv w:val="1"/>
      <w:marLeft w:val="0"/>
      <w:marRight w:val="0"/>
      <w:marTop w:val="0"/>
      <w:marBottom w:val="0"/>
      <w:divBdr>
        <w:top w:val="none" w:sz="0" w:space="0" w:color="auto"/>
        <w:left w:val="none" w:sz="0" w:space="0" w:color="auto"/>
        <w:bottom w:val="none" w:sz="0" w:space="0" w:color="auto"/>
        <w:right w:val="none" w:sz="0" w:space="0" w:color="auto"/>
      </w:divBdr>
    </w:div>
    <w:div w:id="1928490454">
      <w:bodyDiv w:val="1"/>
      <w:marLeft w:val="0"/>
      <w:marRight w:val="0"/>
      <w:marTop w:val="0"/>
      <w:marBottom w:val="0"/>
      <w:divBdr>
        <w:top w:val="none" w:sz="0" w:space="0" w:color="auto"/>
        <w:left w:val="none" w:sz="0" w:space="0" w:color="auto"/>
        <w:bottom w:val="none" w:sz="0" w:space="0" w:color="auto"/>
        <w:right w:val="none" w:sz="0" w:space="0" w:color="auto"/>
      </w:divBdr>
    </w:div>
    <w:div w:id="1951618629">
      <w:bodyDiv w:val="1"/>
      <w:marLeft w:val="0"/>
      <w:marRight w:val="0"/>
      <w:marTop w:val="0"/>
      <w:marBottom w:val="0"/>
      <w:divBdr>
        <w:top w:val="none" w:sz="0" w:space="0" w:color="auto"/>
        <w:left w:val="none" w:sz="0" w:space="0" w:color="auto"/>
        <w:bottom w:val="none" w:sz="0" w:space="0" w:color="auto"/>
        <w:right w:val="none" w:sz="0" w:space="0" w:color="auto"/>
      </w:divBdr>
    </w:div>
    <w:div w:id="1952125806">
      <w:bodyDiv w:val="1"/>
      <w:marLeft w:val="0"/>
      <w:marRight w:val="0"/>
      <w:marTop w:val="0"/>
      <w:marBottom w:val="0"/>
      <w:divBdr>
        <w:top w:val="none" w:sz="0" w:space="0" w:color="auto"/>
        <w:left w:val="none" w:sz="0" w:space="0" w:color="auto"/>
        <w:bottom w:val="none" w:sz="0" w:space="0" w:color="auto"/>
        <w:right w:val="none" w:sz="0" w:space="0" w:color="auto"/>
      </w:divBdr>
    </w:div>
    <w:div w:id="1985743189">
      <w:bodyDiv w:val="1"/>
      <w:marLeft w:val="0"/>
      <w:marRight w:val="0"/>
      <w:marTop w:val="0"/>
      <w:marBottom w:val="0"/>
      <w:divBdr>
        <w:top w:val="none" w:sz="0" w:space="0" w:color="auto"/>
        <w:left w:val="none" w:sz="0" w:space="0" w:color="auto"/>
        <w:bottom w:val="none" w:sz="0" w:space="0" w:color="auto"/>
        <w:right w:val="none" w:sz="0" w:space="0" w:color="auto"/>
      </w:divBdr>
    </w:div>
    <w:div w:id="1987470983">
      <w:bodyDiv w:val="1"/>
      <w:marLeft w:val="0"/>
      <w:marRight w:val="0"/>
      <w:marTop w:val="0"/>
      <w:marBottom w:val="0"/>
      <w:divBdr>
        <w:top w:val="none" w:sz="0" w:space="0" w:color="auto"/>
        <w:left w:val="none" w:sz="0" w:space="0" w:color="auto"/>
        <w:bottom w:val="none" w:sz="0" w:space="0" w:color="auto"/>
        <w:right w:val="none" w:sz="0" w:space="0" w:color="auto"/>
      </w:divBdr>
    </w:div>
    <w:div w:id="2047752169">
      <w:bodyDiv w:val="1"/>
      <w:marLeft w:val="0"/>
      <w:marRight w:val="0"/>
      <w:marTop w:val="0"/>
      <w:marBottom w:val="0"/>
      <w:divBdr>
        <w:top w:val="none" w:sz="0" w:space="0" w:color="auto"/>
        <w:left w:val="none" w:sz="0" w:space="0" w:color="auto"/>
        <w:bottom w:val="none" w:sz="0" w:space="0" w:color="auto"/>
        <w:right w:val="none" w:sz="0" w:space="0" w:color="auto"/>
      </w:divBdr>
    </w:div>
    <w:div w:id="2072657392">
      <w:bodyDiv w:val="1"/>
      <w:marLeft w:val="0"/>
      <w:marRight w:val="0"/>
      <w:marTop w:val="0"/>
      <w:marBottom w:val="0"/>
      <w:divBdr>
        <w:top w:val="none" w:sz="0" w:space="0" w:color="auto"/>
        <w:left w:val="none" w:sz="0" w:space="0" w:color="auto"/>
        <w:bottom w:val="none" w:sz="0" w:space="0" w:color="auto"/>
        <w:right w:val="none" w:sz="0" w:space="0" w:color="auto"/>
      </w:divBdr>
    </w:div>
    <w:div w:id="2085176822">
      <w:bodyDiv w:val="1"/>
      <w:marLeft w:val="0"/>
      <w:marRight w:val="0"/>
      <w:marTop w:val="0"/>
      <w:marBottom w:val="0"/>
      <w:divBdr>
        <w:top w:val="none" w:sz="0" w:space="0" w:color="auto"/>
        <w:left w:val="none" w:sz="0" w:space="0" w:color="auto"/>
        <w:bottom w:val="none" w:sz="0" w:space="0" w:color="auto"/>
        <w:right w:val="none" w:sz="0" w:space="0" w:color="auto"/>
      </w:divBdr>
    </w:div>
    <w:div w:id="2126921005">
      <w:bodyDiv w:val="1"/>
      <w:marLeft w:val="0"/>
      <w:marRight w:val="0"/>
      <w:marTop w:val="0"/>
      <w:marBottom w:val="0"/>
      <w:divBdr>
        <w:top w:val="none" w:sz="0" w:space="0" w:color="auto"/>
        <w:left w:val="none" w:sz="0" w:space="0" w:color="auto"/>
        <w:bottom w:val="none" w:sz="0" w:space="0" w:color="auto"/>
        <w:right w:val="none" w:sz="0" w:space="0" w:color="auto"/>
      </w:divBdr>
    </w:div>
    <w:div w:id="214056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hyperlink" Target="https://www.inegi.org.mx/programas/itaee/2018/" TargetMode="External"/><Relationship Id="rId39" Type="http://schemas.openxmlformats.org/officeDocument/2006/relationships/theme" Target="theme/theme1.xml"/><Relationship Id="rId21" Type="http://schemas.openxmlformats.org/officeDocument/2006/relationships/chart" Target="charts/chart11.xml"/><Relationship Id="rId34"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33" Type="http://schemas.openxmlformats.org/officeDocument/2006/relationships/hyperlink" Target="https://www.youtube.com/user/INEGIInforma"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hyperlink" Target="https://www.instagram.com/inegi_inform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chart" Target="charts/chart14.xml"/><Relationship Id="rId32" Type="http://schemas.openxmlformats.org/officeDocument/2006/relationships/image" Target="media/image3.png"/><Relationship Id="rId37"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image" Target="media/image1.png"/><Relationship Id="rId36"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chart" Target="charts/chart9.xml"/><Relationship Id="rId31" Type="http://schemas.openxmlformats.org/officeDocument/2006/relationships/hyperlink" Target="https://twitter.com/INEGI_INFORM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hyperlink" Target="https://www.facebook.com/INEGIInforma/" TargetMode="External"/><Relationship Id="rId30" Type="http://schemas.openxmlformats.org/officeDocument/2006/relationships/image" Target="media/image2.png"/><Relationship Id="rId35" Type="http://schemas.openxmlformats.org/officeDocument/2006/relationships/hyperlink" Target="http://www.inegi.org.mx/"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png"/><Relationship Id="rId1" Type="http://schemas.openxmlformats.org/officeDocument/2006/relationships/image" Target="media/image6.jpeg"/><Relationship Id="rId4"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ctorm.chavez\Documents\Plantillas%20personalizadas%20de%20Office\Plantilla%20oficial%20Bolet&#237;n-Prensa.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file:///D:\Documents\02%20Boletines\Boletines%202026-II\Gr&#225;ficas_boletines_2026-II.xlsx" TargetMode="External"/><Relationship Id="rId2" Type="http://schemas.microsoft.com/office/2011/relationships/chartColorStyle" Target="colors1.xml"/><Relationship Id="rId1" Type="http://schemas.microsoft.com/office/2011/relationships/chartStyle" Target="style1.xml"/></Relationships>
</file>

<file path=word/charts/_rels/chart8.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file:///D:\Documents\02%20Boletines\Boletines%202026-II\Gr&#225;ficas_boletines_2026-II.xlsx" TargetMode="External"/><Relationship Id="rId2" Type="http://schemas.microsoft.com/office/2011/relationships/chartColorStyle" Target="colors2.xml"/><Relationship Id="rId1" Type="http://schemas.microsoft.com/office/2011/relationships/chartStyle" Target="style2.xml"/></Relationships>
</file>

<file path=word/charts/_rels/chart10.xml.rels><?xml version="1.0" encoding="UTF-8" standalone="yes"?>
<Relationships xmlns="http://schemas.openxmlformats.org/package/2006/relationships"><Relationship Id="rId3" Type="http://schemas.openxmlformats.org/officeDocument/2006/relationships/oleObject" Target="file:///D:\Documents\02%20Boletines\Boletines%202026-II\Gr&#225;ficas_boletines_2026-II.xlsx" TargetMode="External"/><Relationship Id="rId2" Type="http://schemas.microsoft.com/office/2011/relationships/chartColorStyle" Target="colors3.xml"/><Relationship Id="rId1" Type="http://schemas.microsoft.com/office/2011/relationships/chartStyle" Target="style3.xml"/></Relationships>
</file>

<file path=word/charts/_rels/chart11.xml.rels><?xml version="1.0" encoding="UTF-8" standalone="yes"?>
<Relationships xmlns="http://schemas.openxmlformats.org/package/2006/relationships"><Relationship Id="rId3" Type="http://schemas.openxmlformats.org/officeDocument/2006/relationships/oleObject" Target="file:///D:\Documents\02%20Boletines\Boletines%202026-II\Gr&#225;ficas_boletines_2026-II.xlsx" TargetMode="External"/><Relationship Id="rId2" Type="http://schemas.microsoft.com/office/2011/relationships/chartColorStyle" Target="colors4.xml"/><Relationship Id="rId1" Type="http://schemas.microsoft.com/office/2011/relationships/chartStyle" Target="style4.xml"/></Relationships>
</file>

<file path=word/charts/_rels/chart12.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Documents\02%20Boletines\Boletines%202026-II\Gr&#225;ficas_boletines_2026-I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336D80"/>
            </a:solidFill>
            <a:effectLst/>
          </c:spPr>
          <c:invertIfNegative val="0"/>
          <c:dPt>
            <c:idx val="0"/>
            <c:invertIfNegative val="0"/>
            <c:bubble3D val="0"/>
            <c:spPr>
              <a:solidFill>
                <a:srgbClr val="08989C"/>
              </a:solidFill>
              <a:effectLst/>
            </c:spPr>
            <c:extLst>
              <c:ext xmlns:c16="http://schemas.microsoft.com/office/drawing/2014/chart" uri="{C3380CC4-5D6E-409C-BE32-E72D297353CC}">
                <c16:uniqueId val="{00000001-B7BE-4AD2-8042-DDE53BBC0E22}"/>
              </c:ext>
            </c:extLst>
          </c:dPt>
          <c:dPt>
            <c:idx val="1"/>
            <c:invertIfNegative val="0"/>
            <c:bubble3D val="0"/>
            <c:spPr>
              <a:solidFill>
                <a:srgbClr val="08989C"/>
              </a:solidFill>
              <a:effectLst/>
            </c:spPr>
            <c:extLst>
              <c:ext xmlns:c16="http://schemas.microsoft.com/office/drawing/2014/chart" uri="{C3380CC4-5D6E-409C-BE32-E72D297353CC}">
                <c16:uniqueId val="{00000003-B7BE-4AD2-8042-DDE53BBC0E22}"/>
              </c:ext>
            </c:extLst>
          </c:dPt>
          <c:dPt>
            <c:idx val="2"/>
            <c:invertIfNegative val="0"/>
            <c:bubble3D val="0"/>
            <c:spPr>
              <a:solidFill>
                <a:srgbClr val="08989C"/>
              </a:solidFill>
              <a:effectLst/>
            </c:spPr>
            <c:extLst>
              <c:ext xmlns:c16="http://schemas.microsoft.com/office/drawing/2014/chart" uri="{C3380CC4-5D6E-409C-BE32-E72D297353CC}">
                <c16:uniqueId val="{00000005-B7BE-4AD2-8042-DDE53BBC0E22}"/>
              </c:ext>
            </c:extLst>
          </c:dPt>
          <c:dPt>
            <c:idx val="3"/>
            <c:invertIfNegative val="0"/>
            <c:bubble3D val="0"/>
            <c:spPr>
              <a:solidFill>
                <a:srgbClr val="C0C0C0"/>
              </a:solidFill>
              <a:effectLst/>
            </c:spPr>
            <c:extLst>
              <c:ext xmlns:c16="http://schemas.microsoft.com/office/drawing/2014/chart" uri="{C3380CC4-5D6E-409C-BE32-E72D297353CC}">
                <c16:uniqueId val="{00000007-B7BE-4AD2-8042-DDE53BBC0E22}"/>
              </c:ext>
            </c:extLst>
          </c:dPt>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'G1'!$D$17:$G$17</c:f>
              <c:strCache>
                <c:ptCount val="4"/>
                <c:pt idx="0">
                  <c:v>Terciarias</c:v>
                </c:pt>
                <c:pt idx="1">
                  <c:v>Secundarias</c:v>
                </c:pt>
                <c:pt idx="2">
                  <c:v>Primarias</c:v>
                </c:pt>
                <c:pt idx="3">
                  <c:v>Total</c:v>
                </c:pt>
              </c:strCache>
            </c:strRef>
          </c:cat>
          <c:val>
            <c:numRef>
              <c:f>'G1'!$D$18:$G$18</c:f>
              <c:numCache>
                <c:formatCode>0.0</c:formatCode>
                <c:ptCount val="4"/>
                <c:pt idx="0">
                  <c:v>2.5715955711190759</c:v>
                </c:pt>
                <c:pt idx="1">
                  <c:v>0.49102868299233648</c:v>
                </c:pt>
                <c:pt idx="2">
                  <c:v>-10.763674769156125</c:v>
                </c:pt>
                <c:pt idx="3">
                  <c:v>2.3727990415225406</c:v>
                </c:pt>
              </c:numCache>
            </c:numRef>
          </c:val>
          <c:extLst>
            <c:ext xmlns:c16="http://schemas.microsoft.com/office/drawing/2014/chart" uri="{C3380CC4-5D6E-409C-BE32-E72D297353CC}">
              <c16:uniqueId val="{00000008-B7BE-4AD2-8042-DDE53BBC0E22}"/>
            </c:ext>
          </c:extLst>
        </c:ser>
        <c:dLbls>
          <c:showLegendKey val="0"/>
          <c:showVal val="0"/>
          <c:showCatName val="0"/>
          <c:showSerName val="0"/>
          <c:showPercent val="0"/>
          <c:showBubbleSize val="0"/>
        </c:dLbls>
        <c:gapWidth val="45"/>
        <c:overlap val="100"/>
        <c:axId val="-1180146208"/>
        <c:axId val="-1180148928"/>
      </c:barChart>
      <c:catAx>
        <c:axId val="-1180146208"/>
        <c:scaling>
          <c:orientation val="minMax"/>
        </c:scaling>
        <c:delete val="0"/>
        <c:axPos val="l"/>
        <c:numFmt formatCode="General" sourceLinked="0"/>
        <c:majorTickMark val="none"/>
        <c:minorTickMark val="none"/>
        <c:tickLblPos val="low"/>
        <c:spPr>
          <a:noFill/>
          <a:ln w="19050">
            <a:solidFill>
              <a:srgbClr val="B72F05"/>
            </a:solidFill>
          </a:ln>
        </c:spPr>
        <c:crossAx val="-1180148928"/>
        <c:crosses val="autoZero"/>
        <c:auto val="1"/>
        <c:lblAlgn val="ctr"/>
        <c:lblOffset val="100"/>
        <c:noMultiLvlLbl val="0"/>
      </c:catAx>
      <c:valAx>
        <c:axId val="-1180148928"/>
        <c:scaling>
          <c:orientation val="minMax"/>
        </c:scaling>
        <c:delete val="0"/>
        <c:axPos val="b"/>
        <c:numFmt formatCode="0" sourceLinked="0"/>
        <c:majorTickMark val="out"/>
        <c:minorTickMark val="none"/>
        <c:tickLblPos val="nextTo"/>
        <c:crossAx val="-1180146208"/>
        <c:crosses val="autoZero"/>
        <c:crossBetween val="between"/>
      </c:valAx>
      <c:spPr>
        <a:noFill/>
        <a:ln>
          <a:noFill/>
        </a:ln>
      </c:spPr>
    </c:plotArea>
    <c:plotVisOnly val="1"/>
    <c:dispBlanksAs val="gap"/>
    <c:showDLblsOverMax val="0"/>
  </c:chart>
  <c:spPr>
    <a:ln>
      <a:noFill/>
    </a:ln>
  </c:spPr>
  <c:txPr>
    <a:bodyPr/>
    <a:lstStyle/>
    <a:p>
      <a:pPr>
        <a:defRPr sz="900">
          <a:solidFill>
            <a:srgbClr val="4D565E"/>
          </a:solidFill>
          <a:latin typeface="Arial" panose="020B0604020202020204" pitchFamily="34" charset="0"/>
          <a:cs typeface="Arial" panose="020B0604020202020204" pitchFamily="34" charset="0"/>
        </a:defRPr>
      </a:pPr>
      <a:endParaRPr lang="es-MX"/>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barChart>
        <c:barDir val="bar"/>
        <c:grouping val="clustered"/>
        <c:varyColors val="0"/>
        <c:ser>
          <c:idx val="0"/>
          <c:order val="0"/>
          <c:spPr>
            <a:solidFill>
              <a:srgbClr val="08989C"/>
            </a:solidFill>
            <a:effectLst/>
            <a:scene3d>
              <a:camera prst="orthographicFront"/>
              <a:lightRig rig="threePt" dir="t">
                <a:rot lat="0" lon="0" rev="1200000"/>
              </a:lightRig>
            </a:scene3d>
            <a:sp3d/>
          </c:spPr>
          <c:invertIfNegative val="0"/>
          <c:dPt>
            <c:idx val="0"/>
            <c:invertIfNegative val="0"/>
            <c:bubble3D val="0"/>
            <c:extLst>
              <c:ext xmlns:c16="http://schemas.microsoft.com/office/drawing/2014/chart" uri="{C3380CC4-5D6E-409C-BE32-E72D297353CC}">
                <c16:uniqueId val="{00000000-7682-4E98-81D4-D5C6FB48A900}"/>
              </c:ext>
            </c:extLst>
          </c:dPt>
          <c:dPt>
            <c:idx val="1"/>
            <c:invertIfNegative val="0"/>
            <c:bubble3D val="0"/>
            <c:extLst>
              <c:ext xmlns:c16="http://schemas.microsoft.com/office/drawing/2014/chart" uri="{C3380CC4-5D6E-409C-BE32-E72D297353CC}">
                <c16:uniqueId val="{00000001-7682-4E98-81D4-D5C6FB48A900}"/>
              </c:ext>
            </c:extLst>
          </c:dPt>
          <c:dPt>
            <c:idx val="2"/>
            <c:invertIfNegative val="0"/>
            <c:bubble3D val="0"/>
            <c:extLst>
              <c:ext xmlns:c16="http://schemas.microsoft.com/office/drawing/2014/chart" uri="{C3380CC4-5D6E-409C-BE32-E72D297353CC}">
                <c16:uniqueId val="{00000002-7682-4E98-81D4-D5C6FB48A900}"/>
              </c:ext>
            </c:extLst>
          </c:dPt>
          <c:dPt>
            <c:idx val="3"/>
            <c:invertIfNegative val="0"/>
            <c:bubble3D val="0"/>
            <c:extLst>
              <c:ext xmlns:c16="http://schemas.microsoft.com/office/drawing/2014/chart" uri="{C3380CC4-5D6E-409C-BE32-E72D297353CC}">
                <c16:uniqueId val="{00000003-7682-4E98-81D4-D5C6FB48A900}"/>
              </c:ext>
            </c:extLst>
          </c:dPt>
          <c:dPt>
            <c:idx val="4"/>
            <c:invertIfNegative val="0"/>
            <c:bubble3D val="0"/>
            <c:extLst>
              <c:ext xmlns:c16="http://schemas.microsoft.com/office/drawing/2014/chart" uri="{C3380CC4-5D6E-409C-BE32-E72D297353CC}">
                <c16:uniqueId val="{00000004-7682-4E98-81D4-D5C6FB48A900}"/>
              </c:ext>
            </c:extLst>
          </c:dPt>
          <c:dPt>
            <c:idx val="5"/>
            <c:invertIfNegative val="0"/>
            <c:bubble3D val="0"/>
            <c:extLst>
              <c:ext xmlns:c16="http://schemas.microsoft.com/office/drawing/2014/chart" uri="{C3380CC4-5D6E-409C-BE32-E72D297353CC}">
                <c16:uniqueId val="{00000005-7682-4E98-81D4-D5C6FB48A900}"/>
              </c:ext>
            </c:extLst>
          </c:dPt>
          <c:dPt>
            <c:idx val="6"/>
            <c:invertIfNegative val="0"/>
            <c:bubble3D val="0"/>
            <c:extLst>
              <c:ext xmlns:c16="http://schemas.microsoft.com/office/drawing/2014/chart" uri="{C3380CC4-5D6E-409C-BE32-E72D297353CC}">
                <c16:uniqueId val="{00000006-7682-4E98-81D4-D5C6FB48A900}"/>
              </c:ext>
            </c:extLst>
          </c:dPt>
          <c:dPt>
            <c:idx val="7"/>
            <c:invertIfNegative val="0"/>
            <c:bubble3D val="0"/>
            <c:extLst>
              <c:ext xmlns:c16="http://schemas.microsoft.com/office/drawing/2014/chart" uri="{C3380CC4-5D6E-409C-BE32-E72D297353CC}">
                <c16:uniqueId val="{00000007-7682-4E98-81D4-D5C6FB48A900}"/>
              </c:ext>
            </c:extLst>
          </c:dPt>
          <c:dPt>
            <c:idx val="8"/>
            <c:invertIfNegative val="0"/>
            <c:bubble3D val="0"/>
            <c:extLst>
              <c:ext xmlns:c16="http://schemas.microsoft.com/office/drawing/2014/chart" uri="{C3380CC4-5D6E-409C-BE32-E72D297353CC}">
                <c16:uniqueId val="{00000008-7682-4E98-81D4-D5C6FB48A900}"/>
              </c:ext>
            </c:extLst>
          </c:dPt>
          <c:dPt>
            <c:idx val="9"/>
            <c:invertIfNegative val="0"/>
            <c:bubble3D val="0"/>
            <c:extLst>
              <c:ext xmlns:c16="http://schemas.microsoft.com/office/drawing/2014/chart" uri="{C3380CC4-5D6E-409C-BE32-E72D297353CC}">
                <c16:uniqueId val="{00000009-7682-4E98-81D4-D5C6FB48A900}"/>
              </c:ext>
            </c:extLst>
          </c:dPt>
          <c:dPt>
            <c:idx val="10"/>
            <c:invertIfNegative val="0"/>
            <c:bubble3D val="0"/>
            <c:extLst>
              <c:ext xmlns:c16="http://schemas.microsoft.com/office/drawing/2014/chart" uri="{C3380CC4-5D6E-409C-BE32-E72D297353CC}">
                <c16:uniqueId val="{0000000A-7682-4E98-81D4-D5C6FB48A900}"/>
              </c:ext>
            </c:extLst>
          </c:dPt>
          <c:dPt>
            <c:idx val="11"/>
            <c:invertIfNegative val="0"/>
            <c:bubble3D val="0"/>
            <c:extLst>
              <c:ext xmlns:c16="http://schemas.microsoft.com/office/drawing/2014/chart" uri="{C3380CC4-5D6E-409C-BE32-E72D297353CC}">
                <c16:uniqueId val="{0000000B-7682-4E98-81D4-D5C6FB48A900}"/>
              </c:ext>
            </c:extLst>
          </c:dPt>
          <c:dPt>
            <c:idx val="12"/>
            <c:invertIfNegative val="0"/>
            <c:bubble3D val="0"/>
            <c:extLst>
              <c:ext xmlns:c16="http://schemas.microsoft.com/office/drawing/2014/chart" uri="{C3380CC4-5D6E-409C-BE32-E72D297353CC}">
                <c16:uniqueId val="{0000000C-7682-4E98-81D4-D5C6FB48A900}"/>
              </c:ext>
            </c:extLst>
          </c:dPt>
          <c:dPt>
            <c:idx val="13"/>
            <c:invertIfNegative val="0"/>
            <c:bubble3D val="0"/>
            <c:extLst>
              <c:ext xmlns:c16="http://schemas.microsoft.com/office/drawing/2014/chart" uri="{C3380CC4-5D6E-409C-BE32-E72D297353CC}">
                <c16:uniqueId val="{0000000D-7682-4E98-81D4-D5C6FB48A900}"/>
              </c:ext>
            </c:extLst>
          </c:dPt>
          <c:dPt>
            <c:idx val="14"/>
            <c:invertIfNegative val="0"/>
            <c:bubble3D val="0"/>
            <c:extLst>
              <c:ext xmlns:c16="http://schemas.microsoft.com/office/drawing/2014/chart" uri="{C3380CC4-5D6E-409C-BE32-E72D297353CC}">
                <c16:uniqueId val="{0000000E-7682-4E98-81D4-D5C6FB48A900}"/>
              </c:ext>
            </c:extLst>
          </c:dPt>
          <c:dPt>
            <c:idx val="15"/>
            <c:invertIfNegative val="0"/>
            <c:bubble3D val="0"/>
            <c:extLst>
              <c:ext xmlns:c16="http://schemas.microsoft.com/office/drawing/2014/chart" uri="{C3380CC4-5D6E-409C-BE32-E72D297353CC}">
                <c16:uniqueId val="{0000000F-7682-4E98-81D4-D5C6FB48A900}"/>
              </c:ext>
            </c:extLst>
          </c:dPt>
          <c:dPt>
            <c:idx val="16"/>
            <c:invertIfNegative val="0"/>
            <c:bubble3D val="0"/>
            <c:extLst>
              <c:ext xmlns:c16="http://schemas.microsoft.com/office/drawing/2014/chart" uri="{C3380CC4-5D6E-409C-BE32-E72D297353CC}">
                <c16:uniqueId val="{00000010-7682-4E98-81D4-D5C6FB48A900}"/>
              </c:ext>
            </c:extLst>
          </c:dPt>
          <c:dPt>
            <c:idx val="17"/>
            <c:invertIfNegative val="0"/>
            <c:bubble3D val="0"/>
            <c:extLst>
              <c:ext xmlns:c16="http://schemas.microsoft.com/office/drawing/2014/chart" uri="{C3380CC4-5D6E-409C-BE32-E72D297353CC}">
                <c16:uniqueId val="{00000011-7682-4E98-81D4-D5C6FB48A900}"/>
              </c:ext>
            </c:extLst>
          </c:dPt>
          <c:dPt>
            <c:idx val="18"/>
            <c:invertIfNegative val="0"/>
            <c:bubble3D val="0"/>
            <c:extLst>
              <c:ext xmlns:c16="http://schemas.microsoft.com/office/drawing/2014/chart" uri="{C3380CC4-5D6E-409C-BE32-E72D297353CC}">
                <c16:uniqueId val="{00000012-7682-4E98-81D4-D5C6FB48A900}"/>
              </c:ext>
            </c:extLst>
          </c:dPt>
          <c:dPt>
            <c:idx val="19"/>
            <c:invertIfNegative val="0"/>
            <c:bubble3D val="0"/>
            <c:extLst>
              <c:ext xmlns:c16="http://schemas.microsoft.com/office/drawing/2014/chart" uri="{C3380CC4-5D6E-409C-BE32-E72D297353CC}">
                <c16:uniqueId val="{00000013-7682-4E98-81D4-D5C6FB48A900}"/>
              </c:ext>
            </c:extLst>
          </c:dPt>
          <c:dPt>
            <c:idx val="20"/>
            <c:invertIfNegative val="0"/>
            <c:bubble3D val="0"/>
            <c:extLst>
              <c:ext xmlns:c16="http://schemas.microsoft.com/office/drawing/2014/chart" uri="{C3380CC4-5D6E-409C-BE32-E72D297353CC}">
                <c16:uniqueId val="{00000014-7682-4E98-81D4-D5C6FB48A900}"/>
              </c:ext>
            </c:extLst>
          </c:dPt>
          <c:dPt>
            <c:idx val="21"/>
            <c:invertIfNegative val="0"/>
            <c:bubble3D val="0"/>
            <c:extLst>
              <c:ext xmlns:c16="http://schemas.microsoft.com/office/drawing/2014/chart" uri="{C3380CC4-5D6E-409C-BE32-E72D297353CC}">
                <c16:uniqueId val="{00000015-7682-4E98-81D4-D5C6FB48A900}"/>
              </c:ext>
            </c:extLst>
          </c:dPt>
          <c:dPt>
            <c:idx val="22"/>
            <c:invertIfNegative val="0"/>
            <c:bubble3D val="0"/>
            <c:extLst>
              <c:ext xmlns:c16="http://schemas.microsoft.com/office/drawing/2014/chart" uri="{C3380CC4-5D6E-409C-BE32-E72D297353CC}">
                <c16:uniqueId val="{00000016-7682-4E98-81D4-D5C6FB48A900}"/>
              </c:ext>
            </c:extLst>
          </c:dPt>
          <c:dPt>
            <c:idx val="23"/>
            <c:invertIfNegative val="0"/>
            <c:bubble3D val="0"/>
            <c:extLst>
              <c:ext xmlns:c16="http://schemas.microsoft.com/office/drawing/2014/chart" uri="{C3380CC4-5D6E-409C-BE32-E72D297353CC}">
                <c16:uniqueId val="{00000017-7682-4E98-81D4-D5C6FB48A900}"/>
              </c:ext>
            </c:extLst>
          </c:dPt>
          <c:dPt>
            <c:idx val="24"/>
            <c:invertIfNegative val="0"/>
            <c:bubble3D val="0"/>
            <c:extLst>
              <c:ext xmlns:c16="http://schemas.microsoft.com/office/drawing/2014/chart" uri="{C3380CC4-5D6E-409C-BE32-E72D297353CC}">
                <c16:uniqueId val="{00000018-7682-4E98-81D4-D5C6FB48A900}"/>
              </c:ext>
            </c:extLst>
          </c:dPt>
          <c:dPt>
            <c:idx val="25"/>
            <c:invertIfNegative val="0"/>
            <c:bubble3D val="0"/>
            <c:extLst>
              <c:ext xmlns:c16="http://schemas.microsoft.com/office/drawing/2014/chart" uri="{C3380CC4-5D6E-409C-BE32-E72D297353CC}">
                <c16:uniqueId val="{00000019-7682-4E98-81D4-D5C6FB48A900}"/>
              </c:ext>
            </c:extLst>
          </c:dPt>
          <c:dPt>
            <c:idx val="26"/>
            <c:invertIfNegative val="0"/>
            <c:bubble3D val="0"/>
            <c:extLst>
              <c:ext xmlns:c16="http://schemas.microsoft.com/office/drawing/2014/chart" uri="{C3380CC4-5D6E-409C-BE32-E72D297353CC}">
                <c16:uniqueId val="{0000001A-7682-4E98-81D4-D5C6FB48A900}"/>
              </c:ext>
            </c:extLst>
          </c:dPt>
          <c:dPt>
            <c:idx val="27"/>
            <c:invertIfNegative val="0"/>
            <c:bubble3D val="0"/>
            <c:extLst>
              <c:ext xmlns:c16="http://schemas.microsoft.com/office/drawing/2014/chart" uri="{C3380CC4-5D6E-409C-BE32-E72D297353CC}">
                <c16:uniqueId val="{0000001B-7682-4E98-81D4-D5C6FB48A900}"/>
              </c:ext>
            </c:extLst>
          </c:dPt>
          <c:dPt>
            <c:idx val="28"/>
            <c:invertIfNegative val="0"/>
            <c:bubble3D val="0"/>
            <c:extLst>
              <c:ext xmlns:c16="http://schemas.microsoft.com/office/drawing/2014/chart" uri="{C3380CC4-5D6E-409C-BE32-E72D297353CC}">
                <c16:uniqueId val="{0000001C-7682-4E98-81D4-D5C6FB48A900}"/>
              </c:ext>
            </c:extLst>
          </c:dPt>
          <c:dPt>
            <c:idx val="29"/>
            <c:invertIfNegative val="0"/>
            <c:bubble3D val="0"/>
            <c:extLst>
              <c:ext xmlns:c16="http://schemas.microsoft.com/office/drawing/2014/chart" uri="{C3380CC4-5D6E-409C-BE32-E72D297353CC}">
                <c16:uniqueId val="{0000001D-7682-4E98-81D4-D5C6FB48A900}"/>
              </c:ext>
            </c:extLst>
          </c:dPt>
          <c:dPt>
            <c:idx val="30"/>
            <c:invertIfNegative val="0"/>
            <c:bubble3D val="0"/>
            <c:extLst>
              <c:ext xmlns:c16="http://schemas.microsoft.com/office/drawing/2014/chart" uri="{C3380CC4-5D6E-409C-BE32-E72D297353CC}">
                <c16:uniqueId val="{0000001E-7682-4E98-81D4-D5C6FB48A900}"/>
              </c:ext>
            </c:extLst>
          </c:dPt>
          <c:dPt>
            <c:idx val="31"/>
            <c:invertIfNegative val="0"/>
            <c:bubble3D val="0"/>
            <c:extLst>
              <c:ext xmlns:c16="http://schemas.microsoft.com/office/drawing/2014/chart" uri="{C3380CC4-5D6E-409C-BE32-E72D297353CC}">
                <c16:uniqueId val="{0000001F-7682-4E98-81D4-D5C6FB48A900}"/>
              </c:ext>
            </c:extLst>
          </c:dPt>
          <c:dPt>
            <c:idx val="32"/>
            <c:invertIfNegative val="0"/>
            <c:bubble3D val="0"/>
            <c:extLst>
              <c:ext xmlns:c16="http://schemas.microsoft.com/office/drawing/2014/chart" uri="{C3380CC4-5D6E-409C-BE32-E72D297353CC}">
                <c16:uniqueId val="{00000020-7682-4E98-81D4-D5C6FB48A900}"/>
              </c:ext>
            </c:extLst>
          </c:dPt>
          <c:dLbls>
            <c:spPr>
              <a:noFill/>
              <a:ln>
                <a:noFill/>
              </a:ln>
              <a:effectLst/>
            </c:spPr>
            <c:txPr>
              <a:bodyPr wrap="square" lIns="38100" tIns="19050" rIns="38100" bIns="19050" anchor="ctr">
                <a:spAutoFit/>
              </a:bodyPr>
              <a:lstStyle/>
              <a:p>
                <a:pPr>
                  <a:defRPr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'G2 prim'!$B$4:$B$36</c:f>
              <c:strCache>
                <c:ptCount val="33"/>
                <c:pt idx="0">
                  <c:v>Morelos</c:v>
                </c:pt>
                <c:pt idx="1">
                  <c:v>Nayarit</c:v>
                </c:pt>
                <c:pt idx="2">
                  <c:v>Quintana Roo</c:v>
                </c:pt>
                <c:pt idx="3">
                  <c:v>Aguascalientes</c:v>
                </c:pt>
                <c:pt idx="4">
                  <c:v>Ciudad de México</c:v>
                </c:pt>
                <c:pt idx="5">
                  <c:v>Colima</c:v>
                </c:pt>
                <c:pt idx="6">
                  <c:v>Guanajuato</c:v>
                </c:pt>
                <c:pt idx="7">
                  <c:v>Michoacán de Ocampo</c:v>
                </c:pt>
                <c:pt idx="8">
                  <c:v>Oaxaca</c:v>
                </c:pt>
                <c:pt idx="9">
                  <c:v>Puebla</c:v>
                </c:pt>
                <c:pt idx="10">
                  <c:v>Baja California</c:v>
                </c:pt>
                <c:pt idx="11">
                  <c:v>Guerrero</c:v>
                </c:pt>
                <c:pt idx="12">
                  <c:v>Yucatán</c:v>
                </c:pt>
                <c:pt idx="13">
                  <c:v>Tabasco</c:v>
                </c:pt>
                <c:pt idx="14">
                  <c:v>Durango</c:v>
                </c:pt>
                <c:pt idx="15">
                  <c:v>Chiapas</c:v>
                </c:pt>
                <c:pt idx="16">
                  <c:v>Nuevo León</c:v>
                </c:pt>
                <c:pt idx="17">
                  <c:v>México</c:v>
                </c:pt>
                <c:pt idx="18">
                  <c:v>Estados Unidos Mexicanos</c:v>
                </c:pt>
                <c:pt idx="19">
                  <c:v>Querétaro</c:v>
                </c:pt>
                <c:pt idx="20">
                  <c:v>Hidalgo</c:v>
                </c:pt>
                <c:pt idx="21">
                  <c:v>Sonora</c:v>
                </c:pt>
                <c:pt idx="22">
                  <c:v>Coahuila de Zaragoza</c:v>
                </c:pt>
                <c:pt idx="23">
                  <c:v>Chihuahua</c:v>
                </c:pt>
                <c:pt idx="24">
                  <c:v>Tlaxcala</c:v>
                </c:pt>
                <c:pt idx="25">
                  <c:v>Veracruz de Ignacio de la Llave</c:v>
                </c:pt>
                <c:pt idx="26">
                  <c:v>San Luis Potosí</c:v>
                </c:pt>
                <c:pt idx="27">
                  <c:v>Zacatecas</c:v>
                </c:pt>
                <c:pt idx="28">
                  <c:v>Jalisco</c:v>
                </c:pt>
                <c:pt idx="29">
                  <c:v>Tamaulipas</c:v>
                </c:pt>
                <c:pt idx="30">
                  <c:v>Sinaloa</c:v>
                </c:pt>
                <c:pt idx="31">
                  <c:v>Campeche</c:v>
                </c:pt>
                <c:pt idx="32">
                  <c:v>Baja California Sur</c:v>
                </c:pt>
              </c:strCache>
            </c:strRef>
          </c:cat>
          <c:val>
            <c:numRef>
              <c:f>'G2 prim'!$F$4:$F$36</c:f>
              <c:numCache>
                <c:formatCode>0.0;\-0.0;;\ @</c:formatCode>
                <c:ptCount val="33"/>
                <c:pt idx="0">
                  <c:v>-38.627608625558885</c:v>
                </c:pt>
                <c:pt idx="1">
                  <c:v>-33.86356919799826</c:v>
                </c:pt>
                <c:pt idx="2">
                  <c:v>-12.973743114878474</c:v>
                </c:pt>
                <c:pt idx="3">
                  <c:v>-12.967509311664259</c:v>
                </c:pt>
                <c:pt idx="4">
                  <c:v>0</c:v>
                </c:pt>
                <c:pt idx="5">
                  <c:v>-8.148867094999062</c:v>
                </c:pt>
                <c:pt idx="6">
                  <c:v>-7.6571799386430257</c:v>
                </c:pt>
                <c:pt idx="7">
                  <c:v>-5.3584445018718867</c:v>
                </c:pt>
                <c:pt idx="8">
                  <c:v>-5.0974486229051905</c:v>
                </c:pt>
                <c:pt idx="9">
                  <c:v>-4.3253081062576229</c:v>
                </c:pt>
                <c:pt idx="10">
                  <c:v>-2.5754184617876064</c:v>
                </c:pt>
                <c:pt idx="11">
                  <c:v>-1.6432052879615213</c:v>
                </c:pt>
                <c:pt idx="12">
                  <c:v>-0.81417977299304312</c:v>
                </c:pt>
                <c:pt idx="13">
                  <c:v>-0.10051748163009222</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1-7682-4E98-81D4-D5C6FB48A900}"/>
            </c:ext>
          </c:extLst>
        </c:ser>
        <c:ser>
          <c:idx val="1"/>
          <c:order val="1"/>
          <c:spPr>
            <a:solidFill>
              <a:srgbClr val="08989C"/>
            </a:solidFill>
            <a:effectLst/>
            <a:scene3d>
              <a:camera prst="orthographicFront"/>
              <a:lightRig rig="threePt" dir="t">
                <a:rot lat="0" lon="0" rev="1200000"/>
              </a:lightRig>
            </a:scene3d>
            <a:sp3d/>
          </c:spPr>
          <c:invertIfNegative val="0"/>
          <c:dLbls>
            <c:spPr>
              <a:noFill/>
              <a:ln>
                <a:noFill/>
              </a:ln>
              <a:effectLst/>
            </c:spPr>
            <c:txPr>
              <a:bodyPr/>
              <a:lstStyle/>
              <a:p>
                <a:pPr>
                  <a:defRPr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'G2 prim'!$B$4:$B$36</c:f>
              <c:strCache>
                <c:ptCount val="33"/>
                <c:pt idx="0">
                  <c:v>Morelos</c:v>
                </c:pt>
                <c:pt idx="1">
                  <c:v>Nayarit</c:v>
                </c:pt>
                <c:pt idx="2">
                  <c:v>Quintana Roo</c:v>
                </c:pt>
                <c:pt idx="3">
                  <c:v>Aguascalientes</c:v>
                </c:pt>
                <c:pt idx="4">
                  <c:v>Ciudad de México</c:v>
                </c:pt>
                <c:pt idx="5">
                  <c:v>Colima</c:v>
                </c:pt>
                <c:pt idx="6">
                  <c:v>Guanajuato</c:v>
                </c:pt>
                <c:pt idx="7">
                  <c:v>Michoacán de Ocampo</c:v>
                </c:pt>
                <c:pt idx="8">
                  <c:v>Oaxaca</c:v>
                </c:pt>
                <c:pt idx="9">
                  <c:v>Puebla</c:v>
                </c:pt>
                <c:pt idx="10">
                  <c:v>Baja California</c:v>
                </c:pt>
                <c:pt idx="11">
                  <c:v>Guerrero</c:v>
                </c:pt>
                <c:pt idx="12">
                  <c:v>Yucatán</c:v>
                </c:pt>
                <c:pt idx="13">
                  <c:v>Tabasco</c:v>
                </c:pt>
                <c:pt idx="14">
                  <c:v>Durango</c:v>
                </c:pt>
                <c:pt idx="15">
                  <c:v>Chiapas</c:v>
                </c:pt>
                <c:pt idx="16">
                  <c:v>Nuevo León</c:v>
                </c:pt>
                <c:pt idx="17">
                  <c:v>México</c:v>
                </c:pt>
                <c:pt idx="18">
                  <c:v>Estados Unidos Mexicanos</c:v>
                </c:pt>
                <c:pt idx="19">
                  <c:v>Querétaro</c:v>
                </c:pt>
                <c:pt idx="20">
                  <c:v>Hidalgo</c:v>
                </c:pt>
                <c:pt idx="21">
                  <c:v>Sonora</c:v>
                </c:pt>
                <c:pt idx="22">
                  <c:v>Coahuila de Zaragoza</c:v>
                </c:pt>
                <c:pt idx="23">
                  <c:v>Chihuahua</c:v>
                </c:pt>
                <c:pt idx="24">
                  <c:v>Tlaxcala</c:v>
                </c:pt>
                <c:pt idx="25">
                  <c:v>Veracruz de Ignacio de la Llave</c:v>
                </c:pt>
                <c:pt idx="26">
                  <c:v>San Luis Potosí</c:v>
                </c:pt>
                <c:pt idx="27">
                  <c:v>Zacatecas</c:v>
                </c:pt>
                <c:pt idx="28">
                  <c:v>Jalisco</c:v>
                </c:pt>
                <c:pt idx="29">
                  <c:v>Tamaulipas</c:v>
                </c:pt>
                <c:pt idx="30">
                  <c:v>Sinaloa</c:v>
                </c:pt>
                <c:pt idx="31">
                  <c:v>Campeche</c:v>
                </c:pt>
                <c:pt idx="32">
                  <c:v>Baja California Sur</c:v>
                </c:pt>
              </c:strCache>
            </c:strRef>
          </c:cat>
          <c:val>
            <c:numRef>
              <c:f>'G2 prim'!$G$4:$G$36</c:f>
              <c:numCache>
                <c:formatCode>0.0;\-0.0;;\ @</c:formatCode>
                <c:ptCount val="3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2.1277204454742673</c:v>
                </c:pt>
                <c:pt idx="15">
                  <c:v>2.8442652334020693</c:v>
                </c:pt>
                <c:pt idx="16">
                  <c:v>3.5089268320428744</c:v>
                </c:pt>
                <c:pt idx="17">
                  <c:v>4.6056691071644735</c:v>
                </c:pt>
                <c:pt idx="18">
                  <c:v>0</c:v>
                </c:pt>
                <c:pt idx="19">
                  <c:v>7.6252807702422558</c:v>
                </c:pt>
                <c:pt idx="20">
                  <c:v>7.7677263677991704</c:v>
                </c:pt>
                <c:pt idx="21">
                  <c:v>7.8836229955746973</c:v>
                </c:pt>
                <c:pt idx="22">
                  <c:v>8.5434786246047878</c:v>
                </c:pt>
                <c:pt idx="23">
                  <c:v>11.324146375006521</c:v>
                </c:pt>
                <c:pt idx="24">
                  <c:v>11.364124625577048</c:v>
                </c:pt>
                <c:pt idx="25">
                  <c:v>12.708464627547471</c:v>
                </c:pt>
                <c:pt idx="26">
                  <c:v>13.316201774144517</c:v>
                </c:pt>
                <c:pt idx="27">
                  <c:v>17.339894419597087</c:v>
                </c:pt>
                <c:pt idx="28">
                  <c:v>19.306756666226434</c:v>
                </c:pt>
                <c:pt idx="29">
                  <c:v>19.843655817352811</c:v>
                </c:pt>
                <c:pt idx="30">
                  <c:v>23.54609141882365</c:v>
                </c:pt>
                <c:pt idx="31">
                  <c:v>55.319360590996837</c:v>
                </c:pt>
                <c:pt idx="32">
                  <c:v>86.871020692720123</c:v>
                </c:pt>
              </c:numCache>
            </c:numRef>
          </c:val>
          <c:extLst>
            <c:ext xmlns:c16="http://schemas.microsoft.com/office/drawing/2014/chart" uri="{C3380CC4-5D6E-409C-BE32-E72D297353CC}">
              <c16:uniqueId val="{00000022-7682-4E98-81D4-D5C6FB48A900}"/>
            </c:ext>
          </c:extLst>
        </c:ser>
        <c:ser>
          <c:idx val="2"/>
          <c:order val="2"/>
          <c:spPr>
            <a:solidFill>
              <a:srgbClr val="C0C0C0"/>
            </a:solidFill>
            <a:effectLst/>
            <a:scene3d>
              <a:camera prst="orthographicFront"/>
              <a:lightRig rig="threePt" dir="t">
                <a:rot lat="0" lon="0" rev="1200000"/>
              </a:lightRig>
            </a:scene3d>
            <a:sp3d/>
          </c:spPr>
          <c:invertIfNegative val="0"/>
          <c:dLbls>
            <c:spPr>
              <a:noFill/>
              <a:ln>
                <a:noFill/>
              </a:ln>
              <a:effectLst/>
            </c:spPr>
            <c:txPr>
              <a:bodyPr wrap="square" lIns="38100" tIns="19050" rIns="38100" bIns="19050" anchor="ctr">
                <a:spAutoFit/>
              </a:bodyPr>
              <a:lstStyle/>
              <a:p>
                <a:pPr>
                  <a:defRPr b="1">
                    <a:solidFill>
                      <a:srgbClr val="4D565E"/>
                    </a:solidFill>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'G2 prim'!$B$4:$B$36</c:f>
              <c:strCache>
                <c:ptCount val="33"/>
                <c:pt idx="0">
                  <c:v>Morelos</c:v>
                </c:pt>
                <c:pt idx="1">
                  <c:v>Nayarit</c:v>
                </c:pt>
                <c:pt idx="2">
                  <c:v>Quintana Roo</c:v>
                </c:pt>
                <c:pt idx="3">
                  <c:v>Aguascalientes</c:v>
                </c:pt>
                <c:pt idx="4">
                  <c:v>Ciudad de México</c:v>
                </c:pt>
                <c:pt idx="5">
                  <c:v>Colima</c:v>
                </c:pt>
                <c:pt idx="6">
                  <c:v>Guanajuato</c:v>
                </c:pt>
                <c:pt idx="7">
                  <c:v>Michoacán de Ocampo</c:v>
                </c:pt>
                <c:pt idx="8">
                  <c:v>Oaxaca</c:v>
                </c:pt>
                <c:pt idx="9">
                  <c:v>Puebla</c:v>
                </c:pt>
                <c:pt idx="10">
                  <c:v>Baja California</c:v>
                </c:pt>
                <c:pt idx="11">
                  <c:v>Guerrero</c:v>
                </c:pt>
                <c:pt idx="12">
                  <c:v>Yucatán</c:v>
                </c:pt>
                <c:pt idx="13">
                  <c:v>Tabasco</c:v>
                </c:pt>
                <c:pt idx="14">
                  <c:v>Durango</c:v>
                </c:pt>
                <c:pt idx="15">
                  <c:v>Chiapas</c:v>
                </c:pt>
                <c:pt idx="16">
                  <c:v>Nuevo León</c:v>
                </c:pt>
                <c:pt idx="17">
                  <c:v>México</c:v>
                </c:pt>
                <c:pt idx="18">
                  <c:v>Estados Unidos Mexicanos</c:v>
                </c:pt>
                <c:pt idx="19">
                  <c:v>Querétaro</c:v>
                </c:pt>
                <c:pt idx="20">
                  <c:v>Hidalgo</c:v>
                </c:pt>
                <c:pt idx="21">
                  <c:v>Sonora</c:v>
                </c:pt>
                <c:pt idx="22">
                  <c:v>Coahuila de Zaragoza</c:v>
                </c:pt>
                <c:pt idx="23">
                  <c:v>Chihuahua</c:v>
                </c:pt>
                <c:pt idx="24">
                  <c:v>Tlaxcala</c:v>
                </c:pt>
                <c:pt idx="25">
                  <c:v>Veracruz de Ignacio de la Llave</c:v>
                </c:pt>
                <c:pt idx="26">
                  <c:v>San Luis Potosí</c:v>
                </c:pt>
                <c:pt idx="27">
                  <c:v>Zacatecas</c:v>
                </c:pt>
                <c:pt idx="28">
                  <c:v>Jalisco</c:v>
                </c:pt>
                <c:pt idx="29">
                  <c:v>Tamaulipas</c:v>
                </c:pt>
                <c:pt idx="30">
                  <c:v>Sinaloa</c:v>
                </c:pt>
                <c:pt idx="31">
                  <c:v>Campeche</c:v>
                </c:pt>
                <c:pt idx="32">
                  <c:v>Baja California Sur</c:v>
                </c:pt>
              </c:strCache>
            </c:strRef>
          </c:cat>
          <c:val>
            <c:numRef>
              <c:f>'G2 prim'!$D$4:$D$36</c:f>
              <c:numCache>
                <c:formatCode>0.0;\-0.0;;\ @</c:formatCode>
                <c:ptCount val="3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4.8155801826365945</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3-7682-4E98-81D4-D5C6FB48A900}"/>
            </c:ext>
          </c:extLst>
        </c:ser>
        <c:ser>
          <c:idx val="3"/>
          <c:order val="3"/>
          <c:spPr>
            <a:solidFill>
              <a:srgbClr val="003057"/>
            </a:solidFill>
            <a:effectLst/>
            <a:scene3d>
              <a:camera prst="orthographicFront"/>
              <a:lightRig rig="threePt" dir="t">
                <a:rot lat="0" lon="0" rev="1200000"/>
              </a:lightRig>
            </a:scene3d>
            <a:sp3d/>
          </c:spPr>
          <c:invertIfNegative val="0"/>
          <c:dLbls>
            <c:spPr>
              <a:noFill/>
              <a:ln>
                <a:noFill/>
              </a:ln>
              <a:effectLst/>
            </c:spPr>
            <c:txPr>
              <a:bodyPr wrap="square" lIns="38100" tIns="19050" rIns="38100" bIns="19050" anchor="ctr">
                <a:spAutoFit/>
              </a:bodyPr>
              <a:lstStyle/>
              <a:p>
                <a:pPr>
                  <a:defRPr b="1">
                    <a:solidFill>
                      <a:srgbClr val="4D565E"/>
                    </a:solidFill>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'G2 prim'!$B$4:$B$36</c:f>
              <c:strCache>
                <c:ptCount val="33"/>
                <c:pt idx="0">
                  <c:v>Morelos</c:v>
                </c:pt>
                <c:pt idx="1">
                  <c:v>Nayarit</c:v>
                </c:pt>
                <c:pt idx="2">
                  <c:v>Quintana Roo</c:v>
                </c:pt>
                <c:pt idx="3">
                  <c:v>Aguascalientes</c:v>
                </c:pt>
                <c:pt idx="4">
                  <c:v>Ciudad de México</c:v>
                </c:pt>
                <c:pt idx="5">
                  <c:v>Colima</c:v>
                </c:pt>
                <c:pt idx="6">
                  <c:v>Guanajuato</c:v>
                </c:pt>
                <c:pt idx="7">
                  <c:v>Michoacán de Ocampo</c:v>
                </c:pt>
                <c:pt idx="8">
                  <c:v>Oaxaca</c:v>
                </c:pt>
                <c:pt idx="9">
                  <c:v>Puebla</c:v>
                </c:pt>
                <c:pt idx="10">
                  <c:v>Baja California</c:v>
                </c:pt>
                <c:pt idx="11">
                  <c:v>Guerrero</c:v>
                </c:pt>
                <c:pt idx="12">
                  <c:v>Yucatán</c:v>
                </c:pt>
                <c:pt idx="13">
                  <c:v>Tabasco</c:v>
                </c:pt>
                <c:pt idx="14">
                  <c:v>Durango</c:v>
                </c:pt>
                <c:pt idx="15">
                  <c:v>Chiapas</c:v>
                </c:pt>
                <c:pt idx="16">
                  <c:v>Nuevo León</c:v>
                </c:pt>
                <c:pt idx="17">
                  <c:v>México</c:v>
                </c:pt>
                <c:pt idx="18">
                  <c:v>Estados Unidos Mexicanos</c:v>
                </c:pt>
                <c:pt idx="19">
                  <c:v>Querétaro</c:v>
                </c:pt>
                <c:pt idx="20">
                  <c:v>Hidalgo</c:v>
                </c:pt>
                <c:pt idx="21">
                  <c:v>Sonora</c:v>
                </c:pt>
                <c:pt idx="22">
                  <c:v>Coahuila de Zaragoza</c:v>
                </c:pt>
                <c:pt idx="23">
                  <c:v>Chihuahua</c:v>
                </c:pt>
                <c:pt idx="24">
                  <c:v>Tlaxcala</c:v>
                </c:pt>
                <c:pt idx="25">
                  <c:v>Veracruz de Ignacio de la Llave</c:v>
                </c:pt>
                <c:pt idx="26">
                  <c:v>San Luis Potosí</c:v>
                </c:pt>
                <c:pt idx="27">
                  <c:v>Zacatecas</c:v>
                </c:pt>
                <c:pt idx="28">
                  <c:v>Jalisco</c:v>
                </c:pt>
                <c:pt idx="29">
                  <c:v>Tamaulipas</c:v>
                </c:pt>
                <c:pt idx="30">
                  <c:v>Sinaloa</c:v>
                </c:pt>
                <c:pt idx="31">
                  <c:v>Campeche</c:v>
                </c:pt>
                <c:pt idx="32">
                  <c:v>Baja California Sur</c:v>
                </c:pt>
              </c:strCache>
            </c:strRef>
          </c:cat>
          <c:val>
            <c:numRef>
              <c:f>'G2 prim'!$E$4:$E$36</c:f>
              <c:numCache>
                <c:formatCode>0.0;\-0.0;;\ @</c:formatCode>
                <c:ptCount val="33"/>
                <c:pt idx="0">
                  <c:v>0</c:v>
                </c:pt>
                <c:pt idx="1">
                  <c:v>0</c:v>
                </c:pt>
                <c:pt idx="2">
                  <c:v>0</c:v>
                </c:pt>
                <c:pt idx="3">
                  <c:v>0</c:v>
                </c:pt>
                <c:pt idx="4">
                  <c:v>-10.763674769156125</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4-7682-4E98-81D4-D5C6FB48A900}"/>
            </c:ext>
          </c:extLst>
        </c:ser>
        <c:dLbls>
          <c:showLegendKey val="0"/>
          <c:showVal val="0"/>
          <c:showCatName val="0"/>
          <c:showSerName val="0"/>
          <c:showPercent val="0"/>
          <c:showBubbleSize val="0"/>
        </c:dLbls>
        <c:gapWidth val="45"/>
        <c:overlap val="100"/>
        <c:axId val="-1574192784"/>
        <c:axId val="-1574190608"/>
      </c:barChart>
      <c:catAx>
        <c:axId val="-1574192784"/>
        <c:scaling>
          <c:orientation val="minMax"/>
        </c:scaling>
        <c:delete val="0"/>
        <c:axPos val="l"/>
        <c:numFmt formatCode="General" sourceLinked="1"/>
        <c:majorTickMark val="none"/>
        <c:minorTickMark val="none"/>
        <c:tickLblPos val="low"/>
        <c:spPr>
          <a:ln w="19050">
            <a:solidFill>
              <a:srgbClr val="B72F05"/>
            </a:solidFill>
          </a:ln>
        </c:spPr>
        <c:crossAx val="-1574190608"/>
        <c:crosses val="autoZero"/>
        <c:auto val="0"/>
        <c:lblAlgn val="ctr"/>
        <c:lblOffset val="100"/>
        <c:noMultiLvlLbl val="0"/>
      </c:catAx>
      <c:valAx>
        <c:axId val="-1574190608"/>
        <c:scaling>
          <c:orientation val="minMax"/>
        </c:scaling>
        <c:delete val="0"/>
        <c:axPos val="b"/>
        <c:numFmt formatCode="#,##0" sourceLinked="0"/>
        <c:majorTickMark val="out"/>
        <c:minorTickMark val="none"/>
        <c:tickLblPos val="nextTo"/>
        <c:spPr>
          <a:noFill/>
        </c:spPr>
        <c:crossAx val="-1574192784"/>
        <c:crosses val="autoZero"/>
        <c:crossBetween val="between"/>
      </c:valAx>
      <c:spPr>
        <a:noFill/>
        <a:ln w="9525">
          <a:noFill/>
        </a:ln>
        <a:effectLst/>
      </c:spPr>
    </c:plotArea>
    <c:plotVisOnly val="0"/>
    <c:dispBlanksAs val="gap"/>
    <c:showDLblsOverMax val="0"/>
  </c:chart>
  <c:spPr>
    <a:noFill/>
    <a:ln>
      <a:noFill/>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0.38796739130434782"/>
          <c:y val="2.587037037037037E-2"/>
          <c:w val="0.57997584541062797"/>
          <c:h val="0.92647722222222217"/>
        </c:manualLayout>
      </c:layout>
      <c:barChart>
        <c:barDir val="bar"/>
        <c:grouping val="clustered"/>
        <c:varyColors val="0"/>
        <c:ser>
          <c:idx val="0"/>
          <c:order val="0"/>
          <c:spPr>
            <a:solidFill>
              <a:srgbClr val="08989C"/>
            </a:solidFill>
            <a:effectLst/>
            <a:scene3d>
              <a:camera prst="orthographicFront"/>
              <a:lightRig rig="threePt" dir="t">
                <a:rot lat="0" lon="0" rev="1200000"/>
              </a:lightRig>
            </a:scene3d>
            <a:sp3d/>
          </c:spPr>
          <c:invertIfNegative val="0"/>
          <c:dPt>
            <c:idx val="0"/>
            <c:invertIfNegative val="0"/>
            <c:bubble3D val="0"/>
            <c:extLst>
              <c:ext xmlns:c16="http://schemas.microsoft.com/office/drawing/2014/chart" uri="{C3380CC4-5D6E-409C-BE32-E72D297353CC}">
                <c16:uniqueId val="{00000000-3ABD-479A-A5D3-7203E215B17B}"/>
              </c:ext>
            </c:extLst>
          </c:dPt>
          <c:dPt>
            <c:idx val="1"/>
            <c:invertIfNegative val="0"/>
            <c:bubble3D val="0"/>
            <c:extLst>
              <c:ext xmlns:c16="http://schemas.microsoft.com/office/drawing/2014/chart" uri="{C3380CC4-5D6E-409C-BE32-E72D297353CC}">
                <c16:uniqueId val="{00000001-3ABD-479A-A5D3-7203E215B17B}"/>
              </c:ext>
            </c:extLst>
          </c:dPt>
          <c:dPt>
            <c:idx val="2"/>
            <c:invertIfNegative val="0"/>
            <c:bubble3D val="0"/>
            <c:extLst>
              <c:ext xmlns:c16="http://schemas.microsoft.com/office/drawing/2014/chart" uri="{C3380CC4-5D6E-409C-BE32-E72D297353CC}">
                <c16:uniqueId val="{00000002-3ABD-479A-A5D3-7203E215B17B}"/>
              </c:ext>
            </c:extLst>
          </c:dPt>
          <c:dPt>
            <c:idx val="3"/>
            <c:invertIfNegative val="0"/>
            <c:bubble3D val="0"/>
            <c:extLst>
              <c:ext xmlns:c16="http://schemas.microsoft.com/office/drawing/2014/chart" uri="{C3380CC4-5D6E-409C-BE32-E72D297353CC}">
                <c16:uniqueId val="{00000003-3ABD-479A-A5D3-7203E215B17B}"/>
              </c:ext>
            </c:extLst>
          </c:dPt>
          <c:dPt>
            <c:idx val="4"/>
            <c:invertIfNegative val="0"/>
            <c:bubble3D val="0"/>
            <c:extLst>
              <c:ext xmlns:c16="http://schemas.microsoft.com/office/drawing/2014/chart" uri="{C3380CC4-5D6E-409C-BE32-E72D297353CC}">
                <c16:uniqueId val="{00000004-3ABD-479A-A5D3-7203E215B17B}"/>
              </c:ext>
            </c:extLst>
          </c:dPt>
          <c:dPt>
            <c:idx val="5"/>
            <c:invertIfNegative val="0"/>
            <c:bubble3D val="0"/>
            <c:extLst>
              <c:ext xmlns:c16="http://schemas.microsoft.com/office/drawing/2014/chart" uri="{C3380CC4-5D6E-409C-BE32-E72D297353CC}">
                <c16:uniqueId val="{00000005-3ABD-479A-A5D3-7203E215B17B}"/>
              </c:ext>
            </c:extLst>
          </c:dPt>
          <c:dPt>
            <c:idx val="6"/>
            <c:invertIfNegative val="0"/>
            <c:bubble3D val="0"/>
            <c:extLst>
              <c:ext xmlns:c16="http://schemas.microsoft.com/office/drawing/2014/chart" uri="{C3380CC4-5D6E-409C-BE32-E72D297353CC}">
                <c16:uniqueId val="{00000006-3ABD-479A-A5D3-7203E215B17B}"/>
              </c:ext>
            </c:extLst>
          </c:dPt>
          <c:dPt>
            <c:idx val="7"/>
            <c:invertIfNegative val="0"/>
            <c:bubble3D val="0"/>
            <c:extLst>
              <c:ext xmlns:c16="http://schemas.microsoft.com/office/drawing/2014/chart" uri="{C3380CC4-5D6E-409C-BE32-E72D297353CC}">
                <c16:uniqueId val="{00000007-3ABD-479A-A5D3-7203E215B17B}"/>
              </c:ext>
            </c:extLst>
          </c:dPt>
          <c:dPt>
            <c:idx val="8"/>
            <c:invertIfNegative val="0"/>
            <c:bubble3D val="0"/>
            <c:extLst>
              <c:ext xmlns:c16="http://schemas.microsoft.com/office/drawing/2014/chart" uri="{C3380CC4-5D6E-409C-BE32-E72D297353CC}">
                <c16:uniqueId val="{00000008-3ABD-479A-A5D3-7203E215B17B}"/>
              </c:ext>
            </c:extLst>
          </c:dPt>
          <c:dPt>
            <c:idx val="9"/>
            <c:invertIfNegative val="0"/>
            <c:bubble3D val="0"/>
            <c:extLst>
              <c:ext xmlns:c16="http://schemas.microsoft.com/office/drawing/2014/chart" uri="{C3380CC4-5D6E-409C-BE32-E72D297353CC}">
                <c16:uniqueId val="{00000009-3ABD-479A-A5D3-7203E215B17B}"/>
              </c:ext>
            </c:extLst>
          </c:dPt>
          <c:dPt>
            <c:idx val="10"/>
            <c:invertIfNegative val="0"/>
            <c:bubble3D val="0"/>
            <c:extLst>
              <c:ext xmlns:c16="http://schemas.microsoft.com/office/drawing/2014/chart" uri="{C3380CC4-5D6E-409C-BE32-E72D297353CC}">
                <c16:uniqueId val="{0000000A-3ABD-479A-A5D3-7203E215B17B}"/>
              </c:ext>
            </c:extLst>
          </c:dPt>
          <c:dPt>
            <c:idx val="11"/>
            <c:invertIfNegative val="0"/>
            <c:bubble3D val="0"/>
            <c:extLst>
              <c:ext xmlns:c16="http://schemas.microsoft.com/office/drawing/2014/chart" uri="{C3380CC4-5D6E-409C-BE32-E72D297353CC}">
                <c16:uniqueId val="{0000000B-3ABD-479A-A5D3-7203E215B17B}"/>
              </c:ext>
            </c:extLst>
          </c:dPt>
          <c:dPt>
            <c:idx val="12"/>
            <c:invertIfNegative val="0"/>
            <c:bubble3D val="0"/>
            <c:extLst>
              <c:ext xmlns:c16="http://schemas.microsoft.com/office/drawing/2014/chart" uri="{C3380CC4-5D6E-409C-BE32-E72D297353CC}">
                <c16:uniqueId val="{0000000C-3ABD-479A-A5D3-7203E215B17B}"/>
              </c:ext>
            </c:extLst>
          </c:dPt>
          <c:dPt>
            <c:idx val="13"/>
            <c:invertIfNegative val="0"/>
            <c:bubble3D val="0"/>
            <c:extLst>
              <c:ext xmlns:c16="http://schemas.microsoft.com/office/drawing/2014/chart" uri="{C3380CC4-5D6E-409C-BE32-E72D297353CC}">
                <c16:uniqueId val="{0000000D-3ABD-479A-A5D3-7203E215B17B}"/>
              </c:ext>
            </c:extLst>
          </c:dPt>
          <c:dPt>
            <c:idx val="14"/>
            <c:invertIfNegative val="0"/>
            <c:bubble3D val="0"/>
            <c:extLst>
              <c:ext xmlns:c16="http://schemas.microsoft.com/office/drawing/2014/chart" uri="{C3380CC4-5D6E-409C-BE32-E72D297353CC}">
                <c16:uniqueId val="{0000000E-3ABD-479A-A5D3-7203E215B17B}"/>
              </c:ext>
            </c:extLst>
          </c:dPt>
          <c:dPt>
            <c:idx val="15"/>
            <c:invertIfNegative val="0"/>
            <c:bubble3D val="0"/>
            <c:extLst>
              <c:ext xmlns:c16="http://schemas.microsoft.com/office/drawing/2014/chart" uri="{C3380CC4-5D6E-409C-BE32-E72D297353CC}">
                <c16:uniqueId val="{0000000F-3ABD-479A-A5D3-7203E215B17B}"/>
              </c:ext>
            </c:extLst>
          </c:dPt>
          <c:dPt>
            <c:idx val="16"/>
            <c:invertIfNegative val="0"/>
            <c:bubble3D val="0"/>
            <c:extLst>
              <c:ext xmlns:c16="http://schemas.microsoft.com/office/drawing/2014/chart" uri="{C3380CC4-5D6E-409C-BE32-E72D297353CC}">
                <c16:uniqueId val="{00000010-3ABD-479A-A5D3-7203E215B17B}"/>
              </c:ext>
            </c:extLst>
          </c:dPt>
          <c:dPt>
            <c:idx val="17"/>
            <c:invertIfNegative val="0"/>
            <c:bubble3D val="0"/>
            <c:extLst>
              <c:ext xmlns:c16="http://schemas.microsoft.com/office/drawing/2014/chart" uri="{C3380CC4-5D6E-409C-BE32-E72D297353CC}">
                <c16:uniqueId val="{00000011-3ABD-479A-A5D3-7203E215B17B}"/>
              </c:ext>
            </c:extLst>
          </c:dPt>
          <c:dPt>
            <c:idx val="18"/>
            <c:invertIfNegative val="0"/>
            <c:bubble3D val="0"/>
            <c:extLst>
              <c:ext xmlns:c16="http://schemas.microsoft.com/office/drawing/2014/chart" uri="{C3380CC4-5D6E-409C-BE32-E72D297353CC}">
                <c16:uniqueId val="{00000012-3ABD-479A-A5D3-7203E215B17B}"/>
              </c:ext>
            </c:extLst>
          </c:dPt>
          <c:dPt>
            <c:idx val="19"/>
            <c:invertIfNegative val="0"/>
            <c:bubble3D val="0"/>
            <c:extLst>
              <c:ext xmlns:c16="http://schemas.microsoft.com/office/drawing/2014/chart" uri="{C3380CC4-5D6E-409C-BE32-E72D297353CC}">
                <c16:uniqueId val="{00000013-3ABD-479A-A5D3-7203E215B17B}"/>
              </c:ext>
            </c:extLst>
          </c:dPt>
          <c:dPt>
            <c:idx val="20"/>
            <c:invertIfNegative val="0"/>
            <c:bubble3D val="0"/>
            <c:extLst>
              <c:ext xmlns:c16="http://schemas.microsoft.com/office/drawing/2014/chart" uri="{C3380CC4-5D6E-409C-BE32-E72D297353CC}">
                <c16:uniqueId val="{00000014-3ABD-479A-A5D3-7203E215B17B}"/>
              </c:ext>
            </c:extLst>
          </c:dPt>
          <c:dPt>
            <c:idx val="21"/>
            <c:invertIfNegative val="0"/>
            <c:bubble3D val="0"/>
            <c:extLst>
              <c:ext xmlns:c16="http://schemas.microsoft.com/office/drawing/2014/chart" uri="{C3380CC4-5D6E-409C-BE32-E72D297353CC}">
                <c16:uniqueId val="{00000015-3ABD-479A-A5D3-7203E215B17B}"/>
              </c:ext>
            </c:extLst>
          </c:dPt>
          <c:dPt>
            <c:idx val="22"/>
            <c:invertIfNegative val="0"/>
            <c:bubble3D val="0"/>
            <c:extLst>
              <c:ext xmlns:c16="http://schemas.microsoft.com/office/drawing/2014/chart" uri="{C3380CC4-5D6E-409C-BE32-E72D297353CC}">
                <c16:uniqueId val="{00000016-3ABD-479A-A5D3-7203E215B17B}"/>
              </c:ext>
            </c:extLst>
          </c:dPt>
          <c:dPt>
            <c:idx val="23"/>
            <c:invertIfNegative val="0"/>
            <c:bubble3D val="0"/>
            <c:extLst>
              <c:ext xmlns:c16="http://schemas.microsoft.com/office/drawing/2014/chart" uri="{C3380CC4-5D6E-409C-BE32-E72D297353CC}">
                <c16:uniqueId val="{00000017-3ABD-479A-A5D3-7203E215B17B}"/>
              </c:ext>
            </c:extLst>
          </c:dPt>
          <c:dPt>
            <c:idx val="24"/>
            <c:invertIfNegative val="0"/>
            <c:bubble3D val="0"/>
            <c:extLst>
              <c:ext xmlns:c16="http://schemas.microsoft.com/office/drawing/2014/chart" uri="{C3380CC4-5D6E-409C-BE32-E72D297353CC}">
                <c16:uniqueId val="{00000018-3ABD-479A-A5D3-7203E215B17B}"/>
              </c:ext>
            </c:extLst>
          </c:dPt>
          <c:dPt>
            <c:idx val="25"/>
            <c:invertIfNegative val="0"/>
            <c:bubble3D val="0"/>
            <c:extLst>
              <c:ext xmlns:c16="http://schemas.microsoft.com/office/drawing/2014/chart" uri="{C3380CC4-5D6E-409C-BE32-E72D297353CC}">
                <c16:uniqueId val="{00000019-3ABD-479A-A5D3-7203E215B17B}"/>
              </c:ext>
            </c:extLst>
          </c:dPt>
          <c:dPt>
            <c:idx val="26"/>
            <c:invertIfNegative val="0"/>
            <c:bubble3D val="0"/>
            <c:extLst>
              <c:ext xmlns:c16="http://schemas.microsoft.com/office/drawing/2014/chart" uri="{C3380CC4-5D6E-409C-BE32-E72D297353CC}">
                <c16:uniqueId val="{0000001A-3ABD-479A-A5D3-7203E215B17B}"/>
              </c:ext>
            </c:extLst>
          </c:dPt>
          <c:dPt>
            <c:idx val="27"/>
            <c:invertIfNegative val="0"/>
            <c:bubble3D val="0"/>
            <c:extLst>
              <c:ext xmlns:c16="http://schemas.microsoft.com/office/drawing/2014/chart" uri="{C3380CC4-5D6E-409C-BE32-E72D297353CC}">
                <c16:uniqueId val="{0000001B-3ABD-479A-A5D3-7203E215B17B}"/>
              </c:ext>
            </c:extLst>
          </c:dPt>
          <c:dPt>
            <c:idx val="28"/>
            <c:invertIfNegative val="0"/>
            <c:bubble3D val="0"/>
            <c:extLst>
              <c:ext xmlns:c16="http://schemas.microsoft.com/office/drawing/2014/chart" uri="{C3380CC4-5D6E-409C-BE32-E72D297353CC}">
                <c16:uniqueId val="{0000001C-3ABD-479A-A5D3-7203E215B17B}"/>
              </c:ext>
            </c:extLst>
          </c:dPt>
          <c:dPt>
            <c:idx val="29"/>
            <c:invertIfNegative val="0"/>
            <c:bubble3D val="0"/>
            <c:extLst>
              <c:ext xmlns:c16="http://schemas.microsoft.com/office/drawing/2014/chart" uri="{C3380CC4-5D6E-409C-BE32-E72D297353CC}">
                <c16:uniqueId val="{0000001D-3ABD-479A-A5D3-7203E215B17B}"/>
              </c:ext>
            </c:extLst>
          </c:dPt>
          <c:dPt>
            <c:idx val="30"/>
            <c:invertIfNegative val="0"/>
            <c:bubble3D val="0"/>
            <c:extLst>
              <c:ext xmlns:c16="http://schemas.microsoft.com/office/drawing/2014/chart" uri="{C3380CC4-5D6E-409C-BE32-E72D297353CC}">
                <c16:uniqueId val="{0000001E-3ABD-479A-A5D3-7203E215B17B}"/>
              </c:ext>
            </c:extLst>
          </c:dPt>
          <c:dPt>
            <c:idx val="31"/>
            <c:invertIfNegative val="0"/>
            <c:bubble3D val="0"/>
            <c:extLst>
              <c:ext xmlns:c16="http://schemas.microsoft.com/office/drawing/2014/chart" uri="{C3380CC4-5D6E-409C-BE32-E72D297353CC}">
                <c16:uniqueId val="{0000001F-3ABD-479A-A5D3-7203E215B17B}"/>
              </c:ext>
            </c:extLst>
          </c:dPt>
          <c:dPt>
            <c:idx val="32"/>
            <c:invertIfNegative val="0"/>
            <c:bubble3D val="0"/>
            <c:extLst>
              <c:ext xmlns:c16="http://schemas.microsoft.com/office/drawing/2014/chart" uri="{C3380CC4-5D6E-409C-BE32-E72D297353CC}">
                <c16:uniqueId val="{00000020-3ABD-479A-A5D3-7203E215B17B}"/>
              </c:ext>
            </c:extLst>
          </c:dPt>
          <c:dLbls>
            <c:spPr>
              <a:noFill/>
              <a:ln>
                <a:noFill/>
              </a:ln>
              <a:effectLst/>
            </c:spPr>
            <c:txPr>
              <a:bodyPr/>
              <a:lstStyle/>
              <a:p>
                <a:pPr>
                  <a:defRPr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'G3 sec'!$B$4:$B$36</c:f>
              <c:strCache>
                <c:ptCount val="33"/>
                <c:pt idx="0">
                  <c:v>Quintana Roo</c:v>
                </c:pt>
                <c:pt idx="1">
                  <c:v>Morelos</c:v>
                </c:pt>
                <c:pt idx="2">
                  <c:v>Baja California Sur</c:v>
                </c:pt>
                <c:pt idx="3">
                  <c:v>Puebla</c:v>
                </c:pt>
                <c:pt idx="4">
                  <c:v>Coahuila de Zaragoza</c:v>
                </c:pt>
                <c:pt idx="5">
                  <c:v>Durango</c:v>
                </c:pt>
                <c:pt idx="6">
                  <c:v>Aguascalientes</c:v>
                </c:pt>
                <c:pt idx="7">
                  <c:v>Campeche</c:v>
                </c:pt>
                <c:pt idx="8">
                  <c:v>Baja California</c:v>
                </c:pt>
                <c:pt idx="9">
                  <c:v>Chihuahua</c:v>
                </c:pt>
                <c:pt idx="10">
                  <c:v>Guanajuato</c:v>
                </c:pt>
                <c:pt idx="11">
                  <c:v>San Luis Potosí</c:v>
                </c:pt>
                <c:pt idx="12">
                  <c:v>Zacatecas</c:v>
                </c:pt>
                <c:pt idx="13">
                  <c:v>Ciudad de México</c:v>
                </c:pt>
                <c:pt idx="14">
                  <c:v>Querétaro</c:v>
                </c:pt>
                <c:pt idx="15">
                  <c:v>Sonora</c:v>
                </c:pt>
                <c:pt idx="16">
                  <c:v>Estados Unidos Mexicanos</c:v>
                </c:pt>
                <c:pt idx="17">
                  <c:v>Jalisco</c:v>
                </c:pt>
                <c:pt idx="18">
                  <c:v>Nuevo León</c:v>
                </c:pt>
                <c:pt idx="19">
                  <c:v>Guerrero</c:v>
                </c:pt>
                <c:pt idx="20">
                  <c:v>Tlaxcala</c:v>
                </c:pt>
                <c:pt idx="21">
                  <c:v>Michoacán de Ocampo</c:v>
                </c:pt>
                <c:pt idx="22">
                  <c:v>Tabasco</c:v>
                </c:pt>
                <c:pt idx="23">
                  <c:v>Chiapas</c:v>
                </c:pt>
                <c:pt idx="24">
                  <c:v>Sinaloa</c:v>
                </c:pt>
                <c:pt idx="25">
                  <c:v>Oaxaca</c:v>
                </c:pt>
                <c:pt idx="26">
                  <c:v>Tamaulipas</c:v>
                </c:pt>
                <c:pt idx="27">
                  <c:v>Nayarit</c:v>
                </c:pt>
                <c:pt idx="28">
                  <c:v>Yucatán</c:v>
                </c:pt>
                <c:pt idx="29">
                  <c:v>México</c:v>
                </c:pt>
                <c:pt idx="30">
                  <c:v>Veracruz de Ignacio de la Llave</c:v>
                </c:pt>
                <c:pt idx="31">
                  <c:v>Colima</c:v>
                </c:pt>
                <c:pt idx="32">
                  <c:v>Hidalgo</c:v>
                </c:pt>
              </c:strCache>
            </c:strRef>
          </c:cat>
          <c:val>
            <c:numRef>
              <c:f>'G3 sec'!$F$4:$F$36</c:f>
              <c:numCache>
                <c:formatCode>0.0;\-0.0;;\ @</c:formatCode>
                <c:ptCount val="33"/>
                <c:pt idx="0">
                  <c:v>-20.62383579825493</c:v>
                </c:pt>
                <c:pt idx="1">
                  <c:v>-19.785163227876595</c:v>
                </c:pt>
                <c:pt idx="2">
                  <c:v>-9.2792473774783844</c:v>
                </c:pt>
                <c:pt idx="3">
                  <c:v>-6.3158853450279082</c:v>
                </c:pt>
                <c:pt idx="4">
                  <c:v>-4.955665995065857</c:v>
                </c:pt>
                <c:pt idx="5">
                  <c:v>-4.4348642946159202</c:v>
                </c:pt>
                <c:pt idx="6">
                  <c:v>-4.4256543096581709</c:v>
                </c:pt>
                <c:pt idx="7">
                  <c:v>-4.2150529137470869</c:v>
                </c:pt>
                <c:pt idx="8">
                  <c:v>-2.8341561270445226</c:v>
                </c:pt>
                <c:pt idx="9">
                  <c:v>-2.6627643020843692</c:v>
                </c:pt>
                <c:pt idx="10">
                  <c:v>-0.46279883307049374</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1-3ABD-479A-A5D3-7203E215B17B}"/>
            </c:ext>
          </c:extLst>
        </c:ser>
        <c:ser>
          <c:idx val="1"/>
          <c:order val="1"/>
          <c:spPr>
            <a:solidFill>
              <a:srgbClr val="08989C"/>
            </a:solidFill>
            <a:effectLst/>
            <a:scene3d>
              <a:camera prst="orthographicFront"/>
              <a:lightRig rig="threePt" dir="t">
                <a:rot lat="0" lon="0" rev="1200000"/>
              </a:lightRig>
            </a:scene3d>
            <a:sp3d/>
          </c:spPr>
          <c:invertIfNegative val="0"/>
          <c:dLbls>
            <c:dLbl>
              <c:idx val="32"/>
              <c:dLblPos val="outEnd"/>
              <c:showLegendKey val="0"/>
              <c:showVal val="1"/>
              <c:showCatName val="0"/>
              <c:showSerName val="0"/>
              <c:showPercent val="0"/>
              <c:showBubbleSize val="0"/>
              <c:extLst>
                <c:ext xmlns:c15="http://schemas.microsoft.com/office/drawing/2012/chart" uri="{CE6537A1-D6FC-4f65-9D91-7224C49458BB}">
                  <c15:layout>
                    <c:manualLayout>
                      <c:w val="6.6184299516908199E-2"/>
                      <c:h val="2.6329074074074067E-2"/>
                    </c:manualLayout>
                  </c15:layout>
                </c:ext>
                <c:ext xmlns:c16="http://schemas.microsoft.com/office/drawing/2014/chart" uri="{C3380CC4-5D6E-409C-BE32-E72D297353CC}">
                  <c16:uniqueId val="{00000022-3ABD-479A-A5D3-7203E215B17B}"/>
                </c:ext>
              </c:extLst>
            </c:dLbl>
            <c:spPr>
              <a:noFill/>
              <a:ln>
                <a:noFill/>
              </a:ln>
              <a:effectLst/>
            </c:spPr>
            <c:txPr>
              <a:bodyPr/>
              <a:lstStyle/>
              <a:p>
                <a:pPr>
                  <a:defRPr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'G3 sec'!$B$4:$B$36</c:f>
              <c:strCache>
                <c:ptCount val="33"/>
                <c:pt idx="0">
                  <c:v>Quintana Roo</c:v>
                </c:pt>
                <c:pt idx="1">
                  <c:v>Morelos</c:v>
                </c:pt>
                <c:pt idx="2">
                  <c:v>Baja California Sur</c:v>
                </c:pt>
                <c:pt idx="3">
                  <c:v>Puebla</c:v>
                </c:pt>
                <c:pt idx="4">
                  <c:v>Coahuila de Zaragoza</c:v>
                </c:pt>
                <c:pt idx="5">
                  <c:v>Durango</c:v>
                </c:pt>
                <c:pt idx="6">
                  <c:v>Aguascalientes</c:v>
                </c:pt>
                <c:pt idx="7">
                  <c:v>Campeche</c:v>
                </c:pt>
                <c:pt idx="8">
                  <c:v>Baja California</c:v>
                </c:pt>
                <c:pt idx="9">
                  <c:v>Chihuahua</c:v>
                </c:pt>
                <c:pt idx="10">
                  <c:v>Guanajuato</c:v>
                </c:pt>
                <c:pt idx="11">
                  <c:v>San Luis Potosí</c:v>
                </c:pt>
                <c:pt idx="12">
                  <c:v>Zacatecas</c:v>
                </c:pt>
                <c:pt idx="13">
                  <c:v>Ciudad de México</c:v>
                </c:pt>
                <c:pt idx="14">
                  <c:v>Querétaro</c:v>
                </c:pt>
                <c:pt idx="15">
                  <c:v>Sonora</c:v>
                </c:pt>
                <c:pt idx="16">
                  <c:v>Estados Unidos Mexicanos</c:v>
                </c:pt>
                <c:pt idx="17">
                  <c:v>Jalisco</c:v>
                </c:pt>
                <c:pt idx="18">
                  <c:v>Nuevo León</c:v>
                </c:pt>
                <c:pt idx="19">
                  <c:v>Guerrero</c:v>
                </c:pt>
                <c:pt idx="20">
                  <c:v>Tlaxcala</c:v>
                </c:pt>
                <c:pt idx="21">
                  <c:v>Michoacán de Ocampo</c:v>
                </c:pt>
                <c:pt idx="22">
                  <c:v>Tabasco</c:v>
                </c:pt>
                <c:pt idx="23">
                  <c:v>Chiapas</c:v>
                </c:pt>
                <c:pt idx="24">
                  <c:v>Sinaloa</c:v>
                </c:pt>
                <c:pt idx="25">
                  <c:v>Oaxaca</c:v>
                </c:pt>
                <c:pt idx="26">
                  <c:v>Tamaulipas</c:v>
                </c:pt>
                <c:pt idx="27">
                  <c:v>Nayarit</c:v>
                </c:pt>
                <c:pt idx="28">
                  <c:v>Yucatán</c:v>
                </c:pt>
                <c:pt idx="29">
                  <c:v>México</c:v>
                </c:pt>
                <c:pt idx="30">
                  <c:v>Veracruz de Ignacio de la Llave</c:v>
                </c:pt>
                <c:pt idx="31">
                  <c:v>Colima</c:v>
                </c:pt>
                <c:pt idx="32">
                  <c:v>Hidalgo</c:v>
                </c:pt>
              </c:strCache>
            </c:strRef>
          </c:cat>
          <c:val>
            <c:numRef>
              <c:f>'G3 sec'!$G$4:$G$36</c:f>
              <c:numCache>
                <c:formatCode>0.0;\-0.0;;\ @</c:formatCode>
                <c:ptCount val="33"/>
                <c:pt idx="0">
                  <c:v>0</c:v>
                </c:pt>
                <c:pt idx="1">
                  <c:v>0</c:v>
                </c:pt>
                <c:pt idx="2">
                  <c:v>0</c:v>
                </c:pt>
                <c:pt idx="3">
                  <c:v>0</c:v>
                </c:pt>
                <c:pt idx="4">
                  <c:v>0</c:v>
                </c:pt>
                <c:pt idx="5">
                  <c:v>0</c:v>
                </c:pt>
                <c:pt idx="6">
                  <c:v>0</c:v>
                </c:pt>
                <c:pt idx="7">
                  <c:v>0</c:v>
                </c:pt>
                <c:pt idx="8">
                  <c:v>0</c:v>
                </c:pt>
                <c:pt idx="9">
                  <c:v>0</c:v>
                </c:pt>
                <c:pt idx="10">
                  <c:v>0</c:v>
                </c:pt>
                <c:pt idx="11">
                  <c:v>0.16162340710992851</c:v>
                </c:pt>
                <c:pt idx="12">
                  <c:v>0.35999215702935317</c:v>
                </c:pt>
                <c:pt idx="13">
                  <c:v>0</c:v>
                </c:pt>
                <c:pt idx="14">
                  <c:v>0.51404446909231183</c:v>
                </c:pt>
                <c:pt idx="15">
                  <c:v>0.87278589894353331</c:v>
                </c:pt>
                <c:pt idx="16">
                  <c:v>0</c:v>
                </c:pt>
                <c:pt idx="17">
                  <c:v>1.4039959905298645</c:v>
                </c:pt>
                <c:pt idx="18">
                  <c:v>2.11814721148356</c:v>
                </c:pt>
                <c:pt idx="19">
                  <c:v>2.3719013482500912</c:v>
                </c:pt>
                <c:pt idx="20">
                  <c:v>3.0348266902058043</c:v>
                </c:pt>
                <c:pt idx="21">
                  <c:v>3.409923256889698</c:v>
                </c:pt>
                <c:pt idx="22">
                  <c:v>3.5387595616007701</c:v>
                </c:pt>
                <c:pt idx="23">
                  <c:v>3.6299103719044723</c:v>
                </c:pt>
                <c:pt idx="24">
                  <c:v>4.09202095443122</c:v>
                </c:pt>
                <c:pt idx="25">
                  <c:v>5.7035356499109326</c:v>
                </c:pt>
                <c:pt idx="26">
                  <c:v>6.6370908616450492</c:v>
                </c:pt>
                <c:pt idx="27">
                  <c:v>7.0167802214216692</c:v>
                </c:pt>
                <c:pt idx="28">
                  <c:v>7.8356722770799792</c:v>
                </c:pt>
                <c:pt idx="29">
                  <c:v>8.1527061660410709</c:v>
                </c:pt>
                <c:pt idx="30">
                  <c:v>9.2553375054174012</c:v>
                </c:pt>
                <c:pt idx="31">
                  <c:v>10.654030368748749</c:v>
                </c:pt>
                <c:pt idx="32">
                  <c:v>19.072642709661466</c:v>
                </c:pt>
              </c:numCache>
            </c:numRef>
          </c:val>
          <c:extLst>
            <c:ext xmlns:c16="http://schemas.microsoft.com/office/drawing/2014/chart" uri="{C3380CC4-5D6E-409C-BE32-E72D297353CC}">
              <c16:uniqueId val="{00000023-3ABD-479A-A5D3-7203E215B17B}"/>
            </c:ext>
          </c:extLst>
        </c:ser>
        <c:ser>
          <c:idx val="2"/>
          <c:order val="2"/>
          <c:spPr>
            <a:solidFill>
              <a:srgbClr val="C0C0C0"/>
            </a:solidFill>
            <a:effectLst/>
            <a:scene3d>
              <a:camera prst="orthographicFront"/>
              <a:lightRig rig="threePt" dir="t">
                <a:rot lat="0" lon="0" rev="1200000"/>
              </a:lightRig>
            </a:scene3d>
            <a:sp3d/>
          </c:spPr>
          <c:invertIfNegative val="0"/>
          <c:dLbls>
            <c:spPr>
              <a:noFill/>
              <a:ln>
                <a:noFill/>
              </a:ln>
              <a:effectLst/>
            </c:spPr>
            <c:txPr>
              <a:bodyPr wrap="square" lIns="38100" tIns="19050" rIns="38100" bIns="19050" anchor="ctr">
                <a:spAutoFit/>
              </a:bodyPr>
              <a:lstStyle/>
              <a:p>
                <a:pPr>
                  <a:defRPr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'G3 sec'!$B$4:$B$36</c:f>
              <c:strCache>
                <c:ptCount val="33"/>
                <c:pt idx="0">
                  <c:v>Quintana Roo</c:v>
                </c:pt>
                <c:pt idx="1">
                  <c:v>Morelos</c:v>
                </c:pt>
                <c:pt idx="2">
                  <c:v>Baja California Sur</c:v>
                </c:pt>
                <c:pt idx="3">
                  <c:v>Puebla</c:v>
                </c:pt>
                <c:pt idx="4">
                  <c:v>Coahuila de Zaragoza</c:v>
                </c:pt>
                <c:pt idx="5">
                  <c:v>Durango</c:v>
                </c:pt>
                <c:pt idx="6">
                  <c:v>Aguascalientes</c:v>
                </c:pt>
                <c:pt idx="7">
                  <c:v>Campeche</c:v>
                </c:pt>
                <c:pt idx="8">
                  <c:v>Baja California</c:v>
                </c:pt>
                <c:pt idx="9">
                  <c:v>Chihuahua</c:v>
                </c:pt>
                <c:pt idx="10">
                  <c:v>Guanajuato</c:v>
                </c:pt>
                <c:pt idx="11">
                  <c:v>San Luis Potosí</c:v>
                </c:pt>
                <c:pt idx="12">
                  <c:v>Zacatecas</c:v>
                </c:pt>
                <c:pt idx="13">
                  <c:v>Ciudad de México</c:v>
                </c:pt>
                <c:pt idx="14">
                  <c:v>Querétaro</c:v>
                </c:pt>
                <c:pt idx="15">
                  <c:v>Sonora</c:v>
                </c:pt>
                <c:pt idx="16">
                  <c:v>Estados Unidos Mexicanos</c:v>
                </c:pt>
                <c:pt idx="17">
                  <c:v>Jalisco</c:v>
                </c:pt>
                <c:pt idx="18">
                  <c:v>Nuevo León</c:v>
                </c:pt>
                <c:pt idx="19">
                  <c:v>Guerrero</c:v>
                </c:pt>
                <c:pt idx="20">
                  <c:v>Tlaxcala</c:v>
                </c:pt>
                <c:pt idx="21">
                  <c:v>Michoacán de Ocampo</c:v>
                </c:pt>
                <c:pt idx="22">
                  <c:v>Tabasco</c:v>
                </c:pt>
                <c:pt idx="23">
                  <c:v>Chiapas</c:v>
                </c:pt>
                <c:pt idx="24">
                  <c:v>Sinaloa</c:v>
                </c:pt>
                <c:pt idx="25">
                  <c:v>Oaxaca</c:v>
                </c:pt>
                <c:pt idx="26">
                  <c:v>Tamaulipas</c:v>
                </c:pt>
                <c:pt idx="27">
                  <c:v>Nayarit</c:v>
                </c:pt>
                <c:pt idx="28">
                  <c:v>Yucatán</c:v>
                </c:pt>
                <c:pt idx="29">
                  <c:v>México</c:v>
                </c:pt>
                <c:pt idx="30">
                  <c:v>Veracruz de Ignacio de la Llave</c:v>
                </c:pt>
                <c:pt idx="31">
                  <c:v>Colima</c:v>
                </c:pt>
                <c:pt idx="32">
                  <c:v>Hidalgo</c:v>
                </c:pt>
              </c:strCache>
            </c:strRef>
          </c:cat>
          <c:val>
            <c:numRef>
              <c:f>'G3 sec'!$D$4:$D$36</c:f>
              <c:numCache>
                <c:formatCode>0.0;\-0.0;;\ @</c:formatCode>
                <c:ptCount val="3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1.1378329674888903</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4-3ABD-479A-A5D3-7203E215B17B}"/>
            </c:ext>
          </c:extLst>
        </c:ser>
        <c:ser>
          <c:idx val="3"/>
          <c:order val="3"/>
          <c:spPr>
            <a:solidFill>
              <a:srgbClr val="003057"/>
            </a:solidFill>
            <a:effectLst/>
            <a:scene3d>
              <a:camera prst="orthographicFront"/>
              <a:lightRig rig="threePt" dir="t">
                <a:rot lat="0" lon="0" rev="1200000"/>
              </a:lightRig>
            </a:scene3d>
            <a:sp3d/>
          </c:spPr>
          <c:invertIfNegative val="0"/>
          <c:dLbls>
            <c:spPr>
              <a:noFill/>
              <a:ln>
                <a:noFill/>
              </a:ln>
              <a:effectLst/>
            </c:spPr>
            <c:txPr>
              <a:bodyPr wrap="square" lIns="38100" tIns="19050" rIns="38100" bIns="19050" anchor="ctr">
                <a:spAutoFit/>
              </a:bodyPr>
              <a:lstStyle/>
              <a:p>
                <a:pPr>
                  <a:defRPr b="1">
                    <a:solidFill>
                      <a:srgbClr val="4D565E"/>
                    </a:solidFill>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'G3 sec'!$B$4:$B$36</c:f>
              <c:strCache>
                <c:ptCount val="33"/>
                <c:pt idx="0">
                  <c:v>Quintana Roo</c:v>
                </c:pt>
                <c:pt idx="1">
                  <c:v>Morelos</c:v>
                </c:pt>
                <c:pt idx="2">
                  <c:v>Baja California Sur</c:v>
                </c:pt>
                <c:pt idx="3">
                  <c:v>Puebla</c:v>
                </c:pt>
                <c:pt idx="4">
                  <c:v>Coahuila de Zaragoza</c:v>
                </c:pt>
                <c:pt idx="5">
                  <c:v>Durango</c:v>
                </c:pt>
                <c:pt idx="6">
                  <c:v>Aguascalientes</c:v>
                </c:pt>
                <c:pt idx="7">
                  <c:v>Campeche</c:v>
                </c:pt>
                <c:pt idx="8">
                  <c:v>Baja California</c:v>
                </c:pt>
                <c:pt idx="9">
                  <c:v>Chihuahua</c:v>
                </c:pt>
                <c:pt idx="10">
                  <c:v>Guanajuato</c:v>
                </c:pt>
                <c:pt idx="11">
                  <c:v>San Luis Potosí</c:v>
                </c:pt>
                <c:pt idx="12">
                  <c:v>Zacatecas</c:v>
                </c:pt>
                <c:pt idx="13">
                  <c:v>Ciudad de México</c:v>
                </c:pt>
                <c:pt idx="14">
                  <c:v>Querétaro</c:v>
                </c:pt>
                <c:pt idx="15">
                  <c:v>Sonora</c:v>
                </c:pt>
                <c:pt idx="16">
                  <c:v>Estados Unidos Mexicanos</c:v>
                </c:pt>
                <c:pt idx="17">
                  <c:v>Jalisco</c:v>
                </c:pt>
                <c:pt idx="18">
                  <c:v>Nuevo León</c:v>
                </c:pt>
                <c:pt idx="19">
                  <c:v>Guerrero</c:v>
                </c:pt>
                <c:pt idx="20">
                  <c:v>Tlaxcala</c:v>
                </c:pt>
                <c:pt idx="21">
                  <c:v>Michoacán de Ocampo</c:v>
                </c:pt>
                <c:pt idx="22">
                  <c:v>Tabasco</c:v>
                </c:pt>
                <c:pt idx="23">
                  <c:v>Chiapas</c:v>
                </c:pt>
                <c:pt idx="24">
                  <c:v>Sinaloa</c:v>
                </c:pt>
                <c:pt idx="25">
                  <c:v>Oaxaca</c:v>
                </c:pt>
                <c:pt idx="26">
                  <c:v>Tamaulipas</c:v>
                </c:pt>
                <c:pt idx="27">
                  <c:v>Nayarit</c:v>
                </c:pt>
                <c:pt idx="28">
                  <c:v>Yucatán</c:v>
                </c:pt>
                <c:pt idx="29">
                  <c:v>México</c:v>
                </c:pt>
                <c:pt idx="30">
                  <c:v>Veracruz de Ignacio de la Llave</c:v>
                </c:pt>
                <c:pt idx="31">
                  <c:v>Colima</c:v>
                </c:pt>
                <c:pt idx="32">
                  <c:v>Hidalgo</c:v>
                </c:pt>
              </c:strCache>
            </c:strRef>
          </c:cat>
          <c:val>
            <c:numRef>
              <c:f>'G3 sec'!$E$4:$E$36</c:f>
              <c:numCache>
                <c:formatCode>0.0;\-0.0;;\ @</c:formatCode>
                <c:ptCount val="33"/>
                <c:pt idx="0">
                  <c:v>0</c:v>
                </c:pt>
                <c:pt idx="1">
                  <c:v>0</c:v>
                </c:pt>
                <c:pt idx="2">
                  <c:v>0</c:v>
                </c:pt>
                <c:pt idx="3">
                  <c:v>0</c:v>
                </c:pt>
                <c:pt idx="4">
                  <c:v>0</c:v>
                </c:pt>
                <c:pt idx="5">
                  <c:v>0</c:v>
                </c:pt>
                <c:pt idx="6">
                  <c:v>0</c:v>
                </c:pt>
                <c:pt idx="7">
                  <c:v>0</c:v>
                </c:pt>
                <c:pt idx="8">
                  <c:v>0</c:v>
                </c:pt>
                <c:pt idx="9">
                  <c:v>0</c:v>
                </c:pt>
                <c:pt idx="10">
                  <c:v>0</c:v>
                </c:pt>
                <c:pt idx="11">
                  <c:v>0</c:v>
                </c:pt>
                <c:pt idx="12">
                  <c:v>0</c:v>
                </c:pt>
                <c:pt idx="13">
                  <c:v>0.49102868299233648</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5-3ABD-479A-A5D3-7203E215B17B}"/>
            </c:ext>
          </c:extLst>
        </c:ser>
        <c:dLbls>
          <c:showLegendKey val="0"/>
          <c:showVal val="0"/>
          <c:showCatName val="0"/>
          <c:showSerName val="0"/>
          <c:showPercent val="0"/>
          <c:showBubbleSize val="0"/>
        </c:dLbls>
        <c:gapWidth val="45"/>
        <c:overlap val="100"/>
        <c:axId val="-1574192784"/>
        <c:axId val="-1574190608"/>
      </c:barChart>
      <c:catAx>
        <c:axId val="-1574192784"/>
        <c:scaling>
          <c:orientation val="minMax"/>
        </c:scaling>
        <c:delete val="0"/>
        <c:axPos val="l"/>
        <c:numFmt formatCode="General" sourceLinked="1"/>
        <c:majorTickMark val="none"/>
        <c:minorTickMark val="none"/>
        <c:tickLblPos val="low"/>
        <c:spPr>
          <a:ln w="19050">
            <a:solidFill>
              <a:srgbClr val="B72F05"/>
            </a:solidFill>
          </a:ln>
        </c:spPr>
        <c:txPr>
          <a:bodyPr/>
          <a:lstStyle/>
          <a:p>
            <a:pPr>
              <a:defRPr>
                <a:solidFill>
                  <a:srgbClr val="4D565E"/>
                </a:solidFill>
              </a:defRPr>
            </a:pPr>
            <a:endParaRPr lang="es-MX"/>
          </a:p>
        </c:txPr>
        <c:crossAx val="-1574190608"/>
        <c:crosses val="autoZero"/>
        <c:auto val="0"/>
        <c:lblAlgn val="ctr"/>
        <c:lblOffset val="100"/>
        <c:noMultiLvlLbl val="0"/>
      </c:catAx>
      <c:valAx>
        <c:axId val="-1574190608"/>
        <c:scaling>
          <c:orientation val="minMax"/>
          <c:min val="-30"/>
        </c:scaling>
        <c:delete val="0"/>
        <c:axPos val="b"/>
        <c:numFmt formatCode="#,##0" sourceLinked="0"/>
        <c:majorTickMark val="out"/>
        <c:minorTickMark val="none"/>
        <c:tickLblPos val="nextTo"/>
        <c:spPr>
          <a:noFill/>
        </c:spPr>
        <c:txPr>
          <a:bodyPr/>
          <a:lstStyle/>
          <a:p>
            <a:pPr>
              <a:defRPr baseline="0">
                <a:solidFill>
                  <a:srgbClr val="4D565E"/>
                </a:solidFill>
              </a:defRPr>
            </a:pPr>
            <a:endParaRPr lang="es-MX"/>
          </a:p>
        </c:txPr>
        <c:crossAx val="-1574192784"/>
        <c:crosses val="autoZero"/>
        <c:crossBetween val="between"/>
      </c:valAx>
      <c:spPr>
        <a:noFill/>
        <a:ln w="9525">
          <a:noFill/>
        </a:ln>
        <a:effectLst/>
      </c:spPr>
    </c:plotArea>
    <c:plotVisOnly val="0"/>
    <c:dispBlanksAs val="gap"/>
    <c:showDLblsOverMax val="0"/>
  </c:chart>
  <c:spPr>
    <a:noFill/>
    <a:ln>
      <a:noFill/>
    </a:ln>
    <a:effectLst/>
  </c:spPr>
  <c:txPr>
    <a:bodyPr/>
    <a:lstStyle/>
    <a:p>
      <a:pPr>
        <a:defRPr sz="800">
          <a:latin typeface="Arial" panose="020B0604020202020204" pitchFamily="34" charset="0"/>
          <a:cs typeface="Arial" panose="020B0604020202020204" pitchFamily="34" charset="0"/>
        </a:defRPr>
      </a:pPr>
      <a:endParaRPr lang="es-MX"/>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0.38489975845410629"/>
          <c:y val="2.587037037037037E-2"/>
          <c:w val="0.58986908212560385"/>
          <c:h val="0.92647722222222217"/>
        </c:manualLayout>
      </c:layout>
      <c:barChart>
        <c:barDir val="bar"/>
        <c:grouping val="clustered"/>
        <c:varyColors val="0"/>
        <c:ser>
          <c:idx val="0"/>
          <c:order val="0"/>
          <c:spPr>
            <a:solidFill>
              <a:srgbClr val="08989C"/>
            </a:solidFill>
            <a:effectLst/>
            <a:scene3d>
              <a:camera prst="orthographicFront"/>
              <a:lightRig rig="threePt" dir="t">
                <a:rot lat="0" lon="0" rev="1200000"/>
              </a:lightRig>
            </a:scene3d>
            <a:sp3d/>
          </c:spPr>
          <c:invertIfNegative val="0"/>
          <c:dPt>
            <c:idx val="0"/>
            <c:invertIfNegative val="0"/>
            <c:bubble3D val="0"/>
            <c:extLst>
              <c:ext xmlns:c16="http://schemas.microsoft.com/office/drawing/2014/chart" uri="{C3380CC4-5D6E-409C-BE32-E72D297353CC}">
                <c16:uniqueId val="{00000000-A93D-4F51-8634-A7A97E8CC464}"/>
              </c:ext>
            </c:extLst>
          </c:dPt>
          <c:dPt>
            <c:idx val="1"/>
            <c:invertIfNegative val="0"/>
            <c:bubble3D val="0"/>
            <c:extLst>
              <c:ext xmlns:c16="http://schemas.microsoft.com/office/drawing/2014/chart" uri="{C3380CC4-5D6E-409C-BE32-E72D297353CC}">
                <c16:uniqueId val="{00000001-A93D-4F51-8634-A7A97E8CC464}"/>
              </c:ext>
            </c:extLst>
          </c:dPt>
          <c:dPt>
            <c:idx val="2"/>
            <c:invertIfNegative val="0"/>
            <c:bubble3D val="0"/>
            <c:extLst>
              <c:ext xmlns:c16="http://schemas.microsoft.com/office/drawing/2014/chart" uri="{C3380CC4-5D6E-409C-BE32-E72D297353CC}">
                <c16:uniqueId val="{00000002-A93D-4F51-8634-A7A97E8CC464}"/>
              </c:ext>
            </c:extLst>
          </c:dPt>
          <c:dPt>
            <c:idx val="3"/>
            <c:invertIfNegative val="0"/>
            <c:bubble3D val="0"/>
            <c:extLst>
              <c:ext xmlns:c16="http://schemas.microsoft.com/office/drawing/2014/chart" uri="{C3380CC4-5D6E-409C-BE32-E72D297353CC}">
                <c16:uniqueId val="{00000003-A93D-4F51-8634-A7A97E8CC464}"/>
              </c:ext>
            </c:extLst>
          </c:dPt>
          <c:dPt>
            <c:idx val="4"/>
            <c:invertIfNegative val="0"/>
            <c:bubble3D val="0"/>
            <c:extLst>
              <c:ext xmlns:c16="http://schemas.microsoft.com/office/drawing/2014/chart" uri="{C3380CC4-5D6E-409C-BE32-E72D297353CC}">
                <c16:uniqueId val="{00000004-A93D-4F51-8634-A7A97E8CC464}"/>
              </c:ext>
            </c:extLst>
          </c:dPt>
          <c:dPt>
            <c:idx val="5"/>
            <c:invertIfNegative val="0"/>
            <c:bubble3D val="0"/>
            <c:extLst>
              <c:ext xmlns:c16="http://schemas.microsoft.com/office/drawing/2014/chart" uri="{C3380CC4-5D6E-409C-BE32-E72D297353CC}">
                <c16:uniqueId val="{00000005-A93D-4F51-8634-A7A97E8CC464}"/>
              </c:ext>
            </c:extLst>
          </c:dPt>
          <c:dPt>
            <c:idx val="6"/>
            <c:invertIfNegative val="0"/>
            <c:bubble3D val="0"/>
            <c:extLst>
              <c:ext xmlns:c16="http://schemas.microsoft.com/office/drawing/2014/chart" uri="{C3380CC4-5D6E-409C-BE32-E72D297353CC}">
                <c16:uniqueId val="{00000006-A93D-4F51-8634-A7A97E8CC464}"/>
              </c:ext>
            </c:extLst>
          </c:dPt>
          <c:dPt>
            <c:idx val="7"/>
            <c:invertIfNegative val="0"/>
            <c:bubble3D val="0"/>
            <c:extLst>
              <c:ext xmlns:c16="http://schemas.microsoft.com/office/drawing/2014/chart" uri="{C3380CC4-5D6E-409C-BE32-E72D297353CC}">
                <c16:uniqueId val="{00000007-A93D-4F51-8634-A7A97E8CC464}"/>
              </c:ext>
            </c:extLst>
          </c:dPt>
          <c:dPt>
            <c:idx val="8"/>
            <c:invertIfNegative val="0"/>
            <c:bubble3D val="0"/>
            <c:extLst>
              <c:ext xmlns:c16="http://schemas.microsoft.com/office/drawing/2014/chart" uri="{C3380CC4-5D6E-409C-BE32-E72D297353CC}">
                <c16:uniqueId val="{00000008-A93D-4F51-8634-A7A97E8CC464}"/>
              </c:ext>
            </c:extLst>
          </c:dPt>
          <c:dPt>
            <c:idx val="9"/>
            <c:invertIfNegative val="0"/>
            <c:bubble3D val="0"/>
            <c:extLst>
              <c:ext xmlns:c16="http://schemas.microsoft.com/office/drawing/2014/chart" uri="{C3380CC4-5D6E-409C-BE32-E72D297353CC}">
                <c16:uniqueId val="{00000009-A93D-4F51-8634-A7A97E8CC464}"/>
              </c:ext>
            </c:extLst>
          </c:dPt>
          <c:dPt>
            <c:idx val="10"/>
            <c:invertIfNegative val="0"/>
            <c:bubble3D val="0"/>
            <c:extLst>
              <c:ext xmlns:c16="http://schemas.microsoft.com/office/drawing/2014/chart" uri="{C3380CC4-5D6E-409C-BE32-E72D297353CC}">
                <c16:uniqueId val="{0000000A-A93D-4F51-8634-A7A97E8CC464}"/>
              </c:ext>
            </c:extLst>
          </c:dPt>
          <c:dPt>
            <c:idx val="11"/>
            <c:invertIfNegative val="0"/>
            <c:bubble3D val="0"/>
            <c:extLst>
              <c:ext xmlns:c16="http://schemas.microsoft.com/office/drawing/2014/chart" uri="{C3380CC4-5D6E-409C-BE32-E72D297353CC}">
                <c16:uniqueId val="{0000000B-A93D-4F51-8634-A7A97E8CC464}"/>
              </c:ext>
            </c:extLst>
          </c:dPt>
          <c:dPt>
            <c:idx val="12"/>
            <c:invertIfNegative val="0"/>
            <c:bubble3D val="0"/>
            <c:extLst>
              <c:ext xmlns:c16="http://schemas.microsoft.com/office/drawing/2014/chart" uri="{C3380CC4-5D6E-409C-BE32-E72D297353CC}">
                <c16:uniqueId val="{0000000C-A93D-4F51-8634-A7A97E8CC464}"/>
              </c:ext>
            </c:extLst>
          </c:dPt>
          <c:dPt>
            <c:idx val="13"/>
            <c:invertIfNegative val="0"/>
            <c:bubble3D val="0"/>
            <c:extLst>
              <c:ext xmlns:c16="http://schemas.microsoft.com/office/drawing/2014/chart" uri="{C3380CC4-5D6E-409C-BE32-E72D297353CC}">
                <c16:uniqueId val="{0000000D-A93D-4F51-8634-A7A97E8CC464}"/>
              </c:ext>
            </c:extLst>
          </c:dPt>
          <c:dPt>
            <c:idx val="14"/>
            <c:invertIfNegative val="0"/>
            <c:bubble3D val="0"/>
            <c:extLst>
              <c:ext xmlns:c16="http://schemas.microsoft.com/office/drawing/2014/chart" uri="{C3380CC4-5D6E-409C-BE32-E72D297353CC}">
                <c16:uniqueId val="{0000000E-A93D-4F51-8634-A7A97E8CC464}"/>
              </c:ext>
            </c:extLst>
          </c:dPt>
          <c:dPt>
            <c:idx val="15"/>
            <c:invertIfNegative val="0"/>
            <c:bubble3D val="0"/>
            <c:extLst>
              <c:ext xmlns:c16="http://schemas.microsoft.com/office/drawing/2014/chart" uri="{C3380CC4-5D6E-409C-BE32-E72D297353CC}">
                <c16:uniqueId val="{0000000F-A93D-4F51-8634-A7A97E8CC464}"/>
              </c:ext>
            </c:extLst>
          </c:dPt>
          <c:dPt>
            <c:idx val="16"/>
            <c:invertIfNegative val="0"/>
            <c:bubble3D val="0"/>
            <c:extLst>
              <c:ext xmlns:c16="http://schemas.microsoft.com/office/drawing/2014/chart" uri="{C3380CC4-5D6E-409C-BE32-E72D297353CC}">
                <c16:uniqueId val="{00000010-A93D-4F51-8634-A7A97E8CC464}"/>
              </c:ext>
            </c:extLst>
          </c:dPt>
          <c:dPt>
            <c:idx val="17"/>
            <c:invertIfNegative val="0"/>
            <c:bubble3D val="0"/>
            <c:extLst>
              <c:ext xmlns:c16="http://schemas.microsoft.com/office/drawing/2014/chart" uri="{C3380CC4-5D6E-409C-BE32-E72D297353CC}">
                <c16:uniqueId val="{00000011-A93D-4F51-8634-A7A97E8CC464}"/>
              </c:ext>
            </c:extLst>
          </c:dPt>
          <c:dPt>
            <c:idx val="18"/>
            <c:invertIfNegative val="0"/>
            <c:bubble3D val="0"/>
            <c:extLst>
              <c:ext xmlns:c16="http://schemas.microsoft.com/office/drawing/2014/chart" uri="{C3380CC4-5D6E-409C-BE32-E72D297353CC}">
                <c16:uniqueId val="{00000012-A93D-4F51-8634-A7A97E8CC464}"/>
              </c:ext>
            </c:extLst>
          </c:dPt>
          <c:dPt>
            <c:idx val="19"/>
            <c:invertIfNegative val="0"/>
            <c:bubble3D val="0"/>
            <c:extLst>
              <c:ext xmlns:c16="http://schemas.microsoft.com/office/drawing/2014/chart" uri="{C3380CC4-5D6E-409C-BE32-E72D297353CC}">
                <c16:uniqueId val="{00000013-A93D-4F51-8634-A7A97E8CC464}"/>
              </c:ext>
            </c:extLst>
          </c:dPt>
          <c:dPt>
            <c:idx val="20"/>
            <c:invertIfNegative val="0"/>
            <c:bubble3D val="0"/>
            <c:extLst>
              <c:ext xmlns:c16="http://schemas.microsoft.com/office/drawing/2014/chart" uri="{C3380CC4-5D6E-409C-BE32-E72D297353CC}">
                <c16:uniqueId val="{00000014-A93D-4F51-8634-A7A97E8CC464}"/>
              </c:ext>
            </c:extLst>
          </c:dPt>
          <c:dPt>
            <c:idx val="21"/>
            <c:invertIfNegative val="0"/>
            <c:bubble3D val="0"/>
            <c:extLst>
              <c:ext xmlns:c16="http://schemas.microsoft.com/office/drawing/2014/chart" uri="{C3380CC4-5D6E-409C-BE32-E72D297353CC}">
                <c16:uniqueId val="{00000015-A93D-4F51-8634-A7A97E8CC464}"/>
              </c:ext>
            </c:extLst>
          </c:dPt>
          <c:dPt>
            <c:idx val="22"/>
            <c:invertIfNegative val="0"/>
            <c:bubble3D val="0"/>
            <c:extLst>
              <c:ext xmlns:c16="http://schemas.microsoft.com/office/drawing/2014/chart" uri="{C3380CC4-5D6E-409C-BE32-E72D297353CC}">
                <c16:uniqueId val="{00000016-A93D-4F51-8634-A7A97E8CC464}"/>
              </c:ext>
            </c:extLst>
          </c:dPt>
          <c:dPt>
            <c:idx val="23"/>
            <c:invertIfNegative val="0"/>
            <c:bubble3D val="0"/>
            <c:extLst>
              <c:ext xmlns:c16="http://schemas.microsoft.com/office/drawing/2014/chart" uri="{C3380CC4-5D6E-409C-BE32-E72D297353CC}">
                <c16:uniqueId val="{00000017-A93D-4F51-8634-A7A97E8CC464}"/>
              </c:ext>
            </c:extLst>
          </c:dPt>
          <c:dPt>
            <c:idx val="24"/>
            <c:invertIfNegative val="0"/>
            <c:bubble3D val="0"/>
            <c:extLst>
              <c:ext xmlns:c16="http://schemas.microsoft.com/office/drawing/2014/chart" uri="{C3380CC4-5D6E-409C-BE32-E72D297353CC}">
                <c16:uniqueId val="{00000018-A93D-4F51-8634-A7A97E8CC464}"/>
              </c:ext>
            </c:extLst>
          </c:dPt>
          <c:dPt>
            <c:idx val="25"/>
            <c:invertIfNegative val="0"/>
            <c:bubble3D val="0"/>
            <c:extLst>
              <c:ext xmlns:c16="http://schemas.microsoft.com/office/drawing/2014/chart" uri="{C3380CC4-5D6E-409C-BE32-E72D297353CC}">
                <c16:uniqueId val="{00000019-A93D-4F51-8634-A7A97E8CC464}"/>
              </c:ext>
            </c:extLst>
          </c:dPt>
          <c:dPt>
            <c:idx val="26"/>
            <c:invertIfNegative val="0"/>
            <c:bubble3D val="0"/>
            <c:extLst>
              <c:ext xmlns:c16="http://schemas.microsoft.com/office/drawing/2014/chart" uri="{C3380CC4-5D6E-409C-BE32-E72D297353CC}">
                <c16:uniqueId val="{0000001A-A93D-4F51-8634-A7A97E8CC464}"/>
              </c:ext>
            </c:extLst>
          </c:dPt>
          <c:dPt>
            <c:idx val="27"/>
            <c:invertIfNegative val="0"/>
            <c:bubble3D val="0"/>
            <c:extLst>
              <c:ext xmlns:c16="http://schemas.microsoft.com/office/drawing/2014/chart" uri="{C3380CC4-5D6E-409C-BE32-E72D297353CC}">
                <c16:uniqueId val="{0000001B-A93D-4F51-8634-A7A97E8CC464}"/>
              </c:ext>
            </c:extLst>
          </c:dPt>
          <c:dPt>
            <c:idx val="28"/>
            <c:invertIfNegative val="0"/>
            <c:bubble3D val="0"/>
            <c:extLst>
              <c:ext xmlns:c16="http://schemas.microsoft.com/office/drawing/2014/chart" uri="{C3380CC4-5D6E-409C-BE32-E72D297353CC}">
                <c16:uniqueId val="{0000001C-A93D-4F51-8634-A7A97E8CC464}"/>
              </c:ext>
            </c:extLst>
          </c:dPt>
          <c:dPt>
            <c:idx val="29"/>
            <c:invertIfNegative val="0"/>
            <c:bubble3D val="0"/>
            <c:extLst>
              <c:ext xmlns:c16="http://schemas.microsoft.com/office/drawing/2014/chart" uri="{C3380CC4-5D6E-409C-BE32-E72D297353CC}">
                <c16:uniqueId val="{0000001D-A93D-4F51-8634-A7A97E8CC464}"/>
              </c:ext>
            </c:extLst>
          </c:dPt>
          <c:dPt>
            <c:idx val="30"/>
            <c:invertIfNegative val="0"/>
            <c:bubble3D val="0"/>
            <c:extLst>
              <c:ext xmlns:c16="http://schemas.microsoft.com/office/drawing/2014/chart" uri="{C3380CC4-5D6E-409C-BE32-E72D297353CC}">
                <c16:uniqueId val="{0000001E-A93D-4F51-8634-A7A97E8CC464}"/>
              </c:ext>
            </c:extLst>
          </c:dPt>
          <c:dPt>
            <c:idx val="31"/>
            <c:invertIfNegative val="0"/>
            <c:bubble3D val="0"/>
            <c:extLst>
              <c:ext xmlns:c16="http://schemas.microsoft.com/office/drawing/2014/chart" uri="{C3380CC4-5D6E-409C-BE32-E72D297353CC}">
                <c16:uniqueId val="{0000001F-A93D-4F51-8634-A7A97E8CC464}"/>
              </c:ext>
            </c:extLst>
          </c:dPt>
          <c:dPt>
            <c:idx val="32"/>
            <c:invertIfNegative val="0"/>
            <c:bubble3D val="0"/>
            <c:extLst>
              <c:ext xmlns:c16="http://schemas.microsoft.com/office/drawing/2014/chart" uri="{C3380CC4-5D6E-409C-BE32-E72D297353CC}">
                <c16:uniqueId val="{00000020-A93D-4F51-8634-A7A97E8CC464}"/>
              </c:ext>
            </c:extLst>
          </c:dPt>
          <c:dLbls>
            <c:spPr>
              <a:noFill/>
              <a:ln>
                <a:noFill/>
              </a:ln>
              <a:effectLst/>
            </c:spPr>
            <c:txPr>
              <a:bodyPr/>
              <a:lstStyle/>
              <a:p>
                <a:pPr>
                  <a:defRPr sz="800" b="1" baseline="0">
                    <a:solidFill>
                      <a:srgbClr val="4D565E"/>
                    </a:solidFill>
                    <a:latin typeface="Arial" panose="020B0604020202020204" pitchFamily="34" charset="0"/>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'G4 ter'!$B$4:$B$36</c:f>
              <c:strCache>
                <c:ptCount val="33"/>
                <c:pt idx="0">
                  <c:v>Quintana Roo</c:v>
                </c:pt>
                <c:pt idx="1">
                  <c:v>Nayarit</c:v>
                </c:pt>
                <c:pt idx="2">
                  <c:v>Tlaxcala</c:v>
                </c:pt>
                <c:pt idx="3">
                  <c:v>Puebla</c:v>
                </c:pt>
                <c:pt idx="4">
                  <c:v>Campeche</c:v>
                </c:pt>
                <c:pt idx="5">
                  <c:v>Michoacán de Ocampo</c:v>
                </c:pt>
                <c:pt idx="6">
                  <c:v>Jalisco</c:v>
                </c:pt>
                <c:pt idx="7">
                  <c:v>Nuevo León</c:v>
                </c:pt>
                <c:pt idx="8">
                  <c:v>Zacatecas</c:v>
                </c:pt>
                <c:pt idx="9">
                  <c:v>México</c:v>
                </c:pt>
                <c:pt idx="10">
                  <c:v>Guanajuato</c:v>
                </c:pt>
                <c:pt idx="11">
                  <c:v>Tamaulipas</c:v>
                </c:pt>
                <c:pt idx="12">
                  <c:v>Estados Unidos Mexicanos</c:v>
                </c:pt>
                <c:pt idx="13">
                  <c:v>Baja California</c:v>
                </c:pt>
                <c:pt idx="14">
                  <c:v>Veracruz de Ignacio de la Llave</c:v>
                </c:pt>
                <c:pt idx="15">
                  <c:v>Morelos</c:v>
                </c:pt>
                <c:pt idx="16">
                  <c:v>Ciudad de México</c:v>
                </c:pt>
                <c:pt idx="17">
                  <c:v>San Luis Potosí</c:v>
                </c:pt>
                <c:pt idx="18">
                  <c:v>Chihuahua</c:v>
                </c:pt>
                <c:pt idx="19">
                  <c:v>Baja California Sur</c:v>
                </c:pt>
                <c:pt idx="20">
                  <c:v>Querétaro</c:v>
                </c:pt>
                <c:pt idx="21">
                  <c:v>Sonora</c:v>
                </c:pt>
                <c:pt idx="22">
                  <c:v>Guerrero</c:v>
                </c:pt>
                <c:pt idx="23">
                  <c:v>Tabasco</c:v>
                </c:pt>
                <c:pt idx="24">
                  <c:v>Hidalgo</c:v>
                </c:pt>
                <c:pt idx="25">
                  <c:v>Yucatán</c:v>
                </c:pt>
                <c:pt idx="26">
                  <c:v>Chiapas</c:v>
                </c:pt>
                <c:pt idx="27">
                  <c:v>Sinaloa</c:v>
                </c:pt>
                <c:pt idx="28">
                  <c:v>Oaxaca</c:v>
                </c:pt>
                <c:pt idx="29">
                  <c:v>Coahuila de Zaragoza</c:v>
                </c:pt>
                <c:pt idx="30">
                  <c:v>Durango</c:v>
                </c:pt>
                <c:pt idx="31">
                  <c:v>Aguascalientes</c:v>
                </c:pt>
                <c:pt idx="32">
                  <c:v>Colima</c:v>
                </c:pt>
              </c:strCache>
            </c:strRef>
          </c:cat>
          <c:val>
            <c:numRef>
              <c:f>'G4 ter'!$F$4:$F$36</c:f>
              <c:numCache>
                <c:formatCode>0.0;\-0.0;;\ @</c:formatCode>
                <c:ptCount val="33"/>
                <c:pt idx="0">
                  <c:v>-0.82628337340236158</c:v>
                </c:pt>
                <c:pt idx="1">
                  <c:v>-7.911323960733796E-2</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1-A93D-4F51-8634-A7A97E8CC464}"/>
            </c:ext>
          </c:extLst>
        </c:ser>
        <c:ser>
          <c:idx val="1"/>
          <c:order val="1"/>
          <c:spPr>
            <a:solidFill>
              <a:srgbClr val="08989C"/>
            </a:solidFill>
            <a:effectLst/>
            <a:scene3d>
              <a:camera prst="orthographicFront"/>
              <a:lightRig rig="threePt" dir="t">
                <a:rot lat="0" lon="0" rev="1200000"/>
              </a:lightRig>
            </a:scene3d>
            <a:sp3d/>
          </c:spPr>
          <c:invertIfNegative val="0"/>
          <c:dLbls>
            <c:spPr>
              <a:noFill/>
              <a:ln>
                <a:noFill/>
              </a:ln>
              <a:effectLst/>
            </c:spPr>
            <c:txPr>
              <a:bodyPr wrap="square" lIns="38100" tIns="19050" rIns="38100" bIns="19050" anchor="ctr">
                <a:spAutoFit/>
              </a:bodyPr>
              <a:lstStyle/>
              <a:p>
                <a:pPr>
                  <a:defRPr sz="800" b="1">
                    <a:solidFill>
                      <a:srgbClr val="4D565E"/>
                    </a:solidFill>
                    <a:latin typeface="Arial" panose="020B0604020202020204" pitchFamily="34" charset="0"/>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'G4 ter'!$B$4:$B$36</c:f>
              <c:strCache>
                <c:ptCount val="33"/>
                <c:pt idx="0">
                  <c:v>Quintana Roo</c:v>
                </c:pt>
                <c:pt idx="1">
                  <c:v>Nayarit</c:v>
                </c:pt>
                <c:pt idx="2">
                  <c:v>Tlaxcala</c:v>
                </c:pt>
                <c:pt idx="3">
                  <c:v>Puebla</c:v>
                </c:pt>
                <c:pt idx="4">
                  <c:v>Campeche</c:v>
                </c:pt>
                <c:pt idx="5">
                  <c:v>Michoacán de Ocampo</c:v>
                </c:pt>
                <c:pt idx="6">
                  <c:v>Jalisco</c:v>
                </c:pt>
                <c:pt idx="7">
                  <c:v>Nuevo León</c:v>
                </c:pt>
                <c:pt idx="8">
                  <c:v>Zacatecas</c:v>
                </c:pt>
                <c:pt idx="9">
                  <c:v>México</c:v>
                </c:pt>
                <c:pt idx="10">
                  <c:v>Guanajuato</c:v>
                </c:pt>
                <c:pt idx="11">
                  <c:v>Tamaulipas</c:v>
                </c:pt>
                <c:pt idx="12">
                  <c:v>Estados Unidos Mexicanos</c:v>
                </c:pt>
                <c:pt idx="13">
                  <c:v>Baja California</c:v>
                </c:pt>
                <c:pt idx="14">
                  <c:v>Veracruz de Ignacio de la Llave</c:v>
                </c:pt>
                <c:pt idx="15">
                  <c:v>Morelos</c:v>
                </c:pt>
                <c:pt idx="16">
                  <c:v>Ciudad de México</c:v>
                </c:pt>
                <c:pt idx="17">
                  <c:v>San Luis Potosí</c:v>
                </c:pt>
                <c:pt idx="18">
                  <c:v>Chihuahua</c:v>
                </c:pt>
                <c:pt idx="19">
                  <c:v>Baja California Sur</c:v>
                </c:pt>
                <c:pt idx="20">
                  <c:v>Querétaro</c:v>
                </c:pt>
                <c:pt idx="21">
                  <c:v>Sonora</c:v>
                </c:pt>
                <c:pt idx="22">
                  <c:v>Guerrero</c:v>
                </c:pt>
                <c:pt idx="23">
                  <c:v>Tabasco</c:v>
                </c:pt>
                <c:pt idx="24">
                  <c:v>Hidalgo</c:v>
                </c:pt>
                <c:pt idx="25">
                  <c:v>Yucatán</c:v>
                </c:pt>
                <c:pt idx="26">
                  <c:v>Chiapas</c:v>
                </c:pt>
                <c:pt idx="27">
                  <c:v>Sinaloa</c:v>
                </c:pt>
                <c:pt idx="28">
                  <c:v>Oaxaca</c:v>
                </c:pt>
                <c:pt idx="29">
                  <c:v>Coahuila de Zaragoza</c:v>
                </c:pt>
                <c:pt idx="30">
                  <c:v>Durango</c:v>
                </c:pt>
                <c:pt idx="31">
                  <c:v>Aguascalientes</c:v>
                </c:pt>
                <c:pt idx="32">
                  <c:v>Colima</c:v>
                </c:pt>
              </c:strCache>
            </c:strRef>
          </c:cat>
          <c:val>
            <c:numRef>
              <c:f>'G4 ter'!$G$4:$G$36</c:f>
              <c:numCache>
                <c:formatCode>0.0;\-0.0;;\ @</c:formatCode>
                <c:ptCount val="33"/>
                <c:pt idx="0">
                  <c:v>0</c:v>
                </c:pt>
                <c:pt idx="1">
                  <c:v>0</c:v>
                </c:pt>
                <c:pt idx="2">
                  <c:v>0.9998726713572097</c:v>
                </c:pt>
                <c:pt idx="3">
                  <c:v>1.34663218889375</c:v>
                </c:pt>
                <c:pt idx="4">
                  <c:v>1.5184268778331074</c:v>
                </c:pt>
                <c:pt idx="5">
                  <c:v>1.6215451278453656</c:v>
                </c:pt>
                <c:pt idx="6">
                  <c:v>1.6343666461092567</c:v>
                </c:pt>
                <c:pt idx="7">
                  <c:v>1.908303670182022</c:v>
                </c:pt>
                <c:pt idx="8">
                  <c:v>1.9345986453565445</c:v>
                </c:pt>
                <c:pt idx="9">
                  <c:v>2.0234366132939101</c:v>
                </c:pt>
                <c:pt idx="10">
                  <c:v>2.0499612147184507</c:v>
                </c:pt>
                <c:pt idx="11">
                  <c:v>2.102542017035816</c:v>
                </c:pt>
                <c:pt idx="12">
                  <c:v>0</c:v>
                </c:pt>
                <c:pt idx="13">
                  <c:v>2.3799604891665496</c:v>
                </c:pt>
                <c:pt idx="14">
                  <c:v>2.4409920171245574</c:v>
                </c:pt>
                <c:pt idx="15">
                  <c:v>2.474283953298368</c:v>
                </c:pt>
                <c:pt idx="16">
                  <c:v>0</c:v>
                </c:pt>
                <c:pt idx="17">
                  <c:v>2.5996769017210539</c:v>
                </c:pt>
                <c:pt idx="18">
                  <c:v>2.7757581246637102</c:v>
                </c:pt>
                <c:pt idx="19">
                  <c:v>2.876786896997757</c:v>
                </c:pt>
                <c:pt idx="20">
                  <c:v>2.9046499439471631</c:v>
                </c:pt>
                <c:pt idx="21">
                  <c:v>2.9728302051536417</c:v>
                </c:pt>
                <c:pt idx="22">
                  <c:v>3.0353245292531454</c:v>
                </c:pt>
                <c:pt idx="23">
                  <c:v>3.1219831851668545</c:v>
                </c:pt>
                <c:pt idx="24">
                  <c:v>3.165755190175858</c:v>
                </c:pt>
                <c:pt idx="25">
                  <c:v>3.2419893925203667</c:v>
                </c:pt>
                <c:pt idx="26">
                  <c:v>3.2629931350403041</c:v>
                </c:pt>
                <c:pt idx="27">
                  <c:v>3.287988070535647</c:v>
                </c:pt>
                <c:pt idx="28">
                  <c:v>3.3469835188274004</c:v>
                </c:pt>
                <c:pt idx="29">
                  <c:v>3.4732593632145239</c:v>
                </c:pt>
                <c:pt idx="30">
                  <c:v>3.5520592237953821</c:v>
                </c:pt>
                <c:pt idx="31">
                  <c:v>3.6862487315542296</c:v>
                </c:pt>
                <c:pt idx="32">
                  <c:v>5.4463670885019297</c:v>
                </c:pt>
              </c:numCache>
            </c:numRef>
          </c:val>
          <c:extLst>
            <c:ext xmlns:c16="http://schemas.microsoft.com/office/drawing/2014/chart" uri="{C3380CC4-5D6E-409C-BE32-E72D297353CC}">
              <c16:uniqueId val="{00000022-A93D-4F51-8634-A7A97E8CC464}"/>
            </c:ext>
          </c:extLst>
        </c:ser>
        <c:ser>
          <c:idx val="2"/>
          <c:order val="2"/>
          <c:spPr>
            <a:solidFill>
              <a:srgbClr val="C0C0C0"/>
            </a:solidFill>
            <a:effectLst/>
            <a:scene3d>
              <a:camera prst="orthographicFront"/>
              <a:lightRig rig="threePt" dir="t">
                <a:rot lat="0" lon="0" rev="1200000"/>
              </a:lightRig>
            </a:scene3d>
            <a:sp3d/>
          </c:spPr>
          <c:invertIfNegative val="0"/>
          <c:dLbls>
            <c:spPr>
              <a:noFill/>
              <a:ln>
                <a:noFill/>
              </a:ln>
              <a:effectLst/>
            </c:spPr>
            <c:txPr>
              <a:bodyPr wrap="square" lIns="38100" tIns="19050" rIns="38100" bIns="19050" anchor="ctr">
                <a:spAutoFit/>
              </a:bodyPr>
              <a:lstStyle/>
              <a:p>
                <a:pPr>
                  <a:defRPr sz="800" b="1">
                    <a:solidFill>
                      <a:srgbClr val="4D565E"/>
                    </a:solidFill>
                    <a:latin typeface="Arial" panose="020B0604020202020204" pitchFamily="34" charset="0"/>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'G4 ter'!$B$4:$B$36</c:f>
              <c:strCache>
                <c:ptCount val="33"/>
                <c:pt idx="0">
                  <c:v>Quintana Roo</c:v>
                </c:pt>
                <c:pt idx="1">
                  <c:v>Nayarit</c:v>
                </c:pt>
                <c:pt idx="2">
                  <c:v>Tlaxcala</c:v>
                </c:pt>
                <c:pt idx="3">
                  <c:v>Puebla</c:v>
                </c:pt>
                <c:pt idx="4">
                  <c:v>Campeche</c:v>
                </c:pt>
                <c:pt idx="5">
                  <c:v>Michoacán de Ocampo</c:v>
                </c:pt>
                <c:pt idx="6">
                  <c:v>Jalisco</c:v>
                </c:pt>
                <c:pt idx="7">
                  <c:v>Nuevo León</c:v>
                </c:pt>
                <c:pt idx="8">
                  <c:v>Zacatecas</c:v>
                </c:pt>
                <c:pt idx="9">
                  <c:v>México</c:v>
                </c:pt>
                <c:pt idx="10">
                  <c:v>Guanajuato</c:v>
                </c:pt>
                <c:pt idx="11">
                  <c:v>Tamaulipas</c:v>
                </c:pt>
                <c:pt idx="12">
                  <c:v>Estados Unidos Mexicanos</c:v>
                </c:pt>
                <c:pt idx="13">
                  <c:v>Baja California</c:v>
                </c:pt>
                <c:pt idx="14">
                  <c:v>Veracruz de Ignacio de la Llave</c:v>
                </c:pt>
                <c:pt idx="15">
                  <c:v>Morelos</c:v>
                </c:pt>
                <c:pt idx="16">
                  <c:v>Ciudad de México</c:v>
                </c:pt>
                <c:pt idx="17">
                  <c:v>San Luis Potosí</c:v>
                </c:pt>
                <c:pt idx="18">
                  <c:v>Chihuahua</c:v>
                </c:pt>
                <c:pt idx="19">
                  <c:v>Baja California Sur</c:v>
                </c:pt>
                <c:pt idx="20">
                  <c:v>Querétaro</c:v>
                </c:pt>
                <c:pt idx="21">
                  <c:v>Sonora</c:v>
                </c:pt>
                <c:pt idx="22">
                  <c:v>Guerrero</c:v>
                </c:pt>
                <c:pt idx="23">
                  <c:v>Tabasco</c:v>
                </c:pt>
                <c:pt idx="24">
                  <c:v>Hidalgo</c:v>
                </c:pt>
                <c:pt idx="25">
                  <c:v>Yucatán</c:v>
                </c:pt>
                <c:pt idx="26">
                  <c:v>Chiapas</c:v>
                </c:pt>
                <c:pt idx="27">
                  <c:v>Sinaloa</c:v>
                </c:pt>
                <c:pt idx="28">
                  <c:v>Oaxaca</c:v>
                </c:pt>
                <c:pt idx="29">
                  <c:v>Coahuila de Zaragoza</c:v>
                </c:pt>
                <c:pt idx="30">
                  <c:v>Durango</c:v>
                </c:pt>
                <c:pt idx="31">
                  <c:v>Aguascalientes</c:v>
                </c:pt>
                <c:pt idx="32">
                  <c:v>Colima</c:v>
                </c:pt>
              </c:strCache>
            </c:strRef>
          </c:cat>
          <c:val>
            <c:numRef>
              <c:f>'G4 ter'!$D$4:$D$36</c:f>
              <c:numCache>
                <c:formatCode>0.0;\-0.0;;\ @</c:formatCode>
                <c:ptCount val="33"/>
                <c:pt idx="0">
                  <c:v>0</c:v>
                </c:pt>
                <c:pt idx="1">
                  <c:v>0</c:v>
                </c:pt>
                <c:pt idx="2">
                  <c:v>0</c:v>
                </c:pt>
                <c:pt idx="3">
                  <c:v>0</c:v>
                </c:pt>
                <c:pt idx="4">
                  <c:v>0</c:v>
                </c:pt>
                <c:pt idx="5">
                  <c:v>0</c:v>
                </c:pt>
                <c:pt idx="6">
                  <c:v>0</c:v>
                </c:pt>
                <c:pt idx="7">
                  <c:v>0</c:v>
                </c:pt>
                <c:pt idx="8">
                  <c:v>0</c:v>
                </c:pt>
                <c:pt idx="9">
                  <c:v>0</c:v>
                </c:pt>
                <c:pt idx="10">
                  <c:v>0</c:v>
                </c:pt>
                <c:pt idx="11">
                  <c:v>0</c:v>
                </c:pt>
                <c:pt idx="12">
                  <c:v>2.3490402910842221</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3-A93D-4F51-8634-A7A97E8CC464}"/>
            </c:ext>
          </c:extLst>
        </c:ser>
        <c:ser>
          <c:idx val="3"/>
          <c:order val="3"/>
          <c:spPr>
            <a:solidFill>
              <a:srgbClr val="003057"/>
            </a:solidFill>
            <a:effectLst/>
            <a:scene3d>
              <a:camera prst="orthographicFront"/>
              <a:lightRig rig="threePt" dir="t">
                <a:rot lat="0" lon="0" rev="1200000"/>
              </a:lightRig>
            </a:scene3d>
            <a:sp3d/>
          </c:spPr>
          <c:invertIfNegative val="0"/>
          <c:dLbls>
            <c:dLbl>
              <c:idx val="32"/>
              <c:layout>
                <c:manualLayout>
                  <c:x val="-9.202898550724637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A93D-4F51-8634-A7A97E8CC464}"/>
                </c:ext>
              </c:extLst>
            </c:dLbl>
            <c:spPr>
              <a:noFill/>
              <a:ln>
                <a:noFill/>
              </a:ln>
              <a:effectLst/>
            </c:spPr>
            <c:txPr>
              <a:bodyPr wrap="square" lIns="38100" tIns="19050" rIns="38100" bIns="19050" anchor="ctr">
                <a:spAutoFit/>
              </a:bodyPr>
              <a:lstStyle/>
              <a:p>
                <a:pPr>
                  <a:defRPr sz="800" b="1">
                    <a:solidFill>
                      <a:srgbClr val="4D565E"/>
                    </a:solidFill>
                    <a:latin typeface="Arial" panose="020B0604020202020204" pitchFamily="34" charset="0"/>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'G4 ter'!$B$4:$B$36</c:f>
              <c:strCache>
                <c:ptCount val="33"/>
                <c:pt idx="0">
                  <c:v>Quintana Roo</c:v>
                </c:pt>
                <c:pt idx="1">
                  <c:v>Nayarit</c:v>
                </c:pt>
                <c:pt idx="2">
                  <c:v>Tlaxcala</c:v>
                </c:pt>
                <c:pt idx="3">
                  <c:v>Puebla</c:v>
                </c:pt>
                <c:pt idx="4">
                  <c:v>Campeche</c:v>
                </c:pt>
                <c:pt idx="5">
                  <c:v>Michoacán de Ocampo</c:v>
                </c:pt>
                <c:pt idx="6">
                  <c:v>Jalisco</c:v>
                </c:pt>
                <c:pt idx="7">
                  <c:v>Nuevo León</c:v>
                </c:pt>
                <c:pt idx="8">
                  <c:v>Zacatecas</c:v>
                </c:pt>
                <c:pt idx="9">
                  <c:v>México</c:v>
                </c:pt>
                <c:pt idx="10">
                  <c:v>Guanajuato</c:v>
                </c:pt>
                <c:pt idx="11">
                  <c:v>Tamaulipas</c:v>
                </c:pt>
                <c:pt idx="12">
                  <c:v>Estados Unidos Mexicanos</c:v>
                </c:pt>
                <c:pt idx="13">
                  <c:v>Baja California</c:v>
                </c:pt>
                <c:pt idx="14">
                  <c:v>Veracruz de Ignacio de la Llave</c:v>
                </c:pt>
                <c:pt idx="15">
                  <c:v>Morelos</c:v>
                </c:pt>
                <c:pt idx="16">
                  <c:v>Ciudad de México</c:v>
                </c:pt>
                <c:pt idx="17">
                  <c:v>San Luis Potosí</c:v>
                </c:pt>
                <c:pt idx="18">
                  <c:v>Chihuahua</c:v>
                </c:pt>
                <c:pt idx="19">
                  <c:v>Baja California Sur</c:v>
                </c:pt>
                <c:pt idx="20">
                  <c:v>Querétaro</c:v>
                </c:pt>
                <c:pt idx="21">
                  <c:v>Sonora</c:v>
                </c:pt>
                <c:pt idx="22">
                  <c:v>Guerrero</c:v>
                </c:pt>
                <c:pt idx="23">
                  <c:v>Tabasco</c:v>
                </c:pt>
                <c:pt idx="24">
                  <c:v>Hidalgo</c:v>
                </c:pt>
                <c:pt idx="25">
                  <c:v>Yucatán</c:v>
                </c:pt>
                <c:pt idx="26">
                  <c:v>Chiapas</c:v>
                </c:pt>
                <c:pt idx="27">
                  <c:v>Sinaloa</c:v>
                </c:pt>
                <c:pt idx="28">
                  <c:v>Oaxaca</c:v>
                </c:pt>
                <c:pt idx="29">
                  <c:v>Coahuila de Zaragoza</c:v>
                </c:pt>
                <c:pt idx="30">
                  <c:v>Durango</c:v>
                </c:pt>
                <c:pt idx="31">
                  <c:v>Aguascalientes</c:v>
                </c:pt>
                <c:pt idx="32">
                  <c:v>Colima</c:v>
                </c:pt>
              </c:strCache>
            </c:strRef>
          </c:cat>
          <c:val>
            <c:numRef>
              <c:f>'G4 ter'!$E$4:$E$36</c:f>
              <c:numCache>
                <c:formatCode>0.0;\-0.0;;\ @</c:formatCode>
                <c:ptCount val="3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2.5715955711190759</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5-A93D-4F51-8634-A7A97E8CC464}"/>
            </c:ext>
          </c:extLst>
        </c:ser>
        <c:dLbls>
          <c:showLegendKey val="0"/>
          <c:showVal val="0"/>
          <c:showCatName val="0"/>
          <c:showSerName val="0"/>
          <c:showPercent val="0"/>
          <c:showBubbleSize val="0"/>
        </c:dLbls>
        <c:gapWidth val="45"/>
        <c:overlap val="100"/>
        <c:axId val="-1574192784"/>
        <c:axId val="-1574190608"/>
      </c:barChart>
      <c:catAx>
        <c:axId val="-1574192784"/>
        <c:scaling>
          <c:orientation val="minMax"/>
        </c:scaling>
        <c:delete val="0"/>
        <c:axPos val="l"/>
        <c:numFmt formatCode="General" sourceLinked="1"/>
        <c:majorTickMark val="none"/>
        <c:minorTickMark val="none"/>
        <c:tickLblPos val="low"/>
        <c:spPr>
          <a:ln w="19050">
            <a:solidFill>
              <a:srgbClr val="B72F05"/>
            </a:solidFill>
          </a:ln>
        </c:spPr>
        <c:txPr>
          <a:bodyPr/>
          <a:lstStyle/>
          <a:p>
            <a:pPr>
              <a:defRPr sz="800" b="0" i="0" baseline="0">
                <a:solidFill>
                  <a:srgbClr val="4D565E"/>
                </a:solidFill>
                <a:latin typeface="Arial" panose="020B0604020202020204" pitchFamily="34" charset="0"/>
                <a:cs typeface="Arial" panose="020B0604020202020204" pitchFamily="34" charset="0"/>
              </a:defRPr>
            </a:pPr>
            <a:endParaRPr lang="es-MX"/>
          </a:p>
        </c:txPr>
        <c:crossAx val="-1574190608"/>
        <c:crosses val="autoZero"/>
        <c:auto val="0"/>
        <c:lblAlgn val="ctr"/>
        <c:lblOffset val="100"/>
        <c:noMultiLvlLbl val="0"/>
      </c:catAx>
      <c:valAx>
        <c:axId val="-1574190608"/>
        <c:scaling>
          <c:orientation val="minMax"/>
        </c:scaling>
        <c:delete val="0"/>
        <c:axPos val="b"/>
        <c:numFmt formatCode="#,##0" sourceLinked="0"/>
        <c:majorTickMark val="out"/>
        <c:minorTickMark val="none"/>
        <c:tickLblPos val="nextTo"/>
        <c:spPr>
          <a:noFill/>
        </c:spPr>
        <c:txPr>
          <a:bodyPr/>
          <a:lstStyle/>
          <a:p>
            <a:pPr>
              <a:defRPr sz="800" b="0" i="0" baseline="0">
                <a:solidFill>
                  <a:srgbClr val="4D565E"/>
                </a:solidFill>
                <a:latin typeface="Arial" panose="020B0604020202020204" pitchFamily="34" charset="0"/>
                <a:cs typeface="Arial" panose="020B0604020202020204" pitchFamily="34" charset="0"/>
              </a:defRPr>
            </a:pPr>
            <a:endParaRPr lang="es-MX"/>
          </a:p>
        </c:txPr>
        <c:crossAx val="-1574192784"/>
        <c:crosses val="autoZero"/>
        <c:crossBetween val="between"/>
      </c:valAx>
      <c:spPr>
        <a:noFill/>
        <a:ln w="9525">
          <a:noFill/>
        </a:ln>
        <a:effectLst/>
      </c:spPr>
    </c:plotArea>
    <c:plotVisOnly val="0"/>
    <c:dispBlanksAs val="gap"/>
    <c:showDLblsOverMax val="0"/>
  </c:chart>
  <c:spPr>
    <a:noFill/>
    <a:ln>
      <a:noFill/>
    </a:ln>
    <a:effectLst/>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0.54270833333333335"/>
          <c:y val="2.8652777777777777E-2"/>
          <c:w val="0.38999826388888897"/>
          <c:h val="0.92369481481481486"/>
        </c:manualLayout>
      </c:layout>
      <c:barChart>
        <c:barDir val="bar"/>
        <c:grouping val="clustered"/>
        <c:varyColors val="0"/>
        <c:ser>
          <c:idx val="0"/>
          <c:order val="0"/>
          <c:spPr>
            <a:solidFill>
              <a:srgbClr val="08989C"/>
            </a:solidFill>
            <a:effectLst/>
            <a:scene3d>
              <a:camera prst="orthographicFront"/>
              <a:lightRig rig="threePt" dir="t">
                <a:rot lat="0" lon="0" rev="1200000"/>
              </a:lightRig>
            </a:scene3d>
            <a:sp3d/>
          </c:spPr>
          <c:invertIfNegative val="0"/>
          <c:dPt>
            <c:idx val="0"/>
            <c:invertIfNegative val="0"/>
            <c:bubble3D val="0"/>
            <c:extLst>
              <c:ext xmlns:c16="http://schemas.microsoft.com/office/drawing/2014/chart" uri="{C3380CC4-5D6E-409C-BE32-E72D297353CC}">
                <c16:uniqueId val="{00000000-34A7-4AC8-A42C-89C45E0D4AD8}"/>
              </c:ext>
            </c:extLst>
          </c:dPt>
          <c:dPt>
            <c:idx val="1"/>
            <c:invertIfNegative val="0"/>
            <c:bubble3D val="0"/>
            <c:extLst>
              <c:ext xmlns:c16="http://schemas.microsoft.com/office/drawing/2014/chart" uri="{C3380CC4-5D6E-409C-BE32-E72D297353CC}">
                <c16:uniqueId val="{00000001-34A7-4AC8-A42C-89C45E0D4AD8}"/>
              </c:ext>
            </c:extLst>
          </c:dPt>
          <c:dPt>
            <c:idx val="2"/>
            <c:invertIfNegative val="0"/>
            <c:bubble3D val="0"/>
            <c:extLst>
              <c:ext xmlns:c16="http://schemas.microsoft.com/office/drawing/2014/chart" uri="{C3380CC4-5D6E-409C-BE32-E72D297353CC}">
                <c16:uniqueId val="{00000002-34A7-4AC8-A42C-89C45E0D4AD8}"/>
              </c:ext>
            </c:extLst>
          </c:dPt>
          <c:dPt>
            <c:idx val="3"/>
            <c:invertIfNegative val="0"/>
            <c:bubble3D val="0"/>
            <c:extLst>
              <c:ext xmlns:c16="http://schemas.microsoft.com/office/drawing/2014/chart" uri="{C3380CC4-5D6E-409C-BE32-E72D297353CC}">
                <c16:uniqueId val="{00000003-34A7-4AC8-A42C-89C45E0D4AD8}"/>
              </c:ext>
            </c:extLst>
          </c:dPt>
          <c:dPt>
            <c:idx val="4"/>
            <c:invertIfNegative val="0"/>
            <c:bubble3D val="0"/>
            <c:extLst>
              <c:ext xmlns:c16="http://schemas.microsoft.com/office/drawing/2014/chart" uri="{C3380CC4-5D6E-409C-BE32-E72D297353CC}">
                <c16:uniqueId val="{00000004-34A7-4AC8-A42C-89C45E0D4AD8}"/>
              </c:ext>
            </c:extLst>
          </c:dPt>
          <c:dPt>
            <c:idx val="5"/>
            <c:invertIfNegative val="0"/>
            <c:bubble3D val="0"/>
            <c:extLst>
              <c:ext xmlns:c16="http://schemas.microsoft.com/office/drawing/2014/chart" uri="{C3380CC4-5D6E-409C-BE32-E72D297353CC}">
                <c16:uniqueId val="{00000005-34A7-4AC8-A42C-89C45E0D4AD8}"/>
              </c:ext>
            </c:extLst>
          </c:dPt>
          <c:dPt>
            <c:idx val="6"/>
            <c:invertIfNegative val="0"/>
            <c:bubble3D val="0"/>
            <c:extLst>
              <c:ext xmlns:c16="http://schemas.microsoft.com/office/drawing/2014/chart" uri="{C3380CC4-5D6E-409C-BE32-E72D297353CC}">
                <c16:uniqueId val="{00000006-34A7-4AC8-A42C-89C45E0D4AD8}"/>
              </c:ext>
            </c:extLst>
          </c:dPt>
          <c:dPt>
            <c:idx val="7"/>
            <c:invertIfNegative val="0"/>
            <c:bubble3D val="0"/>
            <c:extLst>
              <c:ext xmlns:c16="http://schemas.microsoft.com/office/drawing/2014/chart" uri="{C3380CC4-5D6E-409C-BE32-E72D297353CC}">
                <c16:uniqueId val="{00000007-34A7-4AC8-A42C-89C45E0D4AD8}"/>
              </c:ext>
            </c:extLst>
          </c:dPt>
          <c:dPt>
            <c:idx val="8"/>
            <c:invertIfNegative val="0"/>
            <c:bubble3D val="0"/>
            <c:extLst>
              <c:ext xmlns:c16="http://schemas.microsoft.com/office/drawing/2014/chart" uri="{C3380CC4-5D6E-409C-BE32-E72D297353CC}">
                <c16:uniqueId val="{00000008-34A7-4AC8-A42C-89C45E0D4AD8}"/>
              </c:ext>
            </c:extLst>
          </c:dPt>
          <c:dPt>
            <c:idx val="9"/>
            <c:invertIfNegative val="0"/>
            <c:bubble3D val="0"/>
            <c:extLst>
              <c:ext xmlns:c16="http://schemas.microsoft.com/office/drawing/2014/chart" uri="{C3380CC4-5D6E-409C-BE32-E72D297353CC}">
                <c16:uniqueId val="{00000009-34A7-4AC8-A42C-89C45E0D4AD8}"/>
              </c:ext>
            </c:extLst>
          </c:dPt>
          <c:dPt>
            <c:idx val="10"/>
            <c:invertIfNegative val="0"/>
            <c:bubble3D val="0"/>
            <c:extLst>
              <c:ext xmlns:c16="http://schemas.microsoft.com/office/drawing/2014/chart" uri="{C3380CC4-5D6E-409C-BE32-E72D297353CC}">
                <c16:uniqueId val="{0000000A-34A7-4AC8-A42C-89C45E0D4AD8}"/>
              </c:ext>
            </c:extLst>
          </c:dPt>
          <c:dPt>
            <c:idx val="11"/>
            <c:invertIfNegative val="0"/>
            <c:bubble3D val="0"/>
            <c:extLst>
              <c:ext xmlns:c16="http://schemas.microsoft.com/office/drawing/2014/chart" uri="{C3380CC4-5D6E-409C-BE32-E72D297353CC}">
                <c16:uniqueId val="{0000000B-34A7-4AC8-A42C-89C45E0D4AD8}"/>
              </c:ext>
            </c:extLst>
          </c:dPt>
          <c:dPt>
            <c:idx val="12"/>
            <c:invertIfNegative val="0"/>
            <c:bubble3D val="0"/>
            <c:extLst>
              <c:ext xmlns:c16="http://schemas.microsoft.com/office/drawing/2014/chart" uri="{C3380CC4-5D6E-409C-BE32-E72D297353CC}">
                <c16:uniqueId val="{0000000C-34A7-4AC8-A42C-89C45E0D4AD8}"/>
              </c:ext>
            </c:extLst>
          </c:dPt>
          <c:dPt>
            <c:idx val="13"/>
            <c:invertIfNegative val="0"/>
            <c:bubble3D val="0"/>
            <c:extLst>
              <c:ext xmlns:c16="http://schemas.microsoft.com/office/drawing/2014/chart" uri="{C3380CC4-5D6E-409C-BE32-E72D297353CC}">
                <c16:uniqueId val="{0000000D-34A7-4AC8-A42C-89C45E0D4AD8}"/>
              </c:ext>
            </c:extLst>
          </c:dPt>
          <c:dPt>
            <c:idx val="14"/>
            <c:invertIfNegative val="0"/>
            <c:bubble3D val="0"/>
            <c:extLst>
              <c:ext xmlns:c16="http://schemas.microsoft.com/office/drawing/2014/chart" uri="{C3380CC4-5D6E-409C-BE32-E72D297353CC}">
                <c16:uniqueId val="{0000000E-34A7-4AC8-A42C-89C45E0D4AD8}"/>
              </c:ext>
            </c:extLst>
          </c:dPt>
          <c:dPt>
            <c:idx val="15"/>
            <c:invertIfNegative val="0"/>
            <c:bubble3D val="0"/>
            <c:extLst>
              <c:ext xmlns:c16="http://schemas.microsoft.com/office/drawing/2014/chart" uri="{C3380CC4-5D6E-409C-BE32-E72D297353CC}">
                <c16:uniqueId val="{0000000F-34A7-4AC8-A42C-89C45E0D4AD8}"/>
              </c:ext>
            </c:extLst>
          </c:dPt>
          <c:dPt>
            <c:idx val="16"/>
            <c:invertIfNegative val="0"/>
            <c:bubble3D val="0"/>
            <c:extLst>
              <c:ext xmlns:c16="http://schemas.microsoft.com/office/drawing/2014/chart" uri="{C3380CC4-5D6E-409C-BE32-E72D297353CC}">
                <c16:uniqueId val="{00000010-34A7-4AC8-A42C-89C45E0D4AD8}"/>
              </c:ext>
            </c:extLst>
          </c:dPt>
          <c:dPt>
            <c:idx val="17"/>
            <c:invertIfNegative val="0"/>
            <c:bubble3D val="0"/>
            <c:extLst>
              <c:ext xmlns:c16="http://schemas.microsoft.com/office/drawing/2014/chart" uri="{C3380CC4-5D6E-409C-BE32-E72D297353CC}">
                <c16:uniqueId val="{00000011-34A7-4AC8-A42C-89C45E0D4AD8}"/>
              </c:ext>
            </c:extLst>
          </c:dPt>
          <c:dPt>
            <c:idx val="18"/>
            <c:invertIfNegative val="0"/>
            <c:bubble3D val="0"/>
            <c:extLst>
              <c:ext xmlns:c16="http://schemas.microsoft.com/office/drawing/2014/chart" uri="{C3380CC4-5D6E-409C-BE32-E72D297353CC}">
                <c16:uniqueId val="{00000012-34A7-4AC8-A42C-89C45E0D4AD8}"/>
              </c:ext>
            </c:extLst>
          </c:dPt>
          <c:dPt>
            <c:idx val="19"/>
            <c:invertIfNegative val="0"/>
            <c:bubble3D val="0"/>
            <c:extLst>
              <c:ext xmlns:c16="http://schemas.microsoft.com/office/drawing/2014/chart" uri="{C3380CC4-5D6E-409C-BE32-E72D297353CC}">
                <c16:uniqueId val="{00000013-34A7-4AC8-A42C-89C45E0D4AD8}"/>
              </c:ext>
            </c:extLst>
          </c:dPt>
          <c:dPt>
            <c:idx val="20"/>
            <c:invertIfNegative val="0"/>
            <c:bubble3D val="0"/>
            <c:extLst>
              <c:ext xmlns:c16="http://schemas.microsoft.com/office/drawing/2014/chart" uri="{C3380CC4-5D6E-409C-BE32-E72D297353CC}">
                <c16:uniqueId val="{00000014-34A7-4AC8-A42C-89C45E0D4AD8}"/>
              </c:ext>
            </c:extLst>
          </c:dPt>
          <c:dPt>
            <c:idx val="21"/>
            <c:invertIfNegative val="0"/>
            <c:bubble3D val="0"/>
            <c:extLst>
              <c:ext xmlns:c16="http://schemas.microsoft.com/office/drawing/2014/chart" uri="{C3380CC4-5D6E-409C-BE32-E72D297353CC}">
                <c16:uniqueId val="{00000015-34A7-4AC8-A42C-89C45E0D4AD8}"/>
              </c:ext>
            </c:extLst>
          </c:dPt>
          <c:dPt>
            <c:idx val="22"/>
            <c:invertIfNegative val="0"/>
            <c:bubble3D val="0"/>
            <c:extLst>
              <c:ext xmlns:c16="http://schemas.microsoft.com/office/drawing/2014/chart" uri="{C3380CC4-5D6E-409C-BE32-E72D297353CC}">
                <c16:uniqueId val="{00000016-34A7-4AC8-A42C-89C45E0D4AD8}"/>
              </c:ext>
            </c:extLst>
          </c:dPt>
          <c:dPt>
            <c:idx val="23"/>
            <c:invertIfNegative val="0"/>
            <c:bubble3D val="0"/>
            <c:extLst>
              <c:ext xmlns:c16="http://schemas.microsoft.com/office/drawing/2014/chart" uri="{C3380CC4-5D6E-409C-BE32-E72D297353CC}">
                <c16:uniqueId val="{00000017-34A7-4AC8-A42C-89C45E0D4AD8}"/>
              </c:ext>
            </c:extLst>
          </c:dPt>
          <c:dPt>
            <c:idx val="24"/>
            <c:invertIfNegative val="0"/>
            <c:bubble3D val="0"/>
            <c:extLst>
              <c:ext xmlns:c16="http://schemas.microsoft.com/office/drawing/2014/chart" uri="{C3380CC4-5D6E-409C-BE32-E72D297353CC}">
                <c16:uniqueId val="{00000018-34A7-4AC8-A42C-89C45E0D4AD8}"/>
              </c:ext>
            </c:extLst>
          </c:dPt>
          <c:dPt>
            <c:idx val="25"/>
            <c:invertIfNegative val="0"/>
            <c:bubble3D val="0"/>
            <c:extLst>
              <c:ext xmlns:c16="http://schemas.microsoft.com/office/drawing/2014/chart" uri="{C3380CC4-5D6E-409C-BE32-E72D297353CC}">
                <c16:uniqueId val="{00000019-34A7-4AC8-A42C-89C45E0D4AD8}"/>
              </c:ext>
            </c:extLst>
          </c:dPt>
          <c:dPt>
            <c:idx val="26"/>
            <c:invertIfNegative val="0"/>
            <c:bubble3D val="0"/>
            <c:extLst>
              <c:ext xmlns:c16="http://schemas.microsoft.com/office/drawing/2014/chart" uri="{C3380CC4-5D6E-409C-BE32-E72D297353CC}">
                <c16:uniqueId val="{0000001A-34A7-4AC8-A42C-89C45E0D4AD8}"/>
              </c:ext>
            </c:extLst>
          </c:dPt>
          <c:dPt>
            <c:idx val="27"/>
            <c:invertIfNegative val="0"/>
            <c:bubble3D val="0"/>
            <c:extLst>
              <c:ext xmlns:c16="http://schemas.microsoft.com/office/drawing/2014/chart" uri="{C3380CC4-5D6E-409C-BE32-E72D297353CC}">
                <c16:uniqueId val="{0000001B-34A7-4AC8-A42C-89C45E0D4AD8}"/>
              </c:ext>
            </c:extLst>
          </c:dPt>
          <c:dPt>
            <c:idx val="28"/>
            <c:invertIfNegative val="0"/>
            <c:bubble3D val="0"/>
            <c:extLst>
              <c:ext xmlns:c16="http://schemas.microsoft.com/office/drawing/2014/chart" uri="{C3380CC4-5D6E-409C-BE32-E72D297353CC}">
                <c16:uniqueId val="{0000001C-34A7-4AC8-A42C-89C45E0D4AD8}"/>
              </c:ext>
            </c:extLst>
          </c:dPt>
          <c:dPt>
            <c:idx val="29"/>
            <c:invertIfNegative val="0"/>
            <c:bubble3D val="0"/>
            <c:extLst>
              <c:ext xmlns:c16="http://schemas.microsoft.com/office/drawing/2014/chart" uri="{C3380CC4-5D6E-409C-BE32-E72D297353CC}">
                <c16:uniqueId val="{0000001D-34A7-4AC8-A42C-89C45E0D4AD8}"/>
              </c:ext>
            </c:extLst>
          </c:dPt>
          <c:dPt>
            <c:idx val="30"/>
            <c:invertIfNegative val="0"/>
            <c:bubble3D val="0"/>
            <c:extLst>
              <c:ext xmlns:c16="http://schemas.microsoft.com/office/drawing/2014/chart" uri="{C3380CC4-5D6E-409C-BE32-E72D297353CC}">
                <c16:uniqueId val="{0000001E-34A7-4AC8-A42C-89C45E0D4AD8}"/>
              </c:ext>
            </c:extLst>
          </c:dPt>
          <c:dPt>
            <c:idx val="31"/>
            <c:invertIfNegative val="0"/>
            <c:bubble3D val="0"/>
            <c:extLst>
              <c:ext xmlns:c16="http://schemas.microsoft.com/office/drawing/2014/chart" uri="{C3380CC4-5D6E-409C-BE32-E72D297353CC}">
                <c16:uniqueId val="{0000001F-34A7-4AC8-A42C-89C45E0D4AD8}"/>
              </c:ext>
            </c:extLst>
          </c:dPt>
          <c:dPt>
            <c:idx val="32"/>
            <c:invertIfNegative val="0"/>
            <c:bubble3D val="0"/>
            <c:extLst>
              <c:ext xmlns:c16="http://schemas.microsoft.com/office/drawing/2014/chart" uri="{C3380CC4-5D6E-409C-BE32-E72D297353CC}">
                <c16:uniqueId val="{00000020-34A7-4AC8-A42C-89C45E0D4AD8}"/>
              </c:ext>
            </c:extLst>
          </c:dPt>
          <c:dLbls>
            <c:spPr>
              <a:noFill/>
              <a:ln>
                <a:noFill/>
              </a:ln>
              <a:effectLst/>
            </c:spPr>
            <c:txPr>
              <a:bodyPr wrap="square" lIns="38100" tIns="19050" rIns="38100" bIns="19050" anchor="ctr">
                <a:spAutoFit/>
              </a:bodyPr>
              <a:lstStyle/>
              <a:p>
                <a:pPr>
                  <a:defRPr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'G5 pond'!$B$4:$B$36</c:f>
              <c:strCache>
                <c:ptCount val="33"/>
                <c:pt idx="0">
                  <c:v>Morelos</c:v>
                </c:pt>
                <c:pt idx="1">
                  <c:v>Quintana Roo</c:v>
                </c:pt>
                <c:pt idx="2">
                  <c:v>Campeche</c:v>
                </c:pt>
                <c:pt idx="3">
                  <c:v>Puebla</c:v>
                </c:pt>
                <c:pt idx="4">
                  <c:v>Coahuila de Zaragoza</c:v>
                </c:pt>
                <c:pt idx="5">
                  <c:v>Nayarit</c:v>
                </c:pt>
                <c:pt idx="6">
                  <c:v>Aguascalientes</c:v>
                </c:pt>
                <c:pt idx="7">
                  <c:v>Baja California</c:v>
                </c:pt>
                <c:pt idx="8">
                  <c:v>Durango</c:v>
                </c:pt>
                <c:pt idx="9">
                  <c:v>Guanajuato</c:v>
                </c:pt>
                <c:pt idx="10">
                  <c:v>Chihuahua</c:v>
                </c:pt>
                <c:pt idx="11">
                  <c:v>Michoacán de Ocampo</c:v>
                </c:pt>
                <c:pt idx="12">
                  <c:v>San Luis Potosí</c:v>
                </c:pt>
                <c:pt idx="13">
                  <c:v>Querétaro</c:v>
                </c:pt>
                <c:pt idx="14">
                  <c:v>Nuevo León</c:v>
                </c:pt>
                <c:pt idx="15">
                  <c:v>Estados Unidos Mexicanos</c:v>
                </c:pt>
                <c:pt idx="16">
                  <c:v>Tlaxcala</c:v>
                </c:pt>
                <c:pt idx="17">
                  <c:v>Sonora</c:v>
                </c:pt>
                <c:pt idx="18">
                  <c:v>Ciudad de México</c:v>
                </c:pt>
                <c:pt idx="19">
                  <c:v>Jalisco</c:v>
                </c:pt>
                <c:pt idx="20">
                  <c:v>Zacatecas</c:v>
                </c:pt>
                <c:pt idx="21">
                  <c:v>Guerrero</c:v>
                </c:pt>
                <c:pt idx="22">
                  <c:v>Baja California Sur</c:v>
                </c:pt>
                <c:pt idx="23">
                  <c:v>Tabasco</c:v>
                </c:pt>
                <c:pt idx="24">
                  <c:v>Chiapas</c:v>
                </c:pt>
                <c:pt idx="25">
                  <c:v>México</c:v>
                </c:pt>
                <c:pt idx="26">
                  <c:v>Oaxaca</c:v>
                </c:pt>
                <c:pt idx="27">
                  <c:v>Yucatán</c:v>
                </c:pt>
                <c:pt idx="28">
                  <c:v>Tamaulipas</c:v>
                </c:pt>
                <c:pt idx="29">
                  <c:v>Sinaloa</c:v>
                </c:pt>
                <c:pt idx="30">
                  <c:v>Veracruz de Ignacio de la Llave</c:v>
                </c:pt>
                <c:pt idx="31">
                  <c:v>Colima</c:v>
                </c:pt>
                <c:pt idx="32">
                  <c:v>Hidalgo</c:v>
                </c:pt>
              </c:strCache>
            </c:strRef>
          </c:cat>
          <c:val>
            <c:numRef>
              <c:f>'G5 pond'!$F$4:$F$36</c:f>
              <c:numCache>
                <c:formatCode>0.0;\-0.0;;\ @</c:formatCode>
                <c:ptCount val="33"/>
                <c:pt idx="0">
                  <c:v>-5.7421727277960031</c:v>
                </c:pt>
                <c:pt idx="1">
                  <c:v>-3.5334357450256562</c:v>
                </c:pt>
                <c:pt idx="2">
                  <c:v>-2.3664418270408305</c:v>
                </c:pt>
                <c:pt idx="3">
                  <c:v>-1.5986560948204982</c:v>
                </c:pt>
                <c:pt idx="4">
                  <c:v>-0.95968918880015508</c:v>
                </c:pt>
                <c:pt idx="5">
                  <c:v>-0.87378147563339326</c:v>
                </c:pt>
                <c:pt idx="6">
                  <c:v>-0.80652552483067552</c:v>
                </c:pt>
                <c:pt idx="7">
                  <c:v>-0.18570735388377102</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1-34A7-4AC8-A42C-89C45E0D4AD8}"/>
            </c:ext>
          </c:extLst>
        </c:ser>
        <c:ser>
          <c:idx val="1"/>
          <c:order val="1"/>
          <c:spPr>
            <a:solidFill>
              <a:srgbClr val="08989C"/>
            </a:solidFill>
            <a:effectLst/>
            <a:scene3d>
              <a:camera prst="orthographicFront"/>
              <a:lightRig rig="threePt" dir="t">
                <a:rot lat="0" lon="0" rev="1200000"/>
              </a:lightRig>
            </a:scene3d>
            <a:sp3d/>
          </c:spPr>
          <c:invertIfNegative val="0"/>
          <c:dLbls>
            <c:spPr>
              <a:noFill/>
              <a:ln>
                <a:noFill/>
              </a:ln>
              <a:effectLst/>
            </c:spPr>
            <c:txPr>
              <a:bodyPr/>
              <a:lstStyle/>
              <a:p>
                <a:pPr>
                  <a:defRPr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'G5 pond'!$B$4:$B$36</c:f>
              <c:strCache>
                <c:ptCount val="33"/>
                <c:pt idx="0">
                  <c:v>Morelos</c:v>
                </c:pt>
                <c:pt idx="1">
                  <c:v>Quintana Roo</c:v>
                </c:pt>
                <c:pt idx="2">
                  <c:v>Campeche</c:v>
                </c:pt>
                <c:pt idx="3">
                  <c:v>Puebla</c:v>
                </c:pt>
                <c:pt idx="4">
                  <c:v>Coahuila de Zaragoza</c:v>
                </c:pt>
                <c:pt idx="5">
                  <c:v>Nayarit</c:v>
                </c:pt>
                <c:pt idx="6">
                  <c:v>Aguascalientes</c:v>
                </c:pt>
                <c:pt idx="7">
                  <c:v>Baja California</c:v>
                </c:pt>
                <c:pt idx="8">
                  <c:v>Durango</c:v>
                </c:pt>
                <c:pt idx="9">
                  <c:v>Guanajuato</c:v>
                </c:pt>
                <c:pt idx="10">
                  <c:v>Chihuahua</c:v>
                </c:pt>
                <c:pt idx="11">
                  <c:v>Michoacán de Ocampo</c:v>
                </c:pt>
                <c:pt idx="12">
                  <c:v>San Luis Potosí</c:v>
                </c:pt>
                <c:pt idx="13">
                  <c:v>Querétaro</c:v>
                </c:pt>
                <c:pt idx="14">
                  <c:v>Nuevo León</c:v>
                </c:pt>
                <c:pt idx="15">
                  <c:v>Estados Unidos Mexicanos</c:v>
                </c:pt>
                <c:pt idx="16">
                  <c:v>Tlaxcala</c:v>
                </c:pt>
                <c:pt idx="17">
                  <c:v>Sonora</c:v>
                </c:pt>
                <c:pt idx="18">
                  <c:v>Ciudad de México</c:v>
                </c:pt>
                <c:pt idx="19">
                  <c:v>Jalisco</c:v>
                </c:pt>
                <c:pt idx="20">
                  <c:v>Zacatecas</c:v>
                </c:pt>
                <c:pt idx="21">
                  <c:v>Guerrero</c:v>
                </c:pt>
                <c:pt idx="22">
                  <c:v>Baja California Sur</c:v>
                </c:pt>
                <c:pt idx="23">
                  <c:v>Tabasco</c:v>
                </c:pt>
                <c:pt idx="24">
                  <c:v>Chiapas</c:v>
                </c:pt>
                <c:pt idx="25">
                  <c:v>México</c:v>
                </c:pt>
                <c:pt idx="26">
                  <c:v>Oaxaca</c:v>
                </c:pt>
                <c:pt idx="27">
                  <c:v>Yucatán</c:v>
                </c:pt>
                <c:pt idx="28">
                  <c:v>Tamaulipas</c:v>
                </c:pt>
                <c:pt idx="29">
                  <c:v>Sinaloa</c:v>
                </c:pt>
                <c:pt idx="30">
                  <c:v>Veracruz de Ignacio de la Llave</c:v>
                </c:pt>
                <c:pt idx="31">
                  <c:v>Colima</c:v>
                </c:pt>
                <c:pt idx="32">
                  <c:v>Hidalgo</c:v>
                </c:pt>
              </c:strCache>
            </c:strRef>
          </c:cat>
          <c:val>
            <c:numRef>
              <c:f>'G5 pond'!$G$4:$G$36</c:f>
              <c:numCache>
                <c:formatCode>0.0;\-0.0;;\ @</c:formatCode>
                <c:ptCount val="33"/>
                <c:pt idx="0">
                  <c:v>0</c:v>
                </c:pt>
                <c:pt idx="1">
                  <c:v>0</c:v>
                </c:pt>
                <c:pt idx="2">
                  <c:v>0</c:v>
                </c:pt>
                <c:pt idx="3">
                  <c:v>0</c:v>
                </c:pt>
                <c:pt idx="4">
                  <c:v>0</c:v>
                </c:pt>
                <c:pt idx="5">
                  <c:v>0</c:v>
                </c:pt>
                <c:pt idx="6">
                  <c:v>0</c:v>
                </c:pt>
                <c:pt idx="7">
                  <c:v>0</c:v>
                </c:pt>
                <c:pt idx="8">
                  <c:v>0.34511828328002991</c:v>
                </c:pt>
                <c:pt idx="9">
                  <c:v>0.4344107408057738</c:v>
                </c:pt>
                <c:pt idx="10">
                  <c:v>0.75934027174606911</c:v>
                </c:pt>
                <c:pt idx="11">
                  <c:v>0.81576406473520535</c:v>
                </c:pt>
                <c:pt idx="12">
                  <c:v>1.8991746400690772</c:v>
                </c:pt>
                <c:pt idx="13">
                  <c:v>1.9881056960234957</c:v>
                </c:pt>
                <c:pt idx="14">
                  <c:v>2.0070508745748157</c:v>
                </c:pt>
                <c:pt idx="15">
                  <c:v>0</c:v>
                </c:pt>
                <c:pt idx="16">
                  <c:v>2.0666302757771575</c:v>
                </c:pt>
                <c:pt idx="17">
                  <c:v>2.3330513916384916</c:v>
                </c:pt>
                <c:pt idx="18">
                  <c:v>0</c:v>
                </c:pt>
                <c:pt idx="19">
                  <c:v>2.3782687402519116</c:v>
                </c:pt>
                <c:pt idx="20">
                  <c:v>2.5355933461864026</c:v>
                </c:pt>
                <c:pt idx="21">
                  <c:v>2.7068240905822307</c:v>
                </c:pt>
                <c:pt idx="22">
                  <c:v>2.8462133477978426</c:v>
                </c:pt>
                <c:pt idx="23">
                  <c:v>3.2921058835145658</c:v>
                </c:pt>
                <c:pt idx="24">
                  <c:v>3.309680168385313</c:v>
                </c:pt>
                <c:pt idx="25">
                  <c:v>3.7050038932578104</c:v>
                </c:pt>
                <c:pt idx="26">
                  <c:v>3.8050144337682354</c:v>
                </c:pt>
                <c:pt idx="27">
                  <c:v>4.2571196470342159</c:v>
                </c:pt>
                <c:pt idx="28">
                  <c:v>4.4491649033915763</c:v>
                </c:pt>
                <c:pt idx="29">
                  <c:v>4.9746142964364708</c:v>
                </c:pt>
                <c:pt idx="30">
                  <c:v>5.0613086036231039</c:v>
                </c:pt>
                <c:pt idx="31">
                  <c:v>5.8362303436663154</c:v>
                </c:pt>
                <c:pt idx="32">
                  <c:v>9.4926209099057672</c:v>
                </c:pt>
              </c:numCache>
            </c:numRef>
          </c:val>
          <c:extLst>
            <c:ext xmlns:c16="http://schemas.microsoft.com/office/drawing/2014/chart" uri="{C3380CC4-5D6E-409C-BE32-E72D297353CC}">
              <c16:uniqueId val="{00000022-34A7-4AC8-A42C-89C45E0D4AD8}"/>
            </c:ext>
          </c:extLst>
        </c:ser>
        <c:ser>
          <c:idx val="2"/>
          <c:order val="2"/>
          <c:spPr>
            <a:solidFill>
              <a:srgbClr val="C0C0C0"/>
            </a:solidFill>
            <a:effectLst/>
            <a:scene3d>
              <a:camera prst="orthographicFront"/>
              <a:lightRig rig="threePt" dir="t">
                <a:rot lat="0" lon="0" rev="1200000"/>
              </a:lightRig>
            </a:scene3d>
            <a:sp3d/>
          </c:spPr>
          <c:invertIfNegative val="0"/>
          <c:dPt>
            <c:idx val="11"/>
            <c:invertIfNegative val="0"/>
            <c:bubble3D val="0"/>
            <c:extLst>
              <c:ext xmlns:c16="http://schemas.microsoft.com/office/drawing/2014/chart" uri="{C3380CC4-5D6E-409C-BE32-E72D297353CC}">
                <c16:uniqueId val="{00000023-34A7-4AC8-A42C-89C45E0D4AD8}"/>
              </c:ext>
            </c:extLst>
          </c:dPt>
          <c:dPt>
            <c:idx val="13"/>
            <c:invertIfNegative val="0"/>
            <c:bubble3D val="0"/>
            <c:extLst>
              <c:ext xmlns:c16="http://schemas.microsoft.com/office/drawing/2014/chart" uri="{C3380CC4-5D6E-409C-BE32-E72D297353CC}">
                <c16:uniqueId val="{00000024-34A7-4AC8-A42C-89C45E0D4AD8}"/>
              </c:ext>
            </c:extLst>
          </c:dPt>
          <c:dPt>
            <c:idx val="14"/>
            <c:invertIfNegative val="0"/>
            <c:bubble3D val="0"/>
            <c:extLst>
              <c:ext xmlns:c16="http://schemas.microsoft.com/office/drawing/2014/chart" uri="{C3380CC4-5D6E-409C-BE32-E72D297353CC}">
                <c16:uniqueId val="{00000025-34A7-4AC8-A42C-89C45E0D4AD8}"/>
              </c:ext>
            </c:extLst>
          </c:dPt>
          <c:dLbls>
            <c:spPr>
              <a:noFill/>
              <a:ln>
                <a:noFill/>
              </a:ln>
              <a:effectLst/>
            </c:spPr>
            <c:txPr>
              <a:bodyPr wrap="square" lIns="38100" tIns="19050" rIns="38100" bIns="19050" anchor="ctr">
                <a:spAutoFit/>
              </a:bodyPr>
              <a:lstStyle/>
              <a:p>
                <a:pPr>
                  <a:defRPr b="1">
                    <a:solidFill>
                      <a:srgbClr val="4D565E"/>
                    </a:solidFill>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'G5 pond'!$B$4:$B$36</c:f>
              <c:strCache>
                <c:ptCount val="33"/>
                <c:pt idx="0">
                  <c:v>Morelos</c:v>
                </c:pt>
                <c:pt idx="1">
                  <c:v>Quintana Roo</c:v>
                </c:pt>
                <c:pt idx="2">
                  <c:v>Campeche</c:v>
                </c:pt>
                <c:pt idx="3">
                  <c:v>Puebla</c:v>
                </c:pt>
                <c:pt idx="4">
                  <c:v>Coahuila de Zaragoza</c:v>
                </c:pt>
                <c:pt idx="5">
                  <c:v>Nayarit</c:v>
                </c:pt>
                <c:pt idx="6">
                  <c:v>Aguascalientes</c:v>
                </c:pt>
                <c:pt idx="7">
                  <c:v>Baja California</c:v>
                </c:pt>
                <c:pt idx="8">
                  <c:v>Durango</c:v>
                </c:pt>
                <c:pt idx="9">
                  <c:v>Guanajuato</c:v>
                </c:pt>
                <c:pt idx="10">
                  <c:v>Chihuahua</c:v>
                </c:pt>
                <c:pt idx="11">
                  <c:v>Michoacán de Ocampo</c:v>
                </c:pt>
                <c:pt idx="12">
                  <c:v>San Luis Potosí</c:v>
                </c:pt>
                <c:pt idx="13">
                  <c:v>Querétaro</c:v>
                </c:pt>
                <c:pt idx="14">
                  <c:v>Nuevo León</c:v>
                </c:pt>
                <c:pt idx="15">
                  <c:v>Estados Unidos Mexicanos</c:v>
                </c:pt>
                <c:pt idx="16">
                  <c:v>Tlaxcala</c:v>
                </c:pt>
                <c:pt idx="17">
                  <c:v>Sonora</c:v>
                </c:pt>
                <c:pt idx="18">
                  <c:v>Ciudad de México</c:v>
                </c:pt>
                <c:pt idx="19">
                  <c:v>Jalisco</c:v>
                </c:pt>
                <c:pt idx="20">
                  <c:v>Zacatecas</c:v>
                </c:pt>
                <c:pt idx="21">
                  <c:v>Guerrero</c:v>
                </c:pt>
                <c:pt idx="22">
                  <c:v>Baja California Sur</c:v>
                </c:pt>
                <c:pt idx="23">
                  <c:v>Tabasco</c:v>
                </c:pt>
                <c:pt idx="24">
                  <c:v>Chiapas</c:v>
                </c:pt>
                <c:pt idx="25">
                  <c:v>México</c:v>
                </c:pt>
                <c:pt idx="26">
                  <c:v>Oaxaca</c:v>
                </c:pt>
                <c:pt idx="27">
                  <c:v>Yucatán</c:v>
                </c:pt>
                <c:pt idx="28">
                  <c:v>Tamaulipas</c:v>
                </c:pt>
                <c:pt idx="29">
                  <c:v>Sinaloa</c:v>
                </c:pt>
                <c:pt idx="30">
                  <c:v>Veracruz de Ignacio de la Llave</c:v>
                </c:pt>
                <c:pt idx="31">
                  <c:v>Colima</c:v>
                </c:pt>
                <c:pt idx="32">
                  <c:v>Hidalgo</c:v>
                </c:pt>
              </c:strCache>
            </c:strRef>
          </c:cat>
          <c:val>
            <c:numRef>
              <c:f>'G5 pond'!$D$4:$D$36</c:f>
              <c:numCache>
                <c:formatCode>0.0;\-0.0;;\ @</c:formatCode>
                <c:ptCount val="3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2.0407087736795404</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6-34A7-4AC8-A42C-89C45E0D4AD8}"/>
            </c:ext>
          </c:extLst>
        </c:ser>
        <c:ser>
          <c:idx val="3"/>
          <c:order val="3"/>
          <c:spPr>
            <a:solidFill>
              <a:srgbClr val="003057"/>
            </a:solidFill>
            <a:effectLst/>
            <a:scene3d>
              <a:camera prst="orthographicFront"/>
              <a:lightRig rig="threePt" dir="t">
                <a:rot lat="0" lon="0" rev="1200000"/>
              </a:lightRig>
            </a:scene3d>
            <a:sp3d/>
          </c:spPr>
          <c:invertIfNegative val="0"/>
          <c:dLbls>
            <c:spPr>
              <a:noFill/>
              <a:ln>
                <a:noFill/>
              </a:ln>
              <a:effectLst/>
            </c:spPr>
            <c:txPr>
              <a:bodyPr/>
              <a:lstStyle/>
              <a:p>
                <a:pPr>
                  <a:defRPr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'G5 pond'!$B$4:$B$36</c:f>
              <c:strCache>
                <c:ptCount val="33"/>
                <c:pt idx="0">
                  <c:v>Morelos</c:v>
                </c:pt>
                <c:pt idx="1">
                  <c:v>Quintana Roo</c:v>
                </c:pt>
                <c:pt idx="2">
                  <c:v>Campeche</c:v>
                </c:pt>
                <c:pt idx="3">
                  <c:v>Puebla</c:v>
                </c:pt>
                <c:pt idx="4">
                  <c:v>Coahuila de Zaragoza</c:v>
                </c:pt>
                <c:pt idx="5">
                  <c:v>Nayarit</c:v>
                </c:pt>
                <c:pt idx="6">
                  <c:v>Aguascalientes</c:v>
                </c:pt>
                <c:pt idx="7">
                  <c:v>Baja California</c:v>
                </c:pt>
                <c:pt idx="8">
                  <c:v>Durango</c:v>
                </c:pt>
                <c:pt idx="9">
                  <c:v>Guanajuato</c:v>
                </c:pt>
                <c:pt idx="10">
                  <c:v>Chihuahua</c:v>
                </c:pt>
                <c:pt idx="11">
                  <c:v>Michoacán de Ocampo</c:v>
                </c:pt>
                <c:pt idx="12">
                  <c:v>San Luis Potosí</c:v>
                </c:pt>
                <c:pt idx="13">
                  <c:v>Querétaro</c:v>
                </c:pt>
                <c:pt idx="14">
                  <c:v>Nuevo León</c:v>
                </c:pt>
                <c:pt idx="15">
                  <c:v>Estados Unidos Mexicanos</c:v>
                </c:pt>
                <c:pt idx="16">
                  <c:v>Tlaxcala</c:v>
                </c:pt>
                <c:pt idx="17">
                  <c:v>Sonora</c:v>
                </c:pt>
                <c:pt idx="18">
                  <c:v>Ciudad de México</c:v>
                </c:pt>
                <c:pt idx="19">
                  <c:v>Jalisco</c:v>
                </c:pt>
                <c:pt idx="20">
                  <c:v>Zacatecas</c:v>
                </c:pt>
                <c:pt idx="21">
                  <c:v>Guerrero</c:v>
                </c:pt>
                <c:pt idx="22">
                  <c:v>Baja California Sur</c:v>
                </c:pt>
                <c:pt idx="23">
                  <c:v>Tabasco</c:v>
                </c:pt>
                <c:pt idx="24">
                  <c:v>Chiapas</c:v>
                </c:pt>
                <c:pt idx="25">
                  <c:v>México</c:v>
                </c:pt>
                <c:pt idx="26">
                  <c:v>Oaxaca</c:v>
                </c:pt>
                <c:pt idx="27">
                  <c:v>Yucatán</c:v>
                </c:pt>
                <c:pt idx="28">
                  <c:v>Tamaulipas</c:v>
                </c:pt>
                <c:pt idx="29">
                  <c:v>Sinaloa</c:v>
                </c:pt>
                <c:pt idx="30">
                  <c:v>Veracruz de Ignacio de la Llave</c:v>
                </c:pt>
                <c:pt idx="31">
                  <c:v>Colima</c:v>
                </c:pt>
                <c:pt idx="32">
                  <c:v>Hidalgo</c:v>
                </c:pt>
              </c:strCache>
            </c:strRef>
          </c:cat>
          <c:val>
            <c:numRef>
              <c:f>'G5 pond'!$E$4:$E$36</c:f>
              <c:numCache>
                <c:formatCode>0.0;\-0.0;;\ @</c:formatCode>
                <c:ptCount val="3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2.3727990415225406</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7-34A7-4AC8-A42C-89C45E0D4AD8}"/>
            </c:ext>
          </c:extLst>
        </c:ser>
        <c:dLbls>
          <c:showLegendKey val="0"/>
          <c:showVal val="0"/>
          <c:showCatName val="0"/>
          <c:showSerName val="0"/>
          <c:showPercent val="0"/>
          <c:showBubbleSize val="0"/>
        </c:dLbls>
        <c:gapWidth val="45"/>
        <c:overlap val="100"/>
        <c:axId val="-1180158720"/>
        <c:axId val="-1180146752"/>
      </c:barChart>
      <c:catAx>
        <c:axId val="-1180158720"/>
        <c:scaling>
          <c:orientation val="minMax"/>
        </c:scaling>
        <c:delete val="0"/>
        <c:axPos val="l"/>
        <c:numFmt formatCode="General" sourceLinked="1"/>
        <c:majorTickMark val="none"/>
        <c:minorTickMark val="none"/>
        <c:tickLblPos val="low"/>
        <c:spPr>
          <a:ln w="19050">
            <a:solidFill>
              <a:srgbClr val="B72F05"/>
            </a:solidFill>
          </a:ln>
        </c:spPr>
        <c:crossAx val="-1180146752"/>
        <c:crosses val="autoZero"/>
        <c:auto val="0"/>
        <c:lblAlgn val="ctr"/>
        <c:lblOffset val="100"/>
        <c:noMultiLvlLbl val="0"/>
      </c:catAx>
      <c:valAx>
        <c:axId val="-1180146752"/>
        <c:scaling>
          <c:orientation val="minMax"/>
          <c:max val="10"/>
        </c:scaling>
        <c:delete val="0"/>
        <c:axPos val="b"/>
        <c:numFmt formatCode="#,##0" sourceLinked="0"/>
        <c:majorTickMark val="none"/>
        <c:minorTickMark val="none"/>
        <c:tickLblPos val="nextTo"/>
        <c:crossAx val="-1180158720"/>
        <c:crosses val="autoZero"/>
        <c:crossBetween val="between"/>
        <c:majorUnit val="5"/>
      </c:valAx>
      <c:spPr>
        <a:noFill/>
        <a:ln w="9525">
          <a:noFill/>
        </a:ln>
        <a:effectLst/>
      </c:spPr>
    </c:plotArea>
    <c:plotVisOnly val="0"/>
    <c:dispBlanksAs val="gap"/>
    <c:showDLblsOverMax val="0"/>
  </c:chart>
  <c:spPr>
    <a:ln>
      <a:noFill/>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0.54550820577623482"/>
          <c:y val="2.8411481481481482E-2"/>
          <c:w val="0.38229251123570296"/>
          <c:h val="0.92393611111111107"/>
        </c:manualLayout>
      </c:layout>
      <c:barChart>
        <c:barDir val="bar"/>
        <c:grouping val="clustered"/>
        <c:varyColors val="0"/>
        <c:ser>
          <c:idx val="0"/>
          <c:order val="0"/>
          <c:spPr>
            <a:solidFill>
              <a:srgbClr val="08989C"/>
            </a:solidFill>
            <a:effectLst/>
            <a:scene3d>
              <a:camera prst="orthographicFront"/>
              <a:lightRig rig="threePt" dir="t">
                <a:rot lat="0" lon="0" rev="1200000"/>
              </a:lightRig>
            </a:scene3d>
            <a:sp3d/>
          </c:spPr>
          <c:invertIfNegative val="0"/>
          <c:dPt>
            <c:idx val="0"/>
            <c:invertIfNegative val="0"/>
            <c:bubble3D val="0"/>
            <c:extLst>
              <c:ext xmlns:c16="http://schemas.microsoft.com/office/drawing/2014/chart" uri="{C3380CC4-5D6E-409C-BE32-E72D297353CC}">
                <c16:uniqueId val="{00000000-C05F-4AC9-A6C7-3E40AD6BBD10}"/>
              </c:ext>
            </c:extLst>
          </c:dPt>
          <c:dPt>
            <c:idx val="1"/>
            <c:invertIfNegative val="0"/>
            <c:bubble3D val="0"/>
            <c:extLst>
              <c:ext xmlns:c16="http://schemas.microsoft.com/office/drawing/2014/chart" uri="{C3380CC4-5D6E-409C-BE32-E72D297353CC}">
                <c16:uniqueId val="{00000001-C05F-4AC9-A6C7-3E40AD6BBD10}"/>
              </c:ext>
            </c:extLst>
          </c:dPt>
          <c:dPt>
            <c:idx val="2"/>
            <c:invertIfNegative val="0"/>
            <c:bubble3D val="0"/>
            <c:extLst>
              <c:ext xmlns:c16="http://schemas.microsoft.com/office/drawing/2014/chart" uri="{C3380CC4-5D6E-409C-BE32-E72D297353CC}">
                <c16:uniqueId val="{00000002-C05F-4AC9-A6C7-3E40AD6BBD10}"/>
              </c:ext>
            </c:extLst>
          </c:dPt>
          <c:dPt>
            <c:idx val="3"/>
            <c:invertIfNegative val="0"/>
            <c:bubble3D val="0"/>
            <c:extLst>
              <c:ext xmlns:c16="http://schemas.microsoft.com/office/drawing/2014/chart" uri="{C3380CC4-5D6E-409C-BE32-E72D297353CC}">
                <c16:uniqueId val="{00000003-C05F-4AC9-A6C7-3E40AD6BBD10}"/>
              </c:ext>
            </c:extLst>
          </c:dPt>
          <c:dPt>
            <c:idx val="4"/>
            <c:invertIfNegative val="0"/>
            <c:bubble3D val="0"/>
            <c:extLst>
              <c:ext xmlns:c16="http://schemas.microsoft.com/office/drawing/2014/chart" uri="{C3380CC4-5D6E-409C-BE32-E72D297353CC}">
                <c16:uniqueId val="{00000004-C05F-4AC9-A6C7-3E40AD6BBD10}"/>
              </c:ext>
            </c:extLst>
          </c:dPt>
          <c:dPt>
            <c:idx val="5"/>
            <c:invertIfNegative val="0"/>
            <c:bubble3D val="0"/>
            <c:extLst>
              <c:ext xmlns:c16="http://schemas.microsoft.com/office/drawing/2014/chart" uri="{C3380CC4-5D6E-409C-BE32-E72D297353CC}">
                <c16:uniqueId val="{00000005-C05F-4AC9-A6C7-3E40AD6BBD10}"/>
              </c:ext>
            </c:extLst>
          </c:dPt>
          <c:dPt>
            <c:idx val="6"/>
            <c:invertIfNegative val="0"/>
            <c:bubble3D val="0"/>
            <c:extLst>
              <c:ext xmlns:c16="http://schemas.microsoft.com/office/drawing/2014/chart" uri="{C3380CC4-5D6E-409C-BE32-E72D297353CC}">
                <c16:uniqueId val="{00000006-C05F-4AC9-A6C7-3E40AD6BBD10}"/>
              </c:ext>
            </c:extLst>
          </c:dPt>
          <c:dPt>
            <c:idx val="7"/>
            <c:invertIfNegative val="0"/>
            <c:bubble3D val="0"/>
            <c:extLst>
              <c:ext xmlns:c16="http://schemas.microsoft.com/office/drawing/2014/chart" uri="{C3380CC4-5D6E-409C-BE32-E72D297353CC}">
                <c16:uniqueId val="{00000007-C05F-4AC9-A6C7-3E40AD6BBD10}"/>
              </c:ext>
            </c:extLst>
          </c:dPt>
          <c:dPt>
            <c:idx val="8"/>
            <c:invertIfNegative val="0"/>
            <c:bubble3D val="0"/>
            <c:extLst>
              <c:ext xmlns:c16="http://schemas.microsoft.com/office/drawing/2014/chart" uri="{C3380CC4-5D6E-409C-BE32-E72D297353CC}">
                <c16:uniqueId val="{00000008-C05F-4AC9-A6C7-3E40AD6BBD10}"/>
              </c:ext>
            </c:extLst>
          </c:dPt>
          <c:dPt>
            <c:idx val="9"/>
            <c:invertIfNegative val="0"/>
            <c:bubble3D val="0"/>
            <c:extLst>
              <c:ext xmlns:c16="http://schemas.microsoft.com/office/drawing/2014/chart" uri="{C3380CC4-5D6E-409C-BE32-E72D297353CC}">
                <c16:uniqueId val="{00000009-C05F-4AC9-A6C7-3E40AD6BBD10}"/>
              </c:ext>
            </c:extLst>
          </c:dPt>
          <c:dPt>
            <c:idx val="10"/>
            <c:invertIfNegative val="0"/>
            <c:bubble3D val="0"/>
            <c:extLst>
              <c:ext xmlns:c16="http://schemas.microsoft.com/office/drawing/2014/chart" uri="{C3380CC4-5D6E-409C-BE32-E72D297353CC}">
                <c16:uniqueId val="{0000000A-C05F-4AC9-A6C7-3E40AD6BBD10}"/>
              </c:ext>
            </c:extLst>
          </c:dPt>
          <c:dPt>
            <c:idx val="11"/>
            <c:invertIfNegative val="0"/>
            <c:bubble3D val="0"/>
            <c:extLst>
              <c:ext xmlns:c16="http://schemas.microsoft.com/office/drawing/2014/chart" uri="{C3380CC4-5D6E-409C-BE32-E72D297353CC}">
                <c16:uniqueId val="{0000000B-C05F-4AC9-A6C7-3E40AD6BBD10}"/>
              </c:ext>
            </c:extLst>
          </c:dPt>
          <c:dPt>
            <c:idx val="12"/>
            <c:invertIfNegative val="0"/>
            <c:bubble3D val="0"/>
            <c:extLst>
              <c:ext xmlns:c16="http://schemas.microsoft.com/office/drawing/2014/chart" uri="{C3380CC4-5D6E-409C-BE32-E72D297353CC}">
                <c16:uniqueId val="{0000000C-C05F-4AC9-A6C7-3E40AD6BBD10}"/>
              </c:ext>
            </c:extLst>
          </c:dPt>
          <c:dPt>
            <c:idx val="13"/>
            <c:invertIfNegative val="0"/>
            <c:bubble3D val="0"/>
            <c:extLst>
              <c:ext xmlns:c16="http://schemas.microsoft.com/office/drawing/2014/chart" uri="{C3380CC4-5D6E-409C-BE32-E72D297353CC}">
                <c16:uniqueId val="{0000000D-C05F-4AC9-A6C7-3E40AD6BBD10}"/>
              </c:ext>
            </c:extLst>
          </c:dPt>
          <c:dPt>
            <c:idx val="14"/>
            <c:invertIfNegative val="0"/>
            <c:bubble3D val="0"/>
            <c:extLst>
              <c:ext xmlns:c16="http://schemas.microsoft.com/office/drawing/2014/chart" uri="{C3380CC4-5D6E-409C-BE32-E72D297353CC}">
                <c16:uniqueId val="{0000000E-C05F-4AC9-A6C7-3E40AD6BBD10}"/>
              </c:ext>
            </c:extLst>
          </c:dPt>
          <c:dPt>
            <c:idx val="15"/>
            <c:invertIfNegative val="0"/>
            <c:bubble3D val="0"/>
            <c:extLst>
              <c:ext xmlns:c16="http://schemas.microsoft.com/office/drawing/2014/chart" uri="{C3380CC4-5D6E-409C-BE32-E72D297353CC}">
                <c16:uniqueId val="{0000000F-C05F-4AC9-A6C7-3E40AD6BBD10}"/>
              </c:ext>
            </c:extLst>
          </c:dPt>
          <c:dPt>
            <c:idx val="16"/>
            <c:invertIfNegative val="0"/>
            <c:bubble3D val="0"/>
            <c:extLst>
              <c:ext xmlns:c16="http://schemas.microsoft.com/office/drawing/2014/chart" uri="{C3380CC4-5D6E-409C-BE32-E72D297353CC}">
                <c16:uniqueId val="{00000010-C05F-4AC9-A6C7-3E40AD6BBD10}"/>
              </c:ext>
            </c:extLst>
          </c:dPt>
          <c:dPt>
            <c:idx val="17"/>
            <c:invertIfNegative val="0"/>
            <c:bubble3D val="0"/>
            <c:extLst>
              <c:ext xmlns:c16="http://schemas.microsoft.com/office/drawing/2014/chart" uri="{C3380CC4-5D6E-409C-BE32-E72D297353CC}">
                <c16:uniqueId val="{00000011-C05F-4AC9-A6C7-3E40AD6BBD10}"/>
              </c:ext>
            </c:extLst>
          </c:dPt>
          <c:dPt>
            <c:idx val="18"/>
            <c:invertIfNegative val="0"/>
            <c:bubble3D val="0"/>
            <c:extLst>
              <c:ext xmlns:c16="http://schemas.microsoft.com/office/drawing/2014/chart" uri="{C3380CC4-5D6E-409C-BE32-E72D297353CC}">
                <c16:uniqueId val="{00000012-C05F-4AC9-A6C7-3E40AD6BBD10}"/>
              </c:ext>
            </c:extLst>
          </c:dPt>
          <c:dPt>
            <c:idx val="19"/>
            <c:invertIfNegative val="0"/>
            <c:bubble3D val="0"/>
            <c:extLst>
              <c:ext xmlns:c16="http://schemas.microsoft.com/office/drawing/2014/chart" uri="{C3380CC4-5D6E-409C-BE32-E72D297353CC}">
                <c16:uniqueId val="{00000013-C05F-4AC9-A6C7-3E40AD6BBD10}"/>
              </c:ext>
            </c:extLst>
          </c:dPt>
          <c:dPt>
            <c:idx val="20"/>
            <c:invertIfNegative val="0"/>
            <c:bubble3D val="0"/>
            <c:extLst>
              <c:ext xmlns:c16="http://schemas.microsoft.com/office/drawing/2014/chart" uri="{C3380CC4-5D6E-409C-BE32-E72D297353CC}">
                <c16:uniqueId val="{00000014-C05F-4AC9-A6C7-3E40AD6BBD10}"/>
              </c:ext>
            </c:extLst>
          </c:dPt>
          <c:dPt>
            <c:idx val="21"/>
            <c:invertIfNegative val="0"/>
            <c:bubble3D val="0"/>
            <c:extLst>
              <c:ext xmlns:c16="http://schemas.microsoft.com/office/drawing/2014/chart" uri="{C3380CC4-5D6E-409C-BE32-E72D297353CC}">
                <c16:uniqueId val="{00000015-C05F-4AC9-A6C7-3E40AD6BBD10}"/>
              </c:ext>
            </c:extLst>
          </c:dPt>
          <c:dPt>
            <c:idx val="22"/>
            <c:invertIfNegative val="0"/>
            <c:bubble3D val="0"/>
            <c:extLst>
              <c:ext xmlns:c16="http://schemas.microsoft.com/office/drawing/2014/chart" uri="{C3380CC4-5D6E-409C-BE32-E72D297353CC}">
                <c16:uniqueId val="{00000016-C05F-4AC9-A6C7-3E40AD6BBD10}"/>
              </c:ext>
            </c:extLst>
          </c:dPt>
          <c:dPt>
            <c:idx val="23"/>
            <c:invertIfNegative val="0"/>
            <c:bubble3D val="0"/>
            <c:extLst>
              <c:ext xmlns:c16="http://schemas.microsoft.com/office/drawing/2014/chart" uri="{C3380CC4-5D6E-409C-BE32-E72D297353CC}">
                <c16:uniqueId val="{00000017-C05F-4AC9-A6C7-3E40AD6BBD10}"/>
              </c:ext>
            </c:extLst>
          </c:dPt>
          <c:dPt>
            <c:idx val="24"/>
            <c:invertIfNegative val="0"/>
            <c:bubble3D val="0"/>
            <c:extLst>
              <c:ext xmlns:c16="http://schemas.microsoft.com/office/drawing/2014/chart" uri="{C3380CC4-5D6E-409C-BE32-E72D297353CC}">
                <c16:uniqueId val="{00000018-C05F-4AC9-A6C7-3E40AD6BBD10}"/>
              </c:ext>
            </c:extLst>
          </c:dPt>
          <c:dPt>
            <c:idx val="25"/>
            <c:invertIfNegative val="0"/>
            <c:bubble3D val="0"/>
            <c:extLst>
              <c:ext xmlns:c16="http://schemas.microsoft.com/office/drawing/2014/chart" uri="{C3380CC4-5D6E-409C-BE32-E72D297353CC}">
                <c16:uniqueId val="{00000019-C05F-4AC9-A6C7-3E40AD6BBD10}"/>
              </c:ext>
            </c:extLst>
          </c:dPt>
          <c:dPt>
            <c:idx val="26"/>
            <c:invertIfNegative val="0"/>
            <c:bubble3D val="0"/>
            <c:extLst>
              <c:ext xmlns:c16="http://schemas.microsoft.com/office/drawing/2014/chart" uri="{C3380CC4-5D6E-409C-BE32-E72D297353CC}">
                <c16:uniqueId val="{0000001A-C05F-4AC9-A6C7-3E40AD6BBD10}"/>
              </c:ext>
            </c:extLst>
          </c:dPt>
          <c:dPt>
            <c:idx val="27"/>
            <c:invertIfNegative val="0"/>
            <c:bubble3D val="0"/>
            <c:extLst>
              <c:ext xmlns:c16="http://schemas.microsoft.com/office/drawing/2014/chart" uri="{C3380CC4-5D6E-409C-BE32-E72D297353CC}">
                <c16:uniqueId val="{0000001B-C05F-4AC9-A6C7-3E40AD6BBD10}"/>
              </c:ext>
            </c:extLst>
          </c:dPt>
          <c:dPt>
            <c:idx val="28"/>
            <c:invertIfNegative val="0"/>
            <c:bubble3D val="0"/>
            <c:extLst>
              <c:ext xmlns:c16="http://schemas.microsoft.com/office/drawing/2014/chart" uri="{C3380CC4-5D6E-409C-BE32-E72D297353CC}">
                <c16:uniqueId val="{0000001C-C05F-4AC9-A6C7-3E40AD6BBD10}"/>
              </c:ext>
            </c:extLst>
          </c:dPt>
          <c:dPt>
            <c:idx val="29"/>
            <c:invertIfNegative val="0"/>
            <c:bubble3D val="0"/>
            <c:extLst>
              <c:ext xmlns:c16="http://schemas.microsoft.com/office/drawing/2014/chart" uri="{C3380CC4-5D6E-409C-BE32-E72D297353CC}">
                <c16:uniqueId val="{0000001D-C05F-4AC9-A6C7-3E40AD6BBD10}"/>
              </c:ext>
            </c:extLst>
          </c:dPt>
          <c:dPt>
            <c:idx val="30"/>
            <c:invertIfNegative val="0"/>
            <c:bubble3D val="0"/>
            <c:extLst>
              <c:ext xmlns:c16="http://schemas.microsoft.com/office/drawing/2014/chart" uri="{C3380CC4-5D6E-409C-BE32-E72D297353CC}">
                <c16:uniqueId val="{0000001E-C05F-4AC9-A6C7-3E40AD6BBD10}"/>
              </c:ext>
            </c:extLst>
          </c:dPt>
          <c:dPt>
            <c:idx val="31"/>
            <c:invertIfNegative val="0"/>
            <c:bubble3D val="0"/>
            <c:extLst>
              <c:ext xmlns:c16="http://schemas.microsoft.com/office/drawing/2014/chart" uri="{C3380CC4-5D6E-409C-BE32-E72D297353CC}">
                <c16:uniqueId val="{0000001F-C05F-4AC9-A6C7-3E40AD6BBD10}"/>
              </c:ext>
            </c:extLst>
          </c:dPt>
          <c:dLbls>
            <c:spPr>
              <a:noFill/>
              <a:ln>
                <a:noFill/>
              </a:ln>
              <a:effectLst/>
            </c:spPr>
            <c:txPr>
              <a:bodyPr wrap="square" lIns="38100" tIns="19050" rIns="38100" bIns="19050" anchor="ctr">
                <a:spAutoFit/>
              </a:bodyPr>
              <a:lstStyle/>
              <a:p>
                <a:pPr>
                  <a:defRPr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'G5 pond'!$B$40:$B$71</c:f>
              <c:strCache>
                <c:ptCount val="32"/>
                <c:pt idx="0">
                  <c:v>Morelos</c:v>
                </c:pt>
                <c:pt idx="1">
                  <c:v>Puebla</c:v>
                </c:pt>
                <c:pt idx="2">
                  <c:v>Quintana Roo</c:v>
                </c:pt>
                <c:pt idx="3">
                  <c:v>Campeche</c:v>
                </c:pt>
                <c:pt idx="4">
                  <c:v>Coahuila de Zaragoza</c:v>
                </c:pt>
                <c:pt idx="5">
                  <c:v>Aguascalientes</c:v>
                </c:pt>
                <c:pt idx="6">
                  <c:v>Baja California</c:v>
                </c:pt>
                <c:pt idx="7">
                  <c:v>Nayarit</c:v>
                </c:pt>
                <c:pt idx="8">
                  <c:v>Durango</c:v>
                </c:pt>
                <c:pt idx="9">
                  <c:v>Tlaxcala</c:v>
                </c:pt>
                <c:pt idx="10">
                  <c:v>Guanajuato</c:v>
                </c:pt>
                <c:pt idx="11">
                  <c:v>Baja California Sur</c:v>
                </c:pt>
                <c:pt idx="12">
                  <c:v>Michoacán de Ocampo</c:v>
                </c:pt>
                <c:pt idx="13">
                  <c:v>Zacatecas</c:v>
                </c:pt>
                <c:pt idx="14">
                  <c:v>Chihuahua</c:v>
                </c:pt>
                <c:pt idx="15">
                  <c:v>Guerrero</c:v>
                </c:pt>
                <c:pt idx="16">
                  <c:v>Colima</c:v>
                </c:pt>
                <c:pt idx="17">
                  <c:v>San Luis Potosí</c:v>
                </c:pt>
                <c:pt idx="18">
                  <c:v>Querétaro</c:v>
                </c:pt>
                <c:pt idx="19">
                  <c:v>Chiapas</c:v>
                </c:pt>
                <c:pt idx="20">
                  <c:v>Yucatán</c:v>
                </c:pt>
                <c:pt idx="21">
                  <c:v>Oaxaca</c:v>
                </c:pt>
                <c:pt idx="22">
                  <c:v>Tabasco</c:v>
                </c:pt>
                <c:pt idx="23">
                  <c:v>Sonora</c:v>
                </c:pt>
                <c:pt idx="24">
                  <c:v>Sinaloa</c:v>
                </c:pt>
                <c:pt idx="25">
                  <c:v>Tamaulipas</c:v>
                </c:pt>
                <c:pt idx="26">
                  <c:v>Nuevo León</c:v>
                </c:pt>
                <c:pt idx="27">
                  <c:v>Jalisco</c:v>
                </c:pt>
                <c:pt idx="28">
                  <c:v>Hidalgo</c:v>
                </c:pt>
                <c:pt idx="29">
                  <c:v>Veracruz de Ignacio de la Llave</c:v>
                </c:pt>
                <c:pt idx="30">
                  <c:v>México</c:v>
                </c:pt>
                <c:pt idx="31">
                  <c:v>Ciudad de México</c:v>
                </c:pt>
              </c:strCache>
            </c:strRef>
          </c:cat>
          <c:val>
            <c:numRef>
              <c:f>'G5 pond'!$F$41:$F$72</c:f>
              <c:numCache>
                <c:formatCode>0.00;\-0.00;;\ @</c:formatCode>
                <c:ptCount val="32"/>
                <c:pt idx="0">
                  <c:v>-6.1384366059795629E-2</c:v>
                </c:pt>
                <c:pt idx="1">
                  <c:v>-5.6459203382474211E-2</c:v>
                </c:pt>
                <c:pt idx="2">
                  <c:v>-4.9008879950910841E-2</c:v>
                </c:pt>
                <c:pt idx="3">
                  <c:v>-3.9862847604272576E-2</c:v>
                </c:pt>
                <c:pt idx="4">
                  <c:v>-3.44210481909593E-2</c:v>
                </c:pt>
                <c:pt idx="5">
                  <c:v>-1.0603400547137997E-2</c:v>
                </c:pt>
                <c:pt idx="6">
                  <c:v>-6.9510818413639174E-3</c:v>
                </c:pt>
                <c:pt idx="7">
                  <c:v>-5.3963653756955495E-3</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numCache>
            </c:numRef>
          </c:val>
          <c:extLst>
            <c:ext xmlns:c16="http://schemas.microsoft.com/office/drawing/2014/chart" uri="{C3380CC4-5D6E-409C-BE32-E72D297353CC}">
              <c16:uniqueId val="{00000020-C05F-4AC9-A6C7-3E40AD6BBD10}"/>
            </c:ext>
          </c:extLst>
        </c:ser>
        <c:ser>
          <c:idx val="1"/>
          <c:order val="1"/>
          <c:spPr>
            <a:solidFill>
              <a:srgbClr val="08989C"/>
            </a:solidFill>
            <a:effectLst/>
            <a:scene3d>
              <a:camera prst="orthographicFront"/>
              <a:lightRig rig="threePt" dir="t">
                <a:rot lat="0" lon="0" rev="1200000"/>
              </a:lightRig>
            </a:scene3d>
            <a:sp3d/>
          </c:spPr>
          <c:invertIfNegative val="0"/>
          <c:dLbls>
            <c:spPr>
              <a:noFill/>
              <a:ln>
                <a:noFill/>
              </a:ln>
              <a:effectLst/>
            </c:spPr>
            <c:txPr>
              <a:bodyPr/>
              <a:lstStyle/>
              <a:p>
                <a:pPr>
                  <a:defRPr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'G5 pond'!$B$40:$B$71</c:f>
              <c:strCache>
                <c:ptCount val="32"/>
                <c:pt idx="0">
                  <c:v>Morelos</c:v>
                </c:pt>
                <c:pt idx="1">
                  <c:v>Puebla</c:v>
                </c:pt>
                <c:pt idx="2">
                  <c:v>Quintana Roo</c:v>
                </c:pt>
                <c:pt idx="3">
                  <c:v>Campeche</c:v>
                </c:pt>
                <c:pt idx="4">
                  <c:v>Coahuila de Zaragoza</c:v>
                </c:pt>
                <c:pt idx="5">
                  <c:v>Aguascalientes</c:v>
                </c:pt>
                <c:pt idx="6">
                  <c:v>Baja California</c:v>
                </c:pt>
                <c:pt idx="7">
                  <c:v>Nayarit</c:v>
                </c:pt>
                <c:pt idx="8">
                  <c:v>Durango</c:v>
                </c:pt>
                <c:pt idx="9">
                  <c:v>Tlaxcala</c:v>
                </c:pt>
                <c:pt idx="10">
                  <c:v>Guanajuato</c:v>
                </c:pt>
                <c:pt idx="11">
                  <c:v>Baja California Sur</c:v>
                </c:pt>
                <c:pt idx="12">
                  <c:v>Michoacán de Ocampo</c:v>
                </c:pt>
                <c:pt idx="13">
                  <c:v>Zacatecas</c:v>
                </c:pt>
                <c:pt idx="14">
                  <c:v>Chihuahua</c:v>
                </c:pt>
                <c:pt idx="15">
                  <c:v>Guerrero</c:v>
                </c:pt>
                <c:pt idx="16">
                  <c:v>Colima</c:v>
                </c:pt>
                <c:pt idx="17">
                  <c:v>San Luis Potosí</c:v>
                </c:pt>
                <c:pt idx="18">
                  <c:v>Querétaro</c:v>
                </c:pt>
                <c:pt idx="19">
                  <c:v>Chiapas</c:v>
                </c:pt>
                <c:pt idx="20">
                  <c:v>Yucatán</c:v>
                </c:pt>
                <c:pt idx="21">
                  <c:v>Oaxaca</c:v>
                </c:pt>
                <c:pt idx="22">
                  <c:v>Tabasco</c:v>
                </c:pt>
                <c:pt idx="23">
                  <c:v>Sonora</c:v>
                </c:pt>
                <c:pt idx="24">
                  <c:v>Sinaloa</c:v>
                </c:pt>
                <c:pt idx="25">
                  <c:v>Tamaulipas</c:v>
                </c:pt>
                <c:pt idx="26">
                  <c:v>Nuevo León</c:v>
                </c:pt>
                <c:pt idx="27">
                  <c:v>Jalisco</c:v>
                </c:pt>
                <c:pt idx="28">
                  <c:v>Hidalgo</c:v>
                </c:pt>
                <c:pt idx="29">
                  <c:v>Veracruz de Ignacio de la Llave</c:v>
                </c:pt>
                <c:pt idx="30">
                  <c:v>México</c:v>
                </c:pt>
                <c:pt idx="31">
                  <c:v>Ciudad de México</c:v>
                </c:pt>
              </c:strCache>
            </c:strRef>
          </c:cat>
          <c:val>
            <c:numRef>
              <c:f>'G5 pond'!$G$41:$G$72</c:f>
              <c:numCache>
                <c:formatCode>0.00;\-0.00;;\ @</c:formatCode>
                <c:ptCount val="32"/>
                <c:pt idx="0">
                  <c:v>0</c:v>
                </c:pt>
                <c:pt idx="1">
                  <c:v>0</c:v>
                </c:pt>
                <c:pt idx="2">
                  <c:v>0</c:v>
                </c:pt>
                <c:pt idx="3">
                  <c:v>0</c:v>
                </c:pt>
                <c:pt idx="4">
                  <c:v>0</c:v>
                </c:pt>
                <c:pt idx="5">
                  <c:v>0</c:v>
                </c:pt>
                <c:pt idx="6">
                  <c:v>0</c:v>
                </c:pt>
                <c:pt idx="7">
                  <c:v>0</c:v>
                </c:pt>
                <c:pt idx="8">
                  <c:v>4.3976314589904151E-3</c:v>
                </c:pt>
                <c:pt idx="9">
                  <c:v>1.2365003456786129E-2</c:v>
                </c:pt>
                <c:pt idx="10">
                  <c:v>2.0500743333985969E-2</c:v>
                </c:pt>
                <c:pt idx="11">
                  <c:v>2.1202359143915075E-2</c:v>
                </c:pt>
                <c:pt idx="12">
                  <c:v>2.2668014947082336E-2</c:v>
                </c:pt>
                <c:pt idx="13">
                  <c:v>2.3227998418475133E-2</c:v>
                </c:pt>
                <c:pt idx="14">
                  <c:v>2.7146292283413118E-2</c:v>
                </c:pt>
                <c:pt idx="15">
                  <c:v>3.4797342871408038E-2</c:v>
                </c:pt>
                <c:pt idx="16">
                  <c:v>3.7492990269412663E-2</c:v>
                </c:pt>
                <c:pt idx="17">
                  <c:v>4.4628042362924419E-2</c:v>
                </c:pt>
                <c:pt idx="18">
                  <c:v>4.8435583373187277E-2</c:v>
                </c:pt>
                <c:pt idx="19">
                  <c:v>5.1578616247125481E-2</c:v>
                </c:pt>
                <c:pt idx="20">
                  <c:v>6.7695304057927924E-2</c:v>
                </c:pt>
                <c:pt idx="21">
                  <c:v>6.8448383973891011E-2</c:v>
                </c:pt>
                <c:pt idx="22">
                  <c:v>7.4891123841700463E-2</c:v>
                </c:pt>
                <c:pt idx="23">
                  <c:v>7.5752205230821629E-2</c:v>
                </c:pt>
                <c:pt idx="24">
                  <c:v>9.9327558741094196E-2</c:v>
                </c:pt>
                <c:pt idx="25">
                  <c:v>0.13731025697194982</c:v>
                </c:pt>
                <c:pt idx="26">
                  <c:v>0.1638591064358205</c:v>
                </c:pt>
                <c:pt idx="27">
                  <c:v>0.17222755512666271</c:v>
                </c:pt>
                <c:pt idx="28">
                  <c:v>0.17369819005902154</c:v>
                </c:pt>
                <c:pt idx="29">
                  <c:v>0.21363576557466205</c:v>
                </c:pt>
                <c:pt idx="30">
                  <c:v>0.3408673330857302</c:v>
                </c:pt>
                <c:pt idx="31">
                  <c:v>0</c:v>
                </c:pt>
              </c:numCache>
            </c:numRef>
          </c:val>
          <c:extLst>
            <c:ext xmlns:c16="http://schemas.microsoft.com/office/drawing/2014/chart" uri="{C3380CC4-5D6E-409C-BE32-E72D297353CC}">
              <c16:uniqueId val="{00000021-C05F-4AC9-A6C7-3E40AD6BBD10}"/>
            </c:ext>
          </c:extLst>
        </c:ser>
        <c:ser>
          <c:idx val="2"/>
          <c:order val="2"/>
          <c:spPr>
            <a:solidFill>
              <a:srgbClr val="003057"/>
            </a:solidFill>
            <a:effectLst/>
            <a:scene3d>
              <a:camera prst="orthographicFront"/>
              <a:lightRig rig="threePt" dir="t">
                <a:rot lat="0" lon="0" rev="1200000"/>
              </a:lightRig>
            </a:scene3d>
            <a:sp3d/>
          </c:spPr>
          <c:invertIfNegative val="0"/>
          <c:dLbls>
            <c:dLbl>
              <c:idx val="0"/>
              <c:layout>
                <c:manualLayout>
                  <c:x val="-1.3229166666666667E-2"/>
                  <c:y val="-1.7246714344731083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C05F-4AC9-A6C7-3E40AD6BBD10}"/>
                </c:ext>
              </c:extLst>
            </c:dLbl>
            <c:dLbl>
              <c:idx val="4"/>
              <c:layout>
                <c:manualLayout>
                  <c:x val="-8.819444444444364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C05F-4AC9-A6C7-3E40AD6BBD10}"/>
                </c:ext>
              </c:extLst>
            </c:dLbl>
            <c:spPr>
              <a:noFill/>
              <a:ln>
                <a:noFill/>
              </a:ln>
              <a:effectLst/>
            </c:spPr>
            <c:txPr>
              <a:bodyPr wrap="square" lIns="38100" tIns="19050" rIns="38100" bIns="19050" anchor="ctr">
                <a:spAutoFit/>
              </a:bodyPr>
              <a:lstStyle/>
              <a:p>
                <a:pPr>
                  <a:defRPr b="1">
                    <a:solidFill>
                      <a:srgbClr val="4D565E"/>
                    </a:solidFill>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'G5 pond'!$B$40:$B$71</c:f>
              <c:strCache>
                <c:ptCount val="32"/>
                <c:pt idx="0">
                  <c:v>Morelos</c:v>
                </c:pt>
                <c:pt idx="1">
                  <c:v>Puebla</c:v>
                </c:pt>
                <c:pt idx="2">
                  <c:v>Quintana Roo</c:v>
                </c:pt>
                <c:pt idx="3">
                  <c:v>Campeche</c:v>
                </c:pt>
                <c:pt idx="4">
                  <c:v>Coahuila de Zaragoza</c:v>
                </c:pt>
                <c:pt idx="5">
                  <c:v>Aguascalientes</c:v>
                </c:pt>
                <c:pt idx="6">
                  <c:v>Baja California</c:v>
                </c:pt>
                <c:pt idx="7">
                  <c:v>Nayarit</c:v>
                </c:pt>
                <c:pt idx="8">
                  <c:v>Durango</c:v>
                </c:pt>
                <c:pt idx="9">
                  <c:v>Tlaxcala</c:v>
                </c:pt>
                <c:pt idx="10">
                  <c:v>Guanajuato</c:v>
                </c:pt>
                <c:pt idx="11">
                  <c:v>Baja California Sur</c:v>
                </c:pt>
                <c:pt idx="12">
                  <c:v>Michoacán de Ocampo</c:v>
                </c:pt>
                <c:pt idx="13">
                  <c:v>Zacatecas</c:v>
                </c:pt>
                <c:pt idx="14">
                  <c:v>Chihuahua</c:v>
                </c:pt>
                <c:pt idx="15">
                  <c:v>Guerrero</c:v>
                </c:pt>
                <c:pt idx="16">
                  <c:v>Colima</c:v>
                </c:pt>
                <c:pt idx="17">
                  <c:v>San Luis Potosí</c:v>
                </c:pt>
                <c:pt idx="18">
                  <c:v>Querétaro</c:v>
                </c:pt>
                <c:pt idx="19">
                  <c:v>Chiapas</c:v>
                </c:pt>
                <c:pt idx="20">
                  <c:v>Yucatán</c:v>
                </c:pt>
                <c:pt idx="21">
                  <c:v>Oaxaca</c:v>
                </c:pt>
                <c:pt idx="22">
                  <c:v>Tabasco</c:v>
                </c:pt>
                <c:pt idx="23">
                  <c:v>Sonora</c:v>
                </c:pt>
                <c:pt idx="24">
                  <c:v>Sinaloa</c:v>
                </c:pt>
                <c:pt idx="25">
                  <c:v>Tamaulipas</c:v>
                </c:pt>
                <c:pt idx="26">
                  <c:v>Nuevo León</c:v>
                </c:pt>
                <c:pt idx="27">
                  <c:v>Jalisco</c:v>
                </c:pt>
                <c:pt idx="28">
                  <c:v>Hidalgo</c:v>
                </c:pt>
                <c:pt idx="29">
                  <c:v>Veracruz de Ignacio de la Llave</c:v>
                </c:pt>
                <c:pt idx="30">
                  <c:v>México</c:v>
                </c:pt>
                <c:pt idx="31">
                  <c:v>Ciudad de México</c:v>
                </c:pt>
              </c:strCache>
            </c:strRef>
          </c:cat>
          <c:val>
            <c:numRef>
              <c:f>'G5 pond'!$E$41:$E$72</c:f>
              <c:numCache>
                <c:formatCode>0.00;\-0.00;;\ @</c:formatCode>
                <c:ptCount val="3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0.36864256536624357</c:v>
                </c:pt>
              </c:numCache>
            </c:numRef>
          </c:val>
          <c:extLst>
            <c:ext xmlns:c16="http://schemas.microsoft.com/office/drawing/2014/chart" uri="{C3380CC4-5D6E-409C-BE32-E72D297353CC}">
              <c16:uniqueId val="{00000024-C05F-4AC9-A6C7-3E40AD6BBD10}"/>
            </c:ext>
          </c:extLst>
        </c:ser>
        <c:dLbls>
          <c:showLegendKey val="0"/>
          <c:showVal val="0"/>
          <c:showCatName val="0"/>
          <c:showSerName val="0"/>
          <c:showPercent val="0"/>
          <c:showBubbleSize val="0"/>
        </c:dLbls>
        <c:gapWidth val="45"/>
        <c:overlap val="100"/>
        <c:axId val="-1180158176"/>
        <c:axId val="-1180157088"/>
      </c:barChart>
      <c:catAx>
        <c:axId val="-1180158176"/>
        <c:scaling>
          <c:orientation val="minMax"/>
        </c:scaling>
        <c:delete val="0"/>
        <c:axPos val="l"/>
        <c:numFmt formatCode="General" sourceLinked="1"/>
        <c:majorTickMark val="none"/>
        <c:minorTickMark val="none"/>
        <c:tickLblPos val="low"/>
        <c:spPr>
          <a:ln w="19050">
            <a:solidFill>
              <a:srgbClr val="B72F05"/>
            </a:solidFill>
          </a:ln>
        </c:spPr>
        <c:txPr>
          <a:bodyPr/>
          <a:lstStyle/>
          <a:p>
            <a:pPr>
              <a:defRPr>
                <a:solidFill>
                  <a:srgbClr val="4D565E"/>
                </a:solidFill>
              </a:defRPr>
            </a:pPr>
            <a:endParaRPr lang="es-MX"/>
          </a:p>
        </c:txPr>
        <c:crossAx val="-1180157088"/>
        <c:crosses val="autoZero"/>
        <c:auto val="0"/>
        <c:lblAlgn val="ctr"/>
        <c:lblOffset val="100"/>
        <c:noMultiLvlLbl val="0"/>
      </c:catAx>
      <c:valAx>
        <c:axId val="-1180157088"/>
        <c:scaling>
          <c:orientation val="minMax"/>
        </c:scaling>
        <c:delete val="0"/>
        <c:axPos val="b"/>
        <c:numFmt formatCode="#,##0.0" sourceLinked="0"/>
        <c:majorTickMark val="none"/>
        <c:minorTickMark val="none"/>
        <c:tickLblPos val="nextTo"/>
        <c:txPr>
          <a:bodyPr/>
          <a:lstStyle/>
          <a:p>
            <a:pPr>
              <a:defRPr>
                <a:solidFill>
                  <a:srgbClr val="4D565E"/>
                </a:solidFill>
              </a:defRPr>
            </a:pPr>
            <a:endParaRPr lang="es-MX"/>
          </a:p>
        </c:txPr>
        <c:crossAx val="-1180158176"/>
        <c:crosses val="autoZero"/>
        <c:crossBetween val="between"/>
      </c:valAx>
      <c:spPr>
        <a:noFill/>
        <a:ln w="9525">
          <a:noFill/>
        </a:ln>
        <a:effectLst/>
      </c:spPr>
    </c:plotArea>
    <c:plotVisOnly val="0"/>
    <c:dispBlanksAs val="gap"/>
    <c:showDLblsOverMax val="0"/>
  </c:chart>
  <c:spPr>
    <a:ln>
      <a:noFill/>
    </a:ln>
    <a:effectLst/>
  </c:spPr>
  <c:txPr>
    <a:bodyPr/>
    <a:lstStyle/>
    <a:p>
      <a:pPr>
        <a:defRPr sz="800">
          <a:latin typeface="Arial" panose="020B0604020202020204" pitchFamily="34" charset="0"/>
          <a:cs typeface="Arial" panose="020B0604020202020204" pitchFamily="34" charset="0"/>
        </a:defRPr>
      </a:pPr>
      <a:endParaRPr lang="es-MX"/>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Pt>
            <c:idx val="0"/>
            <c:invertIfNegative val="0"/>
            <c:bubble3D val="0"/>
            <c:spPr>
              <a:solidFill>
                <a:srgbClr val="08989C"/>
              </a:solidFill>
              <a:ln>
                <a:noFill/>
              </a:ln>
              <a:effectLst/>
            </c:spPr>
            <c:extLst>
              <c:ext xmlns:c16="http://schemas.microsoft.com/office/drawing/2014/chart" uri="{C3380CC4-5D6E-409C-BE32-E72D297353CC}">
                <c16:uniqueId val="{00000001-1460-47F8-92A8-53799AD5B91E}"/>
              </c:ext>
            </c:extLst>
          </c:dPt>
          <c:dPt>
            <c:idx val="1"/>
            <c:invertIfNegative val="0"/>
            <c:bubble3D val="0"/>
            <c:spPr>
              <a:solidFill>
                <a:srgbClr val="08989C"/>
              </a:solidFill>
              <a:ln>
                <a:noFill/>
              </a:ln>
              <a:effectLst/>
            </c:spPr>
            <c:extLst>
              <c:ext xmlns:c16="http://schemas.microsoft.com/office/drawing/2014/chart" uri="{C3380CC4-5D6E-409C-BE32-E72D297353CC}">
                <c16:uniqueId val="{00000003-1460-47F8-92A8-53799AD5B91E}"/>
              </c:ext>
            </c:extLst>
          </c:dPt>
          <c:dPt>
            <c:idx val="2"/>
            <c:invertIfNegative val="0"/>
            <c:bubble3D val="0"/>
            <c:spPr>
              <a:solidFill>
                <a:srgbClr val="08989C"/>
              </a:solidFill>
              <a:ln>
                <a:noFill/>
              </a:ln>
              <a:effectLst/>
            </c:spPr>
            <c:extLst>
              <c:ext xmlns:c16="http://schemas.microsoft.com/office/drawing/2014/chart" uri="{C3380CC4-5D6E-409C-BE32-E72D297353CC}">
                <c16:uniqueId val="{00000005-1460-47F8-92A8-53799AD5B91E}"/>
              </c:ext>
            </c:extLst>
          </c:dPt>
          <c:dPt>
            <c:idx val="3"/>
            <c:invertIfNegative val="0"/>
            <c:bubble3D val="0"/>
            <c:spPr>
              <a:solidFill>
                <a:srgbClr val="C0C0C0"/>
              </a:solidFill>
              <a:ln>
                <a:noFill/>
              </a:ln>
              <a:effectLst/>
            </c:spPr>
            <c:extLst>
              <c:ext xmlns:c16="http://schemas.microsoft.com/office/drawing/2014/chart" uri="{C3380CC4-5D6E-409C-BE32-E72D297353CC}">
                <c16:uniqueId val="{00000007-1460-47F8-92A8-53799AD5B91E}"/>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'G6-7 C'!$B$4:$B$7</c:f>
              <c:strCache>
                <c:ptCount val="4"/>
                <c:pt idx="0">
                  <c:v>Terciarias</c:v>
                </c:pt>
                <c:pt idx="1">
                  <c:v>Secundarias</c:v>
                </c:pt>
                <c:pt idx="2">
                  <c:v>Primarias</c:v>
                </c:pt>
                <c:pt idx="3">
                  <c:v>Total</c:v>
                </c:pt>
              </c:strCache>
            </c:strRef>
          </c:cat>
          <c:val>
            <c:numRef>
              <c:f>'G6-7 C'!$C$4:$C$7</c:f>
              <c:numCache>
                <c:formatCode>0.0</c:formatCode>
                <c:ptCount val="4"/>
                <c:pt idx="0">
                  <c:v>2.3968220981918478</c:v>
                </c:pt>
                <c:pt idx="1">
                  <c:v>5.3245510552123392</c:v>
                </c:pt>
                <c:pt idx="2">
                  <c:v>3.9181253287188724</c:v>
                </c:pt>
                <c:pt idx="3">
                  <c:v>2.8682852985505178</c:v>
                </c:pt>
              </c:numCache>
            </c:numRef>
          </c:val>
          <c:extLst>
            <c:ext xmlns:c16="http://schemas.microsoft.com/office/drawing/2014/chart" uri="{C3380CC4-5D6E-409C-BE32-E72D297353CC}">
              <c16:uniqueId val="{00000008-1460-47F8-92A8-53799AD5B91E}"/>
            </c:ext>
          </c:extLst>
        </c:ser>
        <c:dLbls>
          <c:showLegendKey val="0"/>
          <c:showVal val="0"/>
          <c:showCatName val="0"/>
          <c:showSerName val="0"/>
          <c:showPercent val="0"/>
          <c:showBubbleSize val="0"/>
        </c:dLbls>
        <c:gapWidth val="25"/>
        <c:overlap val="100"/>
        <c:axId val="1002241072"/>
        <c:axId val="1002267952"/>
      </c:barChart>
      <c:catAx>
        <c:axId val="1002241072"/>
        <c:scaling>
          <c:orientation val="minMax"/>
        </c:scaling>
        <c:delete val="0"/>
        <c:axPos val="l"/>
        <c:numFmt formatCode="General" sourceLinked="1"/>
        <c:majorTickMark val="none"/>
        <c:minorTickMark val="none"/>
        <c:tickLblPos val="low"/>
        <c:spPr>
          <a:noFill/>
          <a:ln w="19050" cap="flat" cmpd="sng" algn="ctr">
            <a:solidFill>
              <a:srgbClr val="4D565E"/>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MX"/>
          </a:p>
        </c:txPr>
        <c:crossAx val="1002267952"/>
        <c:crosses val="autoZero"/>
        <c:auto val="1"/>
        <c:lblAlgn val="ctr"/>
        <c:lblOffset val="100"/>
        <c:noMultiLvlLbl val="0"/>
      </c:catAx>
      <c:valAx>
        <c:axId val="1002267952"/>
        <c:scaling>
          <c:orientation val="minMax"/>
        </c:scaling>
        <c:delete val="0"/>
        <c:axPos val="b"/>
        <c:numFmt formatCode="0" sourceLinked="0"/>
        <c:majorTickMark val="none"/>
        <c:minorTickMark val="none"/>
        <c:tickLblPos val="nextTo"/>
        <c:spPr>
          <a:noFill/>
          <a:ln w="12700">
            <a:solidFill>
              <a:srgbClr val="4D565E"/>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MX"/>
          </a:p>
        </c:txPr>
        <c:crossAx val="10022410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es-MX"/>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2"/>
          <c:order val="0"/>
          <c:spPr>
            <a:solidFill>
              <a:srgbClr val="003057"/>
            </a:solidFill>
          </c:spPr>
          <c:invertIfNegative val="0"/>
          <c:cat>
            <c:strRef>
              <c:f>'G6-7 C'!$Q$75:$Q$76</c:f>
              <c:strCache>
                <c:ptCount val="2"/>
                <c:pt idx="0">
                  <c:v>México</c:v>
                </c:pt>
                <c:pt idx="1">
                  <c:v>Ciudad de México</c:v>
                </c:pt>
              </c:strCache>
            </c:strRef>
          </c:cat>
          <c:val>
            <c:numRef>
              <c:f>'G6-7 C'!$S$75:$S$76</c:f>
              <c:numCache>
                <c:formatCode>0.00;\-0.00;;\ @</c:formatCode>
                <c:ptCount val="2"/>
                <c:pt idx="0">
                  <c:v>0</c:v>
                </c:pt>
                <c:pt idx="1">
                  <c:v>1.4902851291672539</c:v>
                </c:pt>
              </c:numCache>
            </c:numRef>
          </c:val>
          <c:extLst>
            <c:ext xmlns:c16="http://schemas.microsoft.com/office/drawing/2014/chart" uri="{C3380CC4-5D6E-409C-BE32-E72D297353CC}">
              <c16:uniqueId val="{00000000-FC12-473F-8101-0197309EBD82}"/>
            </c:ext>
          </c:extLst>
        </c:ser>
        <c:ser>
          <c:idx val="3"/>
          <c:order val="1"/>
          <c:spPr>
            <a:solidFill>
              <a:srgbClr val="08989C"/>
            </a:solidFill>
          </c:spPr>
          <c:invertIfNegative val="0"/>
          <c:cat>
            <c:strRef>
              <c:f>'G6-7 C'!$Q$75:$Q$76</c:f>
              <c:strCache>
                <c:ptCount val="2"/>
                <c:pt idx="0">
                  <c:v>México</c:v>
                </c:pt>
                <c:pt idx="1">
                  <c:v>Ciudad de México</c:v>
                </c:pt>
              </c:strCache>
            </c:strRef>
          </c:cat>
          <c:val>
            <c:numRef>
              <c:f>'G6-7 C'!$T$75:$T$76</c:f>
              <c:numCache>
                <c:formatCode>0.00;\-0.00;;\ @</c:formatCode>
                <c:ptCount val="2"/>
                <c:pt idx="0">
                  <c:v>1.3780001693832644</c:v>
                </c:pt>
                <c:pt idx="1">
                  <c:v>0</c:v>
                </c:pt>
              </c:numCache>
            </c:numRef>
          </c:val>
          <c:extLst>
            <c:ext xmlns:c16="http://schemas.microsoft.com/office/drawing/2014/chart" uri="{C3380CC4-5D6E-409C-BE32-E72D297353CC}">
              <c16:uniqueId val="{00000001-FC12-473F-8101-0197309EBD82}"/>
            </c:ext>
          </c:extLst>
        </c:ser>
        <c:ser>
          <c:idx val="0"/>
          <c:order val="2"/>
          <c:spPr>
            <a:solidFill>
              <a:srgbClr val="003057"/>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'G6-7 C'!$Q$75:$Q$76</c:f>
              <c:strCache>
                <c:ptCount val="2"/>
                <c:pt idx="0">
                  <c:v>México</c:v>
                </c:pt>
                <c:pt idx="1">
                  <c:v>Ciudad de México</c:v>
                </c:pt>
              </c:strCache>
            </c:strRef>
          </c:cat>
          <c:val>
            <c:numRef>
              <c:f>'G6-7 C'!$S$75:$S$76</c:f>
              <c:numCache>
                <c:formatCode>0.00;\-0.00;;\ @</c:formatCode>
                <c:ptCount val="2"/>
                <c:pt idx="0">
                  <c:v>0</c:v>
                </c:pt>
                <c:pt idx="1">
                  <c:v>1.4902851291672539</c:v>
                </c:pt>
              </c:numCache>
            </c:numRef>
          </c:val>
          <c:extLst>
            <c:ext xmlns:c16="http://schemas.microsoft.com/office/drawing/2014/chart" uri="{C3380CC4-5D6E-409C-BE32-E72D297353CC}">
              <c16:uniqueId val="{00000002-FC12-473F-8101-0197309EBD82}"/>
            </c:ext>
          </c:extLst>
        </c:ser>
        <c:ser>
          <c:idx val="1"/>
          <c:order val="3"/>
          <c:spPr>
            <a:solidFill>
              <a:srgbClr val="08989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'G6-7 C'!$Q$75:$Q$76</c:f>
              <c:strCache>
                <c:ptCount val="2"/>
                <c:pt idx="0">
                  <c:v>México</c:v>
                </c:pt>
                <c:pt idx="1">
                  <c:v>Ciudad de México</c:v>
                </c:pt>
              </c:strCache>
            </c:strRef>
          </c:cat>
          <c:val>
            <c:numRef>
              <c:f>'G6-7 C'!$T$75:$T$76</c:f>
              <c:numCache>
                <c:formatCode>0.00;\-0.00;;\ @</c:formatCode>
                <c:ptCount val="2"/>
                <c:pt idx="0">
                  <c:v>1.3780001693832644</c:v>
                </c:pt>
                <c:pt idx="1">
                  <c:v>0</c:v>
                </c:pt>
              </c:numCache>
            </c:numRef>
          </c:val>
          <c:extLst>
            <c:ext xmlns:c16="http://schemas.microsoft.com/office/drawing/2014/chart" uri="{C3380CC4-5D6E-409C-BE32-E72D297353CC}">
              <c16:uniqueId val="{00000003-FC12-473F-8101-0197309EBD82}"/>
            </c:ext>
          </c:extLst>
        </c:ser>
        <c:dLbls>
          <c:showLegendKey val="0"/>
          <c:showVal val="0"/>
          <c:showCatName val="0"/>
          <c:showSerName val="0"/>
          <c:showPercent val="0"/>
          <c:showBubbleSize val="0"/>
        </c:dLbls>
        <c:gapWidth val="25"/>
        <c:overlap val="100"/>
        <c:axId val="1802186559"/>
        <c:axId val="1802171199"/>
      </c:barChart>
      <c:catAx>
        <c:axId val="1802186559"/>
        <c:scaling>
          <c:orientation val="minMax"/>
        </c:scaling>
        <c:delete val="0"/>
        <c:axPos val="l"/>
        <c:numFmt formatCode="General" sourceLinked="1"/>
        <c:majorTickMark val="none"/>
        <c:minorTickMark val="none"/>
        <c:tickLblPos val="low"/>
        <c:spPr>
          <a:noFill/>
          <a:ln w="19050" cap="flat" cmpd="sng" algn="ctr">
            <a:solidFill>
              <a:srgbClr val="4D565E"/>
            </a:solidFill>
            <a:round/>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802171199"/>
        <c:crosses val="autoZero"/>
        <c:auto val="1"/>
        <c:lblAlgn val="ctr"/>
        <c:lblOffset val="100"/>
        <c:noMultiLvlLbl val="0"/>
      </c:catAx>
      <c:valAx>
        <c:axId val="1802171199"/>
        <c:scaling>
          <c:orientation val="minMax"/>
        </c:scaling>
        <c:delete val="0"/>
        <c:axPos val="b"/>
        <c:numFmt formatCode="0.0" sourceLinked="0"/>
        <c:majorTickMark val="none"/>
        <c:minorTickMark val="none"/>
        <c:tickLblPos val="nextTo"/>
        <c:spPr>
          <a:noFill/>
          <a:ln w="12700">
            <a:solidFill>
              <a:srgbClr val="4D565E"/>
            </a:solidFill>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802186559"/>
        <c:crosses val="autoZero"/>
        <c:crossBetween val="between"/>
      </c:valAx>
    </c:plotArea>
    <c:plotVisOnly val="1"/>
    <c:dispBlanksAs val="gap"/>
    <c:showDLblsOverMax val="0"/>
    <c:extLst/>
  </c:chart>
  <c:spPr>
    <a:solidFill>
      <a:schemeClr val="bg1"/>
    </a:solidFill>
    <a:ln w="9525" cap="flat" cmpd="sng" algn="ctr">
      <a:noFill/>
      <a:round/>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003057"/>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'G6-7 C'!$B$75:$B$76</c:f>
              <c:strCache>
                <c:ptCount val="2"/>
                <c:pt idx="0">
                  <c:v>Ciudad de México</c:v>
                </c:pt>
                <c:pt idx="1">
                  <c:v>México</c:v>
                </c:pt>
              </c:strCache>
            </c:strRef>
          </c:cat>
          <c:val>
            <c:numRef>
              <c:f>'G6-7 C'!$D$75:$D$76</c:f>
              <c:numCache>
                <c:formatCode>0.00;\-0.00;;\ @</c:formatCode>
                <c:ptCount val="2"/>
                <c:pt idx="0">
                  <c:v>-0.48151031561907431</c:v>
                </c:pt>
                <c:pt idx="1">
                  <c:v>0</c:v>
                </c:pt>
              </c:numCache>
            </c:numRef>
          </c:val>
          <c:extLst>
            <c:ext xmlns:c16="http://schemas.microsoft.com/office/drawing/2014/chart" uri="{C3380CC4-5D6E-409C-BE32-E72D297353CC}">
              <c16:uniqueId val="{00000000-367D-4CD3-9594-ED78194EBC1A}"/>
            </c:ext>
          </c:extLst>
        </c:ser>
        <c:ser>
          <c:idx val="1"/>
          <c:order val="1"/>
          <c:spPr>
            <a:solidFill>
              <a:srgbClr val="08989C"/>
            </a:solidFill>
            <a:ln>
              <a:noFill/>
            </a:ln>
            <a:effectLst/>
          </c:spPr>
          <c:invertIfNegative val="0"/>
          <c:dLbls>
            <c:dLbl>
              <c:idx val="0"/>
              <c:tx>
                <c:rich>
                  <a:bodyPr/>
                  <a:lstStyle/>
                  <a:p>
                    <a:fld id="{5F80D94B-DC79-4350-A32B-69050A9ADFEB}" type="VALUE">
                      <a:rPr lang="en-US" sz="800" b="1" i="0" u="none" strike="noStrike" kern="1200" baseline="0">
                        <a:solidFill>
                          <a:srgbClr val="4D565E"/>
                        </a:solidFill>
                        <a:latin typeface="Arial" panose="020B0604020202020204" pitchFamily="34" charset="0"/>
                        <a:ea typeface="+mn-ea"/>
                        <a:cs typeface="Arial" panose="020B0604020202020204" pitchFamily="34" charset="0"/>
                      </a:rPr>
                      <a:pPr/>
                      <a:t>[VALOR]</a:t>
                    </a:fld>
                    <a:endParaRPr lang="es-MX"/>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67D-4CD3-9594-ED78194EBC1A}"/>
                </c:ext>
              </c:extLst>
            </c:dLbl>
            <c:dLbl>
              <c:idx val="1"/>
              <c:tx>
                <c:rich>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fld id="{1F65475F-C836-4B7D-9CAA-DEF763CBF733}" type="VALUE">
                      <a:rPr lang="en-US" sz="800" b="1" i="0" u="none" strike="noStrike" kern="1200" baseline="0">
                        <a:solidFill>
                          <a:srgbClr val="4D565E"/>
                        </a:solidFill>
                        <a:latin typeface="Arial" panose="020B0604020202020204" pitchFamily="34" charset="0"/>
                        <a:ea typeface="+mn-ea"/>
                        <a:cs typeface="Arial" panose="020B0604020202020204" pitchFamily="34" charset="0"/>
                      </a:rPr>
                      <a:pPr>
                        <a:defRPr b="1">
                          <a:solidFill>
                            <a:schemeClr val="bg1"/>
                          </a:solidFill>
                        </a:defRPr>
                      </a:pPr>
                      <a:t>[VALOR]</a:t>
                    </a:fld>
                    <a:endParaRPr lang="es-MX"/>
                  </a:p>
                </c:rich>
              </c:tx>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367D-4CD3-9594-ED78194EBC1A}"/>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'G6-7 C'!$B$75:$B$76</c:f>
              <c:strCache>
                <c:ptCount val="2"/>
                <c:pt idx="0">
                  <c:v>Ciudad de México</c:v>
                </c:pt>
                <c:pt idx="1">
                  <c:v>México</c:v>
                </c:pt>
              </c:strCache>
            </c:strRef>
          </c:cat>
          <c:val>
            <c:numRef>
              <c:f>'G6-7 C'!$E$75:$E$76</c:f>
              <c:numCache>
                <c:formatCode>0.00;\-0.00;;\ @</c:formatCode>
                <c:ptCount val="2"/>
                <c:pt idx="0">
                  <c:v>0</c:v>
                </c:pt>
                <c:pt idx="1">
                  <c:v>4.3996356443379474</c:v>
                </c:pt>
              </c:numCache>
            </c:numRef>
          </c:val>
          <c:extLst>
            <c:ext xmlns:c16="http://schemas.microsoft.com/office/drawing/2014/chart" uri="{C3380CC4-5D6E-409C-BE32-E72D297353CC}">
              <c16:uniqueId val="{00000003-367D-4CD3-9594-ED78194EBC1A}"/>
            </c:ext>
          </c:extLst>
        </c:ser>
        <c:dLbls>
          <c:showLegendKey val="0"/>
          <c:showVal val="0"/>
          <c:showCatName val="0"/>
          <c:showSerName val="0"/>
          <c:showPercent val="0"/>
          <c:showBubbleSize val="0"/>
        </c:dLbls>
        <c:gapWidth val="25"/>
        <c:overlap val="100"/>
        <c:axId val="1802186559"/>
        <c:axId val="1802171199"/>
      </c:barChart>
      <c:catAx>
        <c:axId val="1802186559"/>
        <c:scaling>
          <c:orientation val="minMax"/>
        </c:scaling>
        <c:delete val="0"/>
        <c:axPos val="l"/>
        <c:numFmt formatCode="General" sourceLinked="1"/>
        <c:majorTickMark val="none"/>
        <c:minorTickMark val="none"/>
        <c:tickLblPos val="low"/>
        <c:spPr>
          <a:noFill/>
          <a:ln w="19050" cap="flat" cmpd="sng" algn="ctr">
            <a:solidFill>
              <a:srgbClr val="B72F05"/>
            </a:solidFill>
            <a:round/>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802171199"/>
        <c:crosses val="autoZero"/>
        <c:auto val="1"/>
        <c:lblAlgn val="ctr"/>
        <c:lblOffset val="100"/>
        <c:noMultiLvlLbl val="0"/>
      </c:catAx>
      <c:valAx>
        <c:axId val="1802171199"/>
        <c:scaling>
          <c:orientation val="minMax"/>
          <c:max val="6"/>
          <c:min val="-2"/>
        </c:scaling>
        <c:delete val="0"/>
        <c:axPos val="b"/>
        <c:numFmt formatCode="0.0" sourceLinked="0"/>
        <c:majorTickMark val="none"/>
        <c:minorTickMark val="none"/>
        <c:tickLblPos val="nextTo"/>
        <c:spPr>
          <a:noFill/>
          <a:ln w="12700">
            <a:solidFill>
              <a:srgbClr val="4D565E"/>
            </a:solidFill>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802186559"/>
        <c:crosses val="autoZero"/>
        <c:crossBetween val="between"/>
        <c:majorUnit val="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003057"/>
            </a:solidFill>
            <a:ln>
              <a:noFill/>
            </a:ln>
            <a:effectLst/>
          </c:spPr>
          <c:invertIfNegative val="0"/>
          <c:dLbls>
            <c:dLbl>
              <c:idx val="0"/>
              <c:layout>
                <c:manualLayout>
                  <c:x val="-4.102067183462532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33F-4C2F-A5C7-42F1A851A8C8}"/>
                </c:ext>
              </c:extLst>
            </c:dLbl>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'G6-7 C'!$G$75:$G$76</c:f>
              <c:strCache>
                <c:ptCount val="2"/>
                <c:pt idx="0">
                  <c:v>Ciudad de México</c:v>
                </c:pt>
                <c:pt idx="1">
                  <c:v>México</c:v>
                </c:pt>
              </c:strCache>
            </c:strRef>
          </c:cat>
          <c:val>
            <c:numRef>
              <c:f>'G6-7 C'!$I$75:$I$76</c:f>
              <c:numCache>
                <c:formatCode>0.00;\-0.00;;\ @</c:formatCode>
                <c:ptCount val="2"/>
                <c:pt idx="0">
                  <c:v>0.18125342425868912</c:v>
                </c:pt>
                <c:pt idx="1">
                  <c:v>0</c:v>
                </c:pt>
              </c:numCache>
            </c:numRef>
          </c:val>
          <c:extLst>
            <c:ext xmlns:c16="http://schemas.microsoft.com/office/drawing/2014/chart" uri="{C3380CC4-5D6E-409C-BE32-E72D297353CC}">
              <c16:uniqueId val="{00000001-533F-4C2F-A5C7-42F1A851A8C8}"/>
            </c:ext>
          </c:extLst>
        </c:ser>
        <c:ser>
          <c:idx val="1"/>
          <c:order val="1"/>
          <c:spPr>
            <a:solidFill>
              <a:srgbClr val="08989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'G6-7 C'!$G$75:$G$76</c:f>
              <c:strCache>
                <c:ptCount val="2"/>
                <c:pt idx="0">
                  <c:v>Ciudad de México</c:v>
                </c:pt>
                <c:pt idx="1">
                  <c:v>México</c:v>
                </c:pt>
              </c:strCache>
            </c:strRef>
          </c:cat>
          <c:val>
            <c:numRef>
              <c:f>'G6-7 C'!$J$75:$J$76</c:f>
              <c:numCache>
                <c:formatCode>0.00;\-0.00;;\ @</c:formatCode>
                <c:ptCount val="2"/>
                <c:pt idx="0">
                  <c:v>0</c:v>
                </c:pt>
                <c:pt idx="1">
                  <c:v>5.1432976309536578</c:v>
                </c:pt>
              </c:numCache>
            </c:numRef>
          </c:val>
          <c:extLst>
            <c:ext xmlns:c16="http://schemas.microsoft.com/office/drawing/2014/chart" uri="{C3380CC4-5D6E-409C-BE32-E72D297353CC}">
              <c16:uniqueId val="{00000002-533F-4C2F-A5C7-42F1A851A8C8}"/>
            </c:ext>
          </c:extLst>
        </c:ser>
        <c:dLbls>
          <c:showLegendKey val="0"/>
          <c:showVal val="0"/>
          <c:showCatName val="0"/>
          <c:showSerName val="0"/>
          <c:showPercent val="0"/>
          <c:showBubbleSize val="0"/>
        </c:dLbls>
        <c:gapWidth val="25"/>
        <c:overlap val="100"/>
        <c:axId val="1802186559"/>
        <c:axId val="1802171199"/>
      </c:barChart>
      <c:catAx>
        <c:axId val="1802186559"/>
        <c:scaling>
          <c:orientation val="minMax"/>
        </c:scaling>
        <c:delete val="0"/>
        <c:axPos val="l"/>
        <c:numFmt formatCode="General" sourceLinked="1"/>
        <c:majorTickMark val="none"/>
        <c:minorTickMark val="none"/>
        <c:tickLblPos val="low"/>
        <c:spPr>
          <a:noFill/>
          <a:ln w="19050" cap="flat" cmpd="sng" algn="ctr">
            <a:solidFill>
              <a:srgbClr val="4D565E"/>
            </a:solidFill>
            <a:round/>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802171199"/>
        <c:crosses val="autoZero"/>
        <c:auto val="1"/>
        <c:lblAlgn val="ctr"/>
        <c:lblOffset val="100"/>
        <c:noMultiLvlLbl val="0"/>
      </c:catAx>
      <c:valAx>
        <c:axId val="1802171199"/>
        <c:scaling>
          <c:orientation val="minMax"/>
        </c:scaling>
        <c:delete val="0"/>
        <c:axPos val="b"/>
        <c:numFmt formatCode="0.0" sourceLinked="0"/>
        <c:majorTickMark val="none"/>
        <c:minorTickMark val="none"/>
        <c:tickLblPos val="nextTo"/>
        <c:spPr>
          <a:noFill/>
          <a:ln w="12700">
            <a:solidFill>
              <a:srgbClr val="4D565E"/>
            </a:solidFill>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8021865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003057"/>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'G6-7 C'!$L$75:$L$76</c:f>
              <c:strCache>
                <c:ptCount val="2"/>
                <c:pt idx="0">
                  <c:v>México</c:v>
                </c:pt>
                <c:pt idx="1">
                  <c:v>Ciudad de México</c:v>
                </c:pt>
              </c:strCache>
            </c:strRef>
          </c:cat>
          <c:val>
            <c:numRef>
              <c:f>'G6-7 C'!$N$75:$N$76</c:f>
              <c:numCache>
                <c:formatCode>0.00;\-0.00;;\ @</c:formatCode>
                <c:ptCount val="2"/>
                <c:pt idx="0">
                  <c:v>0</c:v>
                </c:pt>
                <c:pt idx="1">
                  <c:v>1.7516752131411968</c:v>
                </c:pt>
              </c:numCache>
            </c:numRef>
          </c:val>
          <c:extLst>
            <c:ext xmlns:c16="http://schemas.microsoft.com/office/drawing/2014/chart" uri="{C3380CC4-5D6E-409C-BE32-E72D297353CC}">
              <c16:uniqueId val="{00000000-92B8-40FE-90C8-E8A56C3684E4}"/>
            </c:ext>
          </c:extLst>
        </c:ser>
        <c:ser>
          <c:idx val="1"/>
          <c:order val="1"/>
          <c:spPr>
            <a:solidFill>
              <a:srgbClr val="08989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'G6-7 C'!$L$75:$L$76</c:f>
              <c:strCache>
                <c:ptCount val="2"/>
                <c:pt idx="0">
                  <c:v>México</c:v>
                </c:pt>
                <c:pt idx="1">
                  <c:v>Ciudad de México</c:v>
                </c:pt>
              </c:strCache>
            </c:strRef>
          </c:cat>
          <c:val>
            <c:numRef>
              <c:f>'G6-7 C'!$O$75:$O$76</c:f>
              <c:numCache>
                <c:formatCode>0.00;\-0.00;;\ @</c:formatCode>
                <c:ptCount val="2"/>
                <c:pt idx="0">
                  <c:v>0.64514688505064455</c:v>
                </c:pt>
                <c:pt idx="1">
                  <c:v>0</c:v>
                </c:pt>
              </c:numCache>
            </c:numRef>
          </c:val>
          <c:extLst>
            <c:ext xmlns:c16="http://schemas.microsoft.com/office/drawing/2014/chart" uri="{C3380CC4-5D6E-409C-BE32-E72D297353CC}">
              <c16:uniqueId val="{00000001-92B8-40FE-90C8-E8A56C3684E4}"/>
            </c:ext>
          </c:extLst>
        </c:ser>
        <c:dLbls>
          <c:showLegendKey val="0"/>
          <c:showVal val="0"/>
          <c:showCatName val="0"/>
          <c:showSerName val="0"/>
          <c:showPercent val="0"/>
          <c:showBubbleSize val="0"/>
        </c:dLbls>
        <c:gapWidth val="25"/>
        <c:overlap val="100"/>
        <c:axId val="1802186559"/>
        <c:axId val="1802171199"/>
      </c:barChart>
      <c:catAx>
        <c:axId val="1802186559"/>
        <c:scaling>
          <c:orientation val="minMax"/>
        </c:scaling>
        <c:delete val="0"/>
        <c:axPos val="l"/>
        <c:numFmt formatCode="General" sourceLinked="1"/>
        <c:majorTickMark val="none"/>
        <c:minorTickMark val="none"/>
        <c:tickLblPos val="low"/>
        <c:spPr>
          <a:noFill/>
          <a:ln w="19050" cap="flat" cmpd="sng" algn="ctr">
            <a:solidFill>
              <a:srgbClr val="4D565E"/>
            </a:solidFill>
            <a:round/>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802171199"/>
        <c:crosses val="autoZero"/>
        <c:auto val="1"/>
        <c:lblAlgn val="ctr"/>
        <c:lblOffset val="100"/>
        <c:noMultiLvlLbl val="0"/>
      </c:catAx>
      <c:valAx>
        <c:axId val="1802171199"/>
        <c:scaling>
          <c:orientation val="minMax"/>
        </c:scaling>
        <c:delete val="0"/>
        <c:axPos val="b"/>
        <c:numFmt formatCode="0.0" sourceLinked="0"/>
        <c:majorTickMark val="none"/>
        <c:minorTickMark val="none"/>
        <c:tickLblPos val="nextTo"/>
        <c:spPr>
          <a:noFill/>
          <a:ln w="12700">
            <a:solidFill>
              <a:srgbClr val="4D565E"/>
            </a:solidFill>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8021865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0.33927081982819446"/>
          <c:y val="1.6405877414391444E-2"/>
          <c:w val="0.62469639835620805"/>
          <c:h val="0.95337501310884798"/>
        </c:manualLayout>
      </c:layout>
      <c:barChart>
        <c:barDir val="bar"/>
        <c:grouping val="clustered"/>
        <c:varyColors val="0"/>
        <c:ser>
          <c:idx val="0"/>
          <c:order val="0"/>
          <c:spPr>
            <a:solidFill>
              <a:srgbClr val="08989C"/>
            </a:solidFill>
            <a:effectLst/>
            <a:scene3d>
              <a:camera prst="orthographicFront"/>
              <a:lightRig rig="threePt" dir="t">
                <a:rot lat="0" lon="0" rev="1200000"/>
              </a:lightRig>
            </a:scene3d>
            <a:sp3d/>
          </c:spPr>
          <c:invertIfNegative val="0"/>
          <c:dPt>
            <c:idx val="0"/>
            <c:invertIfNegative val="0"/>
            <c:bubble3D val="0"/>
            <c:extLst>
              <c:ext xmlns:c16="http://schemas.microsoft.com/office/drawing/2014/chart" uri="{C3380CC4-5D6E-409C-BE32-E72D297353CC}">
                <c16:uniqueId val="{00000000-DFBE-4FD4-A1F6-1502D54AAAEA}"/>
              </c:ext>
            </c:extLst>
          </c:dPt>
          <c:dPt>
            <c:idx val="1"/>
            <c:invertIfNegative val="0"/>
            <c:bubble3D val="0"/>
            <c:extLst>
              <c:ext xmlns:c16="http://schemas.microsoft.com/office/drawing/2014/chart" uri="{C3380CC4-5D6E-409C-BE32-E72D297353CC}">
                <c16:uniqueId val="{00000001-DFBE-4FD4-A1F6-1502D54AAAEA}"/>
              </c:ext>
            </c:extLst>
          </c:dPt>
          <c:dPt>
            <c:idx val="2"/>
            <c:invertIfNegative val="0"/>
            <c:bubble3D val="0"/>
            <c:extLst>
              <c:ext xmlns:c16="http://schemas.microsoft.com/office/drawing/2014/chart" uri="{C3380CC4-5D6E-409C-BE32-E72D297353CC}">
                <c16:uniqueId val="{00000002-DFBE-4FD4-A1F6-1502D54AAAEA}"/>
              </c:ext>
            </c:extLst>
          </c:dPt>
          <c:dPt>
            <c:idx val="3"/>
            <c:invertIfNegative val="0"/>
            <c:bubble3D val="0"/>
            <c:extLst>
              <c:ext xmlns:c16="http://schemas.microsoft.com/office/drawing/2014/chart" uri="{C3380CC4-5D6E-409C-BE32-E72D297353CC}">
                <c16:uniqueId val="{00000003-DFBE-4FD4-A1F6-1502D54AAAEA}"/>
              </c:ext>
            </c:extLst>
          </c:dPt>
          <c:dPt>
            <c:idx val="4"/>
            <c:invertIfNegative val="0"/>
            <c:bubble3D val="0"/>
            <c:extLst>
              <c:ext xmlns:c16="http://schemas.microsoft.com/office/drawing/2014/chart" uri="{C3380CC4-5D6E-409C-BE32-E72D297353CC}">
                <c16:uniqueId val="{00000004-DFBE-4FD4-A1F6-1502D54AAAEA}"/>
              </c:ext>
            </c:extLst>
          </c:dPt>
          <c:dPt>
            <c:idx val="5"/>
            <c:invertIfNegative val="0"/>
            <c:bubble3D val="0"/>
            <c:extLst>
              <c:ext xmlns:c16="http://schemas.microsoft.com/office/drawing/2014/chart" uri="{C3380CC4-5D6E-409C-BE32-E72D297353CC}">
                <c16:uniqueId val="{00000005-DFBE-4FD4-A1F6-1502D54AAAEA}"/>
              </c:ext>
            </c:extLst>
          </c:dPt>
          <c:dPt>
            <c:idx val="6"/>
            <c:invertIfNegative val="0"/>
            <c:bubble3D val="0"/>
            <c:extLst>
              <c:ext xmlns:c16="http://schemas.microsoft.com/office/drawing/2014/chart" uri="{C3380CC4-5D6E-409C-BE32-E72D297353CC}">
                <c16:uniqueId val="{00000006-DFBE-4FD4-A1F6-1502D54AAAEA}"/>
              </c:ext>
            </c:extLst>
          </c:dPt>
          <c:dPt>
            <c:idx val="7"/>
            <c:invertIfNegative val="0"/>
            <c:bubble3D val="0"/>
            <c:extLst>
              <c:ext xmlns:c16="http://schemas.microsoft.com/office/drawing/2014/chart" uri="{C3380CC4-5D6E-409C-BE32-E72D297353CC}">
                <c16:uniqueId val="{00000007-DFBE-4FD4-A1F6-1502D54AAAEA}"/>
              </c:ext>
            </c:extLst>
          </c:dPt>
          <c:dPt>
            <c:idx val="8"/>
            <c:invertIfNegative val="0"/>
            <c:bubble3D val="0"/>
            <c:extLst>
              <c:ext xmlns:c16="http://schemas.microsoft.com/office/drawing/2014/chart" uri="{C3380CC4-5D6E-409C-BE32-E72D297353CC}">
                <c16:uniqueId val="{00000008-DFBE-4FD4-A1F6-1502D54AAAEA}"/>
              </c:ext>
            </c:extLst>
          </c:dPt>
          <c:dPt>
            <c:idx val="9"/>
            <c:invertIfNegative val="0"/>
            <c:bubble3D val="0"/>
            <c:extLst>
              <c:ext xmlns:c16="http://schemas.microsoft.com/office/drawing/2014/chart" uri="{C3380CC4-5D6E-409C-BE32-E72D297353CC}">
                <c16:uniqueId val="{00000009-DFBE-4FD4-A1F6-1502D54AAAEA}"/>
              </c:ext>
            </c:extLst>
          </c:dPt>
          <c:dPt>
            <c:idx val="10"/>
            <c:invertIfNegative val="0"/>
            <c:bubble3D val="0"/>
            <c:extLst>
              <c:ext xmlns:c16="http://schemas.microsoft.com/office/drawing/2014/chart" uri="{C3380CC4-5D6E-409C-BE32-E72D297353CC}">
                <c16:uniqueId val="{0000000A-DFBE-4FD4-A1F6-1502D54AAAEA}"/>
              </c:ext>
            </c:extLst>
          </c:dPt>
          <c:dPt>
            <c:idx val="11"/>
            <c:invertIfNegative val="0"/>
            <c:bubble3D val="0"/>
            <c:extLst>
              <c:ext xmlns:c16="http://schemas.microsoft.com/office/drawing/2014/chart" uri="{C3380CC4-5D6E-409C-BE32-E72D297353CC}">
                <c16:uniqueId val="{0000000B-DFBE-4FD4-A1F6-1502D54AAAEA}"/>
              </c:ext>
            </c:extLst>
          </c:dPt>
          <c:dPt>
            <c:idx val="12"/>
            <c:invertIfNegative val="0"/>
            <c:bubble3D val="0"/>
            <c:extLst>
              <c:ext xmlns:c16="http://schemas.microsoft.com/office/drawing/2014/chart" uri="{C3380CC4-5D6E-409C-BE32-E72D297353CC}">
                <c16:uniqueId val="{0000000C-DFBE-4FD4-A1F6-1502D54AAAEA}"/>
              </c:ext>
            </c:extLst>
          </c:dPt>
          <c:dPt>
            <c:idx val="13"/>
            <c:invertIfNegative val="0"/>
            <c:bubble3D val="0"/>
            <c:extLst>
              <c:ext xmlns:c16="http://schemas.microsoft.com/office/drawing/2014/chart" uri="{C3380CC4-5D6E-409C-BE32-E72D297353CC}">
                <c16:uniqueId val="{0000000D-DFBE-4FD4-A1F6-1502D54AAAEA}"/>
              </c:ext>
            </c:extLst>
          </c:dPt>
          <c:dPt>
            <c:idx val="14"/>
            <c:invertIfNegative val="0"/>
            <c:bubble3D val="0"/>
            <c:extLst>
              <c:ext xmlns:c16="http://schemas.microsoft.com/office/drawing/2014/chart" uri="{C3380CC4-5D6E-409C-BE32-E72D297353CC}">
                <c16:uniqueId val="{0000000E-DFBE-4FD4-A1F6-1502D54AAAEA}"/>
              </c:ext>
            </c:extLst>
          </c:dPt>
          <c:dPt>
            <c:idx val="15"/>
            <c:invertIfNegative val="0"/>
            <c:bubble3D val="0"/>
            <c:extLst>
              <c:ext xmlns:c16="http://schemas.microsoft.com/office/drawing/2014/chart" uri="{C3380CC4-5D6E-409C-BE32-E72D297353CC}">
                <c16:uniqueId val="{0000000F-DFBE-4FD4-A1F6-1502D54AAAEA}"/>
              </c:ext>
            </c:extLst>
          </c:dPt>
          <c:dPt>
            <c:idx val="16"/>
            <c:invertIfNegative val="0"/>
            <c:bubble3D val="0"/>
            <c:extLst>
              <c:ext xmlns:c16="http://schemas.microsoft.com/office/drawing/2014/chart" uri="{C3380CC4-5D6E-409C-BE32-E72D297353CC}">
                <c16:uniqueId val="{00000010-DFBE-4FD4-A1F6-1502D54AAAEA}"/>
              </c:ext>
            </c:extLst>
          </c:dPt>
          <c:dPt>
            <c:idx val="17"/>
            <c:invertIfNegative val="0"/>
            <c:bubble3D val="0"/>
            <c:extLst>
              <c:ext xmlns:c16="http://schemas.microsoft.com/office/drawing/2014/chart" uri="{C3380CC4-5D6E-409C-BE32-E72D297353CC}">
                <c16:uniqueId val="{00000011-DFBE-4FD4-A1F6-1502D54AAAEA}"/>
              </c:ext>
            </c:extLst>
          </c:dPt>
          <c:dPt>
            <c:idx val="18"/>
            <c:invertIfNegative val="0"/>
            <c:bubble3D val="0"/>
            <c:extLst>
              <c:ext xmlns:c16="http://schemas.microsoft.com/office/drawing/2014/chart" uri="{C3380CC4-5D6E-409C-BE32-E72D297353CC}">
                <c16:uniqueId val="{00000012-DFBE-4FD4-A1F6-1502D54AAAEA}"/>
              </c:ext>
            </c:extLst>
          </c:dPt>
          <c:dPt>
            <c:idx val="19"/>
            <c:invertIfNegative val="0"/>
            <c:bubble3D val="0"/>
            <c:extLst>
              <c:ext xmlns:c16="http://schemas.microsoft.com/office/drawing/2014/chart" uri="{C3380CC4-5D6E-409C-BE32-E72D297353CC}">
                <c16:uniqueId val="{00000013-DFBE-4FD4-A1F6-1502D54AAAEA}"/>
              </c:ext>
            </c:extLst>
          </c:dPt>
          <c:dPt>
            <c:idx val="20"/>
            <c:invertIfNegative val="0"/>
            <c:bubble3D val="0"/>
            <c:extLst>
              <c:ext xmlns:c16="http://schemas.microsoft.com/office/drawing/2014/chart" uri="{C3380CC4-5D6E-409C-BE32-E72D297353CC}">
                <c16:uniqueId val="{00000014-DFBE-4FD4-A1F6-1502D54AAAEA}"/>
              </c:ext>
            </c:extLst>
          </c:dPt>
          <c:dPt>
            <c:idx val="21"/>
            <c:invertIfNegative val="0"/>
            <c:bubble3D val="0"/>
            <c:extLst>
              <c:ext xmlns:c16="http://schemas.microsoft.com/office/drawing/2014/chart" uri="{C3380CC4-5D6E-409C-BE32-E72D297353CC}">
                <c16:uniqueId val="{00000015-DFBE-4FD4-A1F6-1502D54AAAEA}"/>
              </c:ext>
            </c:extLst>
          </c:dPt>
          <c:dPt>
            <c:idx val="22"/>
            <c:invertIfNegative val="0"/>
            <c:bubble3D val="0"/>
            <c:extLst>
              <c:ext xmlns:c16="http://schemas.microsoft.com/office/drawing/2014/chart" uri="{C3380CC4-5D6E-409C-BE32-E72D297353CC}">
                <c16:uniqueId val="{00000016-DFBE-4FD4-A1F6-1502D54AAAEA}"/>
              </c:ext>
            </c:extLst>
          </c:dPt>
          <c:dPt>
            <c:idx val="23"/>
            <c:invertIfNegative val="0"/>
            <c:bubble3D val="0"/>
            <c:extLst>
              <c:ext xmlns:c16="http://schemas.microsoft.com/office/drawing/2014/chart" uri="{C3380CC4-5D6E-409C-BE32-E72D297353CC}">
                <c16:uniqueId val="{00000017-DFBE-4FD4-A1F6-1502D54AAAEA}"/>
              </c:ext>
            </c:extLst>
          </c:dPt>
          <c:dPt>
            <c:idx val="24"/>
            <c:invertIfNegative val="0"/>
            <c:bubble3D val="0"/>
            <c:extLst>
              <c:ext xmlns:c16="http://schemas.microsoft.com/office/drawing/2014/chart" uri="{C3380CC4-5D6E-409C-BE32-E72D297353CC}">
                <c16:uniqueId val="{00000018-DFBE-4FD4-A1F6-1502D54AAAEA}"/>
              </c:ext>
            </c:extLst>
          </c:dPt>
          <c:dPt>
            <c:idx val="25"/>
            <c:invertIfNegative val="0"/>
            <c:bubble3D val="0"/>
            <c:extLst>
              <c:ext xmlns:c16="http://schemas.microsoft.com/office/drawing/2014/chart" uri="{C3380CC4-5D6E-409C-BE32-E72D297353CC}">
                <c16:uniqueId val="{00000019-DFBE-4FD4-A1F6-1502D54AAAEA}"/>
              </c:ext>
            </c:extLst>
          </c:dPt>
          <c:dPt>
            <c:idx val="26"/>
            <c:invertIfNegative val="0"/>
            <c:bubble3D val="0"/>
            <c:extLst>
              <c:ext xmlns:c16="http://schemas.microsoft.com/office/drawing/2014/chart" uri="{C3380CC4-5D6E-409C-BE32-E72D297353CC}">
                <c16:uniqueId val="{0000001A-DFBE-4FD4-A1F6-1502D54AAAEA}"/>
              </c:ext>
            </c:extLst>
          </c:dPt>
          <c:dPt>
            <c:idx val="27"/>
            <c:invertIfNegative val="0"/>
            <c:bubble3D val="0"/>
            <c:extLst>
              <c:ext xmlns:c16="http://schemas.microsoft.com/office/drawing/2014/chart" uri="{C3380CC4-5D6E-409C-BE32-E72D297353CC}">
                <c16:uniqueId val="{0000001B-DFBE-4FD4-A1F6-1502D54AAAEA}"/>
              </c:ext>
            </c:extLst>
          </c:dPt>
          <c:dPt>
            <c:idx val="28"/>
            <c:invertIfNegative val="0"/>
            <c:bubble3D val="0"/>
            <c:extLst>
              <c:ext xmlns:c16="http://schemas.microsoft.com/office/drawing/2014/chart" uri="{C3380CC4-5D6E-409C-BE32-E72D297353CC}">
                <c16:uniqueId val="{0000001C-DFBE-4FD4-A1F6-1502D54AAAEA}"/>
              </c:ext>
            </c:extLst>
          </c:dPt>
          <c:dPt>
            <c:idx val="29"/>
            <c:invertIfNegative val="0"/>
            <c:bubble3D val="0"/>
            <c:extLst>
              <c:ext xmlns:c16="http://schemas.microsoft.com/office/drawing/2014/chart" uri="{C3380CC4-5D6E-409C-BE32-E72D297353CC}">
                <c16:uniqueId val="{0000001D-DFBE-4FD4-A1F6-1502D54AAAEA}"/>
              </c:ext>
            </c:extLst>
          </c:dPt>
          <c:dPt>
            <c:idx val="30"/>
            <c:invertIfNegative val="0"/>
            <c:bubble3D val="0"/>
            <c:extLst>
              <c:ext xmlns:c16="http://schemas.microsoft.com/office/drawing/2014/chart" uri="{C3380CC4-5D6E-409C-BE32-E72D297353CC}">
                <c16:uniqueId val="{0000001E-DFBE-4FD4-A1F6-1502D54AAAEA}"/>
              </c:ext>
            </c:extLst>
          </c:dPt>
          <c:dPt>
            <c:idx val="31"/>
            <c:invertIfNegative val="0"/>
            <c:bubble3D val="0"/>
            <c:extLst>
              <c:ext xmlns:c16="http://schemas.microsoft.com/office/drawing/2014/chart" uri="{C3380CC4-5D6E-409C-BE32-E72D297353CC}">
                <c16:uniqueId val="{0000001F-DFBE-4FD4-A1F6-1502D54AAAEA}"/>
              </c:ext>
            </c:extLst>
          </c:dPt>
          <c:dPt>
            <c:idx val="32"/>
            <c:invertIfNegative val="0"/>
            <c:bubble3D val="0"/>
            <c:extLst>
              <c:ext xmlns:c16="http://schemas.microsoft.com/office/drawing/2014/chart" uri="{C3380CC4-5D6E-409C-BE32-E72D297353CC}">
                <c16:uniqueId val="{00000020-DFBE-4FD4-A1F6-1502D54AAAEA}"/>
              </c:ext>
            </c:extLst>
          </c:dPt>
          <c:dLbls>
            <c:dLbl>
              <c:idx val="31"/>
              <c:spPr>
                <a:noFill/>
                <a:ln>
                  <a:noFill/>
                </a:ln>
                <a:effectLst/>
              </c:spPr>
              <c:txPr>
                <a:bodyPr wrap="square" lIns="38100" tIns="19050" rIns="38100" bIns="19050" anchor="ctr">
                  <a:spAutoFit/>
                </a:bodyPr>
                <a:lstStyle/>
                <a:p>
                  <a:pPr>
                    <a:defRPr b="1">
                      <a:solidFill>
                        <a:srgbClr val="4D565E"/>
                      </a:solidFill>
                    </a:defRPr>
                  </a:pPr>
                  <a:endParaRPr lang="es-MX"/>
                </a:p>
              </c:txPr>
              <c:dLblPos val="outEnd"/>
              <c:showLegendKey val="0"/>
              <c:showVal val="1"/>
              <c:showCatName val="0"/>
              <c:showSerName val="0"/>
              <c:showPercent val="0"/>
              <c:showBubbleSize val="0"/>
              <c:extLst>
                <c:ext xmlns:c16="http://schemas.microsoft.com/office/drawing/2014/chart" uri="{C3380CC4-5D6E-409C-BE32-E72D297353CC}">
                  <c16:uniqueId val="{0000001F-DFBE-4FD4-A1F6-1502D54AAAEA}"/>
                </c:ext>
              </c:extLst>
            </c:dLbl>
            <c:dLbl>
              <c:idx val="32"/>
              <c:spPr>
                <a:noFill/>
                <a:ln>
                  <a:noFill/>
                </a:ln>
                <a:effectLst/>
              </c:spPr>
              <c:txPr>
                <a:bodyPr wrap="square" lIns="38100" tIns="19050" rIns="38100" bIns="19050" anchor="ctr">
                  <a:spAutoFit/>
                </a:bodyPr>
                <a:lstStyle/>
                <a:p>
                  <a:pPr>
                    <a:defRPr b="1">
                      <a:solidFill>
                        <a:srgbClr val="4D565E"/>
                      </a:solidFill>
                    </a:defRPr>
                  </a:pPr>
                  <a:endParaRPr lang="es-MX"/>
                </a:p>
              </c:txPr>
              <c:dLblPos val="outEnd"/>
              <c:showLegendKey val="0"/>
              <c:showVal val="1"/>
              <c:showCatName val="0"/>
              <c:showSerName val="0"/>
              <c:showPercent val="0"/>
              <c:showBubbleSize val="0"/>
              <c:extLst>
                <c:ext xmlns:c16="http://schemas.microsoft.com/office/drawing/2014/chart" uri="{C3380CC4-5D6E-409C-BE32-E72D297353CC}">
                  <c16:uniqueId val="{00000020-DFBE-4FD4-A1F6-1502D54AAAEA}"/>
                </c:ext>
              </c:extLst>
            </c:dLbl>
            <c:spPr>
              <a:noFill/>
              <a:ln>
                <a:noFill/>
              </a:ln>
              <a:effectLst/>
            </c:spPr>
            <c:txPr>
              <a:bodyPr wrap="square" lIns="38100" tIns="19050" rIns="38100" bIns="19050" anchor="ctr">
                <a:spAutoFit/>
              </a:bodyPr>
              <a:lstStyle/>
              <a:p>
                <a:pPr>
                  <a:defRPr b="1"/>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'G8 Total SinP'!$B$5:$B$37</c:f>
              <c:strCache>
                <c:ptCount val="33"/>
                <c:pt idx="0">
                  <c:v>Morelos</c:v>
                </c:pt>
                <c:pt idx="1">
                  <c:v>Quintana Roo</c:v>
                </c:pt>
                <c:pt idx="2">
                  <c:v>Campeche</c:v>
                </c:pt>
                <c:pt idx="3">
                  <c:v>Puebla</c:v>
                </c:pt>
                <c:pt idx="4">
                  <c:v>Coahuila de Zaragoza</c:v>
                </c:pt>
                <c:pt idx="5">
                  <c:v>Nayarit</c:v>
                </c:pt>
                <c:pt idx="6">
                  <c:v>Aguascalientes</c:v>
                </c:pt>
                <c:pt idx="7">
                  <c:v>Baja California</c:v>
                </c:pt>
                <c:pt idx="8">
                  <c:v>Durango</c:v>
                </c:pt>
                <c:pt idx="9">
                  <c:v>Guanajuato</c:v>
                </c:pt>
                <c:pt idx="10">
                  <c:v>Chihuahua</c:v>
                </c:pt>
                <c:pt idx="11">
                  <c:v>Michoacán de Ocampo</c:v>
                </c:pt>
                <c:pt idx="12">
                  <c:v>San Luis Potosí</c:v>
                </c:pt>
                <c:pt idx="13">
                  <c:v>Estados Unidos Mexicanos</c:v>
                </c:pt>
                <c:pt idx="14">
                  <c:v>Querétaro</c:v>
                </c:pt>
                <c:pt idx="15">
                  <c:v>Nuevo León</c:v>
                </c:pt>
                <c:pt idx="16">
                  <c:v>Tlaxcala</c:v>
                </c:pt>
                <c:pt idx="17">
                  <c:v>Tamaulipas</c:v>
                </c:pt>
                <c:pt idx="18">
                  <c:v>Sonora</c:v>
                </c:pt>
                <c:pt idx="19">
                  <c:v>Ciudad de México</c:v>
                </c:pt>
                <c:pt idx="20">
                  <c:v>Jalisco</c:v>
                </c:pt>
                <c:pt idx="21">
                  <c:v>Tabasco</c:v>
                </c:pt>
                <c:pt idx="22">
                  <c:v>Zacatecas</c:v>
                </c:pt>
                <c:pt idx="23">
                  <c:v>Guerrero</c:v>
                </c:pt>
                <c:pt idx="24">
                  <c:v>Baja California Sur</c:v>
                </c:pt>
                <c:pt idx="25">
                  <c:v>Chiapas</c:v>
                </c:pt>
                <c:pt idx="26">
                  <c:v>México</c:v>
                </c:pt>
                <c:pt idx="27">
                  <c:v>Veracruz de Ignacio de la Llave</c:v>
                </c:pt>
                <c:pt idx="28">
                  <c:v>Oaxaca</c:v>
                </c:pt>
                <c:pt idx="29">
                  <c:v>Yucatán</c:v>
                </c:pt>
                <c:pt idx="30">
                  <c:v>Sinaloa</c:v>
                </c:pt>
                <c:pt idx="31">
                  <c:v>Colima</c:v>
                </c:pt>
                <c:pt idx="32">
                  <c:v>Hidalgo</c:v>
                </c:pt>
              </c:strCache>
            </c:strRef>
          </c:cat>
          <c:val>
            <c:numRef>
              <c:f>'G8 Total SinP'!$G$5:$G$37</c:f>
              <c:numCache>
                <c:formatCode>0.0;\-0.0;;\ @</c:formatCode>
                <c:ptCount val="33"/>
                <c:pt idx="0">
                  <c:v>0</c:v>
                </c:pt>
                <c:pt idx="1">
                  <c:v>0</c:v>
                </c:pt>
                <c:pt idx="2">
                  <c:v>0</c:v>
                </c:pt>
                <c:pt idx="3">
                  <c:v>0</c:v>
                </c:pt>
                <c:pt idx="4">
                  <c:v>0</c:v>
                </c:pt>
                <c:pt idx="5">
                  <c:v>0</c:v>
                </c:pt>
                <c:pt idx="6">
                  <c:v>0</c:v>
                </c:pt>
                <c:pt idx="7">
                  <c:v>0</c:v>
                </c:pt>
                <c:pt idx="8">
                  <c:v>0.34511828328002991</c:v>
                </c:pt>
                <c:pt idx="9">
                  <c:v>0.4344107408057738</c:v>
                </c:pt>
                <c:pt idx="10">
                  <c:v>0.75934027174606911</c:v>
                </c:pt>
                <c:pt idx="11">
                  <c:v>0.81576406473520535</c:v>
                </c:pt>
                <c:pt idx="12">
                  <c:v>1.9017847374332035</c:v>
                </c:pt>
                <c:pt idx="13">
                  <c:v>0</c:v>
                </c:pt>
                <c:pt idx="14">
                  <c:v>1.9881056960234957</c:v>
                </c:pt>
                <c:pt idx="15">
                  <c:v>2.0156579619072801</c:v>
                </c:pt>
                <c:pt idx="16">
                  <c:v>2.0666302757771575</c:v>
                </c:pt>
                <c:pt idx="17">
                  <c:v>2.1326078969710665</c:v>
                </c:pt>
                <c:pt idx="18">
                  <c:v>2.3330513916384916</c:v>
                </c:pt>
                <c:pt idx="19">
                  <c:v>2.3727990415225406</c:v>
                </c:pt>
                <c:pt idx="20">
                  <c:v>2.3782687402519116</c:v>
                </c:pt>
                <c:pt idx="21">
                  <c:v>2.5053823754722231</c:v>
                </c:pt>
                <c:pt idx="22">
                  <c:v>2.5355933461864026</c:v>
                </c:pt>
                <c:pt idx="23">
                  <c:v>2.7068240905822307</c:v>
                </c:pt>
                <c:pt idx="24">
                  <c:v>2.8462133477978426</c:v>
                </c:pt>
                <c:pt idx="25">
                  <c:v>2.9156962827485415</c:v>
                </c:pt>
                <c:pt idx="26">
                  <c:v>3.7050038932578104</c:v>
                </c:pt>
                <c:pt idx="27">
                  <c:v>3.7609727832327451</c:v>
                </c:pt>
                <c:pt idx="28">
                  <c:v>3.8050144337682354</c:v>
                </c:pt>
                <c:pt idx="29">
                  <c:v>4.2571196470342159</c:v>
                </c:pt>
                <c:pt idx="30">
                  <c:v>4.9746142964364708</c:v>
                </c:pt>
                <c:pt idx="31">
                  <c:v>5.8362303436663154</c:v>
                </c:pt>
                <c:pt idx="32">
                  <c:v>9.4926209099057672</c:v>
                </c:pt>
              </c:numCache>
            </c:numRef>
          </c:val>
          <c:extLst>
            <c:ext xmlns:c16="http://schemas.microsoft.com/office/drawing/2014/chart" uri="{C3380CC4-5D6E-409C-BE32-E72D297353CC}">
              <c16:uniqueId val="{00000021-DFBE-4FD4-A1F6-1502D54AAAEA}"/>
            </c:ext>
          </c:extLst>
        </c:ser>
        <c:ser>
          <c:idx val="2"/>
          <c:order val="1"/>
          <c:spPr>
            <a:solidFill>
              <a:srgbClr val="C0C0C0"/>
            </a:solidFill>
            <a:effectLst/>
            <a:scene3d>
              <a:camera prst="orthographicFront"/>
              <a:lightRig rig="threePt" dir="t">
                <a:rot lat="0" lon="0" rev="1200000"/>
              </a:lightRig>
            </a:scene3d>
            <a:sp3d/>
          </c:spPr>
          <c:invertIfNegative val="0"/>
          <c:dLbls>
            <c:spPr>
              <a:noFill/>
              <a:ln>
                <a:noFill/>
              </a:ln>
              <a:effectLst/>
            </c:spPr>
            <c:txPr>
              <a:bodyPr/>
              <a:lstStyle/>
              <a:p>
                <a:pPr>
                  <a:defRPr b="1"/>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'G8 Total SinP'!$B$5:$B$37</c:f>
              <c:strCache>
                <c:ptCount val="33"/>
                <c:pt idx="0">
                  <c:v>Morelos</c:v>
                </c:pt>
                <c:pt idx="1">
                  <c:v>Quintana Roo</c:v>
                </c:pt>
                <c:pt idx="2">
                  <c:v>Campeche</c:v>
                </c:pt>
                <c:pt idx="3">
                  <c:v>Puebla</c:v>
                </c:pt>
                <c:pt idx="4">
                  <c:v>Coahuila de Zaragoza</c:v>
                </c:pt>
                <c:pt idx="5">
                  <c:v>Nayarit</c:v>
                </c:pt>
                <c:pt idx="6">
                  <c:v>Aguascalientes</c:v>
                </c:pt>
                <c:pt idx="7">
                  <c:v>Baja California</c:v>
                </c:pt>
                <c:pt idx="8">
                  <c:v>Durango</c:v>
                </c:pt>
                <c:pt idx="9">
                  <c:v>Guanajuato</c:v>
                </c:pt>
                <c:pt idx="10">
                  <c:v>Chihuahua</c:v>
                </c:pt>
                <c:pt idx="11">
                  <c:v>Michoacán de Ocampo</c:v>
                </c:pt>
                <c:pt idx="12">
                  <c:v>San Luis Potosí</c:v>
                </c:pt>
                <c:pt idx="13">
                  <c:v>Estados Unidos Mexicanos</c:v>
                </c:pt>
                <c:pt idx="14">
                  <c:v>Querétaro</c:v>
                </c:pt>
                <c:pt idx="15">
                  <c:v>Nuevo León</c:v>
                </c:pt>
                <c:pt idx="16">
                  <c:v>Tlaxcala</c:v>
                </c:pt>
                <c:pt idx="17">
                  <c:v>Tamaulipas</c:v>
                </c:pt>
                <c:pt idx="18">
                  <c:v>Sonora</c:v>
                </c:pt>
                <c:pt idx="19">
                  <c:v>Ciudad de México</c:v>
                </c:pt>
                <c:pt idx="20">
                  <c:v>Jalisco</c:v>
                </c:pt>
                <c:pt idx="21">
                  <c:v>Tabasco</c:v>
                </c:pt>
                <c:pt idx="22">
                  <c:v>Zacatecas</c:v>
                </c:pt>
                <c:pt idx="23">
                  <c:v>Guerrero</c:v>
                </c:pt>
                <c:pt idx="24">
                  <c:v>Baja California Sur</c:v>
                </c:pt>
                <c:pt idx="25">
                  <c:v>Chiapas</c:v>
                </c:pt>
                <c:pt idx="26">
                  <c:v>México</c:v>
                </c:pt>
                <c:pt idx="27">
                  <c:v>Veracruz de Ignacio de la Llave</c:v>
                </c:pt>
                <c:pt idx="28">
                  <c:v>Oaxaca</c:v>
                </c:pt>
                <c:pt idx="29">
                  <c:v>Yucatán</c:v>
                </c:pt>
                <c:pt idx="30">
                  <c:v>Sinaloa</c:v>
                </c:pt>
                <c:pt idx="31">
                  <c:v>Colima</c:v>
                </c:pt>
                <c:pt idx="32">
                  <c:v>Hidalgo</c:v>
                </c:pt>
              </c:strCache>
            </c:strRef>
          </c:cat>
          <c:val>
            <c:numRef>
              <c:f>'G8 Total SinP'!$D$5:$D$37</c:f>
              <c:numCache>
                <c:formatCode>0.0;\-0.0;;\ @</c:formatCode>
                <c:ptCount val="33"/>
                <c:pt idx="0">
                  <c:v>0</c:v>
                </c:pt>
                <c:pt idx="1">
                  <c:v>0</c:v>
                </c:pt>
                <c:pt idx="2">
                  <c:v>0</c:v>
                </c:pt>
                <c:pt idx="3">
                  <c:v>0</c:v>
                </c:pt>
                <c:pt idx="4">
                  <c:v>0</c:v>
                </c:pt>
                <c:pt idx="5">
                  <c:v>0</c:v>
                </c:pt>
                <c:pt idx="6">
                  <c:v>0</c:v>
                </c:pt>
                <c:pt idx="7">
                  <c:v>0</c:v>
                </c:pt>
                <c:pt idx="8">
                  <c:v>0</c:v>
                </c:pt>
                <c:pt idx="9">
                  <c:v>0</c:v>
                </c:pt>
                <c:pt idx="10">
                  <c:v>0</c:v>
                </c:pt>
                <c:pt idx="11">
                  <c:v>0</c:v>
                </c:pt>
                <c:pt idx="12">
                  <c:v>0</c:v>
                </c:pt>
                <c:pt idx="13">
                  <c:v>1.9278051619233025</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2-DFBE-4FD4-A1F6-1502D54AAAEA}"/>
            </c:ext>
          </c:extLst>
        </c:ser>
        <c:ser>
          <c:idx val="1"/>
          <c:order val="2"/>
          <c:spPr>
            <a:solidFill>
              <a:srgbClr val="08989C"/>
            </a:solidFill>
            <a:effectLst/>
            <a:scene3d>
              <a:camera prst="orthographicFront"/>
              <a:lightRig rig="threePt" dir="t">
                <a:rot lat="0" lon="0" rev="1200000"/>
              </a:lightRig>
            </a:scene3d>
            <a:sp3d/>
          </c:spPr>
          <c:invertIfNegative val="0"/>
          <c:dLbls>
            <c:dLbl>
              <c:idx val="0"/>
              <c:spPr>
                <a:noFill/>
                <a:ln>
                  <a:noFill/>
                </a:ln>
                <a:effectLst/>
              </c:spPr>
              <c:txPr>
                <a:bodyPr wrap="square" lIns="38100" tIns="19050" rIns="38100" bIns="19050" anchor="ctr">
                  <a:spAutoFit/>
                </a:bodyPr>
                <a:lstStyle/>
                <a:p>
                  <a:pPr>
                    <a:defRPr b="1">
                      <a:solidFill>
                        <a:srgbClr val="4D565E"/>
                      </a:solidFill>
                    </a:defRPr>
                  </a:pPr>
                  <a:endParaRPr lang="es-MX"/>
                </a:p>
              </c:txPr>
              <c:dLblPos val="outEnd"/>
              <c:showLegendKey val="0"/>
              <c:showVal val="1"/>
              <c:showCatName val="0"/>
              <c:showSerName val="0"/>
              <c:showPercent val="0"/>
              <c:showBubbleSize val="0"/>
              <c:extLst>
                <c:ext xmlns:c16="http://schemas.microsoft.com/office/drawing/2014/chart" uri="{C3380CC4-5D6E-409C-BE32-E72D297353CC}">
                  <c16:uniqueId val="{00000023-DFBE-4FD4-A1F6-1502D54AAAEA}"/>
                </c:ext>
              </c:extLst>
            </c:dLbl>
            <c:spPr>
              <a:noFill/>
              <a:ln>
                <a:noFill/>
              </a:ln>
              <a:effectLst/>
            </c:spPr>
            <c:txPr>
              <a:bodyPr wrap="square" lIns="38100" tIns="19050" rIns="38100" bIns="19050" anchor="ctr">
                <a:spAutoFit/>
              </a:bodyPr>
              <a:lstStyle/>
              <a:p>
                <a:pPr>
                  <a:defRPr b="1"/>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'G8 Total SinP'!$B$5:$B$37</c:f>
              <c:strCache>
                <c:ptCount val="33"/>
                <c:pt idx="0">
                  <c:v>Morelos</c:v>
                </c:pt>
                <c:pt idx="1">
                  <c:v>Quintana Roo</c:v>
                </c:pt>
                <c:pt idx="2">
                  <c:v>Campeche</c:v>
                </c:pt>
                <c:pt idx="3">
                  <c:v>Puebla</c:v>
                </c:pt>
                <c:pt idx="4">
                  <c:v>Coahuila de Zaragoza</c:v>
                </c:pt>
                <c:pt idx="5">
                  <c:v>Nayarit</c:v>
                </c:pt>
                <c:pt idx="6">
                  <c:v>Aguascalientes</c:v>
                </c:pt>
                <c:pt idx="7">
                  <c:v>Baja California</c:v>
                </c:pt>
                <c:pt idx="8">
                  <c:v>Durango</c:v>
                </c:pt>
                <c:pt idx="9">
                  <c:v>Guanajuato</c:v>
                </c:pt>
                <c:pt idx="10">
                  <c:v>Chihuahua</c:v>
                </c:pt>
                <c:pt idx="11">
                  <c:v>Michoacán de Ocampo</c:v>
                </c:pt>
                <c:pt idx="12">
                  <c:v>San Luis Potosí</c:v>
                </c:pt>
                <c:pt idx="13">
                  <c:v>Estados Unidos Mexicanos</c:v>
                </c:pt>
                <c:pt idx="14">
                  <c:v>Querétaro</c:v>
                </c:pt>
                <c:pt idx="15">
                  <c:v>Nuevo León</c:v>
                </c:pt>
                <c:pt idx="16">
                  <c:v>Tlaxcala</c:v>
                </c:pt>
                <c:pt idx="17">
                  <c:v>Tamaulipas</c:v>
                </c:pt>
                <c:pt idx="18">
                  <c:v>Sonora</c:v>
                </c:pt>
                <c:pt idx="19">
                  <c:v>Ciudad de México</c:v>
                </c:pt>
                <c:pt idx="20">
                  <c:v>Jalisco</c:v>
                </c:pt>
                <c:pt idx="21">
                  <c:v>Tabasco</c:v>
                </c:pt>
                <c:pt idx="22">
                  <c:v>Zacatecas</c:v>
                </c:pt>
                <c:pt idx="23">
                  <c:v>Guerrero</c:v>
                </c:pt>
                <c:pt idx="24">
                  <c:v>Baja California Sur</c:v>
                </c:pt>
                <c:pt idx="25">
                  <c:v>Chiapas</c:v>
                </c:pt>
                <c:pt idx="26">
                  <c:v>México</c:v>
                </c:pt>
                <c:pt idx="27">
                  <c:v>Veracruz de Ignacio de la Llave</c:v>
                </c:pt>
                <c:pt idx="28">
                  <c:v>Oaxaca</c:v>
                </c:pt>
                <c:pt idx="29">
                  <c:v>Yucatán</c:v>
                </c:pt>
                <c:pt idx="30">
                  <c:v>Sinaloa</c:v>
                </c:pt>
                <c:pt idx="31">
                  <c:v>Colima</c:v>
                </c:pt>
                <c:pt idx="32">
                  <c:v>Hidalgo</c:v>
                </c:pt>
              </c:strCache>
            </c:strRef>
          </c:cat>
          <c:val>
            <c:numRef>
              <c:f>'G8 Total SinP'!$F$5:$F$37</c:f>
              <c:numCache>
                <c:formatCode>0.0;\-0.0;;\ @</c:formatCode>
                <c:ptCount val="33"/>
                <c:pt idx="0">
                  <c:v>-5.7421727277960031</c:v>
                </c:pt>
                <c:pt idx="1">
                  <c:v>-3.5334357450256562</c:v>
                </c:pt>
                <c:pt idx="2">
                  <c:v>-2.3061497458840847</c:v>
                </c:pt>
                <c:pt idx="3">
                  <c:v>-1.569934711908104</c:v>
                </c:pt>
                <c:pt idx="4">
                  <c:v>-0.96063958247455616</c:v>
                </c:pt>
                <c:pt idx="5">
                  <c:v>-0.87378147563339326</c:v>
                </c:pt>
                <c:pt idx="6">
                  <c:v>-0.80652552483067552</c:v>
                </c:pt>
                <c:pt idx="7">
                  <c:v>-0.18570735388377102</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4-DFBE-4FD4-A1F6-1502D54AAAEA}"/>
            </c:ext>
          </c:extLst>
        </c:ser>
        <c:dLbls>
          <c:showLegendKey val="0"/>
          <c:showVal val="0"/>
          <c:showCatName val="0"/>
          <c:showSerName val="0"/>
          <c:showPercent val="0"/>
          <c:showBubbleSize val="0"/>
        </c:dLbls>
        <c:gapWidth val="46"/>
        <c:overlap val="100"/>
        <c:axId val="101332096"/>
        <c:axId val="101333632"/>
      </c:barChart>
      <c:catAx>
        <c:axId val="101332096"/>
        <c:scaling>
          <c:orientation val="minMax"/>
        </c:scaling>
        <c:delete val="0"/>
        <c:axPos val="l"/>
        <c:numFmt formatCode="General" sourceLinked="1"/>
        <c:majorTickMark val="none"/>
        <c:minorTickMark val="none"/>
        <c:tickLblPos val="low"/>
        <c:spPr>
          <a:ln w="19050">
            <a:solidFill>
              <a:srgbClr val="B72F05"/>
            </a:solidFill>
          </a:ln>
        </c:spPr>
        <c:crossAx val="101333632"/>
        <c:crosses val="autoZero"/>
        <c:auto val="0"/>
        <c:lblAlgn val="ctr"/>
        <c:lblOffset val="100"/>
        <c:noMultiLvlLbl val="0"/>
      </c:catAx>
      <c:valAx>
        <c:axId val="101333632"/>
        <c:scaling>
          <c:orientation val="minMax"/>
        </c:scaling>
        <c:delete val="0"/>
        <c:axPos val="b"/>
        <c:numFmt formatCode="#,##0" sourceLinked="0"/>
        <c:majorTickMark val="none"/>
        <c:minorTickMark val="none"/>
        <c:tickLblPos val="nextTo"/>
        <c:crossAx val="101332096"/>
        <c:crosses val="autoZero"/>
        <c:crossBetween val="between"/>
      </c:valAx>
      <c:spPr>
        <a:noFill/>
        <a:ln w="25400">
          <a:noFill/>
        </a:ln>
        <a:effectLst/>
      </c:spPr>
    </c:plotArea>
    <c:plotVisOnly val="0"/>
    <c:dispBlanksAs val="gap"/>
    <c:showDLblsOverMax val="0"/>
  </c:chart>
  <c:spPr>
    <a:ln>
      <a:noFill/>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0.32962317459224416"/>
          <c:y val="1.6405877414391444E-2"/>
          <c:w val="0.63205758597754558"/>
          <c:h val="0.95337501310884798"/>
        </c:manualLayout>
      </c:layout>
      <c:barChart>
        <c:barDir val="bar"/>
        <c:grouping val="clustered"/>
        <c:varyColors val="0"/>
        <c:ser>
          <c:idx val="0"/>
          <c:order val="0"/>
          <c:spPr>
            <a:solidFill>
              <a:srgbClr val="08989C"/>
            </a:solidFill>
            <a:effectLst/>
            <a:scene3d>
              <a:camera prst="orthographicFront"/>
              <a:lightRig rig="threePt" dir="t">
                <a:rot lat="0" lon="0" rev="1200000"/>
              </a:lightRig>
            </a:scene3d>
            <a:sp3d/>
          </c:spPr>
          <c:invertIfNegative val="0"/>
          <c:dPt>
            <c:idx val="0"/>
            <c:invertIfNegative val="0"/>
            <c:bubble3D val="0"/>
            <c:extLst>
              <c:ext xmlns:c16="http://schemas.microsoft.com/office/drawing/2014/chart" uri="{C3380CC4-5D6E-409C-BE32-E72D297353CC}">
                <c16:uniqueId val="{00000000-AA86-4202-A56E-1601433B16BC}"/>
              </c:ext>
            </c:extLst>
          </c:dPt>
          <c:dPt>
            <c:idx val="1"/>
            <c:invertIfNegative val="0"/>
            <c:bubble3D val="0"/>
            <c:extLst>
              <c:ext xmlns:c16="http://schemas.microsoft.com/office/drawing/2014/chart" uri="{C3380CC4-5D6E-409C-BE32-E72D297353CC}">
                <c16:uniqueId val="{00000001-AA86-4202-A56E-1601433B16BC}"/>
              </c:ext>
            </c:extLst>
          </c:dPt>
          <c:dPt>
            <c:idx val="2"/>
            <c:invertIfNegative val="0"/>
            <c:bubble3D val="0"/>
            <c:extLst>
              <c:ext xmlns:c16="http://schemas.microsoft.com/office/drawing/2014/chart" uri="{C3380CC4-5D6E-409C-BE32-E72D297353CC}">
                <c16:uniqueId val="{00000002-AA86-4202-A56E-1601433B16BC}"/>
              </c:ext>
            </c:extLst>
          </c:dPt>
          <c:dPt>
            <c:idx val="3"/>
            <c:invertIfNegative val="0"/>
            <c:bubble3D val="0"/>
            <c:extLst>
              <c:ext xmlns:c16="http://schemas.microsoft.com/office/drawing/2014/chart" uri="{C3380CC4-5D6E-409C-BE32-E72D297353CC}">
                <c16:uniqueId val="{00000003-AA86-4202-A56E-1601433B16BC}"/>
              </c:ext>
            </c:extLst>
          </c:dPt>
          <c:dPt>
            <c:idx val="4"/>
            <c:invertIfNegative val="0"/>
            <c:bubble3D val="0"/>
            <c:extLst>
              <c:ext xmlns:c16="http://schemas.microsoft.com/office/drawing/2014/chart" uri="{C3380CC4-5D6E-409C-BE32-E72D297353CC}">
                <c16:uniqueId val="{00000004-AA86-4202-A56E-1601433B16BC}"/>
              </c:ext>
            </c:extLst>
          </c:dPt>
          <c:dPt>
            <c:idx val="5"/>
            <c:invertIfNegative val="0"/>
            <c:bubble3D val="0"/>
            <c:extLst>
              <c:ext xmlns:c16="http://schemas.microsoft.com/office/drawing/2014/chart" uri="{C3380CC4-5D6E-409C-BE32-E72D297353CC}">
                <c16:uniqueId val="{00000005-AA86-4202-A56E-1601433B16BC}"/>
              </c:ext>
            </c:extLst>
          </c:dPt>
          <c:dPt>
            <c:idx val="6"/>
            <c:invertIfNegative val="0"/>
            <c:bubble3D val="0"/>
            <c:extLst>
              <c:ext xmlns:c16="http://schemas.microsoft.com/office/drawing/2014/chart" uri="{C3380CC4-5D6E-409C-BE32-E72D297353CC}">
                <c16:uniqueId val="{00000006-AA86-4202-A56E-1601433B16BC}"/>
              </c:ext>
            </c:extLst>
          </c:dPt>
          <c:dPt>
            <c:idx val="7"/>
            <c:invertIfNegative val="0"/>
            <c:bubble3D val="0"/>
            <c:extLst>
              <c:ext xmlns:c16="http://schemas.microsoft.com/office/drawing/2014/chart" uri="{C3380CC4-5D6E-409C-BE32-E72D297353CC}">
                <c16:uniqueId val="{00000007-AA86-4202-A56E-1601433B16BC}"/>
              </c:ext>
            </c:extLst>
          </c:dPt>
          <c:dPt>
            <c:idx val="8"/>
            <c:invertIfNegative val="0"/>
            <c:bubble3D val="0"/>
            <c:extLst>
              <c:ext xmlns:c16="http://schemas.microsoft.com/office/drawing/2014/chart" uri="{C3380CC4-5D6E-409C-BE32-E72D297353CC}">
                <c16:uniqueId val="{00000008-AA86-4202-A56E-1601433B16BC}"/>
              </c:ext>
            </c:extLst>
          </c:dPt>
          <c:dPt>
            <c:idx val="9"/>
            <c:invertIfNegative val="0"/>
            <c:bubble3D val="0"/>
            <c:extLst>
              <c:ext xmlns:c16="http://schemas.microsoft.com/office/drawing/2014/chart" uri="{C3380CC4-5D6E-409C-BE32-E72D297353CC}">
                <c16:uniqueId val="{00000009-AA86-4202-A56E-1601433B16BC}"/>
              </c:ext>
            </c:extLst>
          </c:dPt>
          <c:dPt>
            <c:idx val="10"/>
            <c:invertIfNegative val="0"/>
            <c:bubble3D val="0"/>
            <c:extLst>
              <c:ext xmlns:c16="http://schemas.microsoft.com/office/drawing/2014/chart" uri="{C3380CC4-5D6E-409C-BE32-E72D297353CC}">
                <c16:uniqueId val="{0000000A-AA86-4202-A56E-1601433B16BC}"/>
              </c:ext>
            </c:extLst>
          </c:dPt>
          <c:dPt>
            <c:idx val="11"/>
            <c:invertIfNegative val="0"/>
            <c:bubble3D val="0"/>
            <c:extLst>
              <c:ext xmlns:c16="http://schemas.microsoft.com/office/drawing/2014/chart" uri="{C3380CC4-5D6E-409C-BE32-E72D297353CC}">
                <c16:uniqueId val="{0000000B-AA86-4202-A56E-1601433B16BC}"/>
              </c:ext>
            </c:extLst>
          </c:dPt>
          <c:dPt>
            <c:idx val="12"/>
            <c:invertIfNegative val="0"/>
            <c:bubble3D val="0"/>
            <c:extLst>
              <c:ext xmlns:c16="http://schemas.microsoft.com/office/drawing/2014/chart" uri="{C3380CC4-5D6E-409C-BE32-E72D297353CC}">
                <c16:uniqueId val="{0000000C-AA86-4202-A56E-1601433B16BC}"/>
              </c:ext>
            </c:extLst>
          </c:dPt>
          <c:dPt>
            <c:idx val="13"/>
            <c:invertIfNegative val="0"/>
            <c:bubble3D val="0"/>
            <c:extLst>
              <c:ext xmlns:c16="http://schemas.microsoft.com/office/drawing/2014/chart" uri="{C3380CC4-5D6E-409C-BE32-E72D297353CC}">
                <c16:uniqueId val="{0000000D-AA86-4202-A56E-1601433B16BC}"/>
              </c:ext>
            </c:extLst>
          </c:dPt>
          <c:dPt>
            <c:idx val="14"/>
            <c:invertIfNegative val="0"/>
            <c:bubble3D val="0"/>
            <c:extLst>
              <c:ext xmlns:c16="http://schemas.microsoft.com/office/drawing/2014/chart" uri="{C3380CC4-5D6E-409C-BE32-E72D297353CC}">
                <c16:uniqueId val="{0000000E-AA86-4202-A56E-1601433B16BC}"/>
              </c:ext>
            </c:extLst>
          </c:dPt>
          <c:dPt>
            <c:idx val="15"/>
            <c:invertIfNegative val="0"/>
            <c:bubble3D val="0"/>
            <c:extLst>
              <c:ext xmlns:c16="http://schemas.microsoft.com/office/drawing/2014/chart" uri="{C3380CC4-5D6E-409C-BE32-E72D297353CC}">
                <c16:uniqueId val="{0000000F-AA86-4202-A56E-1601433B16BC}"/>
              </c:ext>
            </c:extLst>
          </c:dPt>
          <c:dPt>
            <c:idx val="16"/>
            <c:invertIfNegative val="0"/>
            <c:bubble3D val="0"/>
            <c:extLst>
              <c:ext xmlns:c16="http://schemas.microsoft.com/office/drawing/2014/chart" uri="{C3380CC4-5D6E-409C-BE32-E72D297353CC}">
                <c16:uniqueId val="{00000010-AA86-4202-A56E-1601433B16BC}"/>
              </c:ext>
            </c:extLst>
          </c:dPt>
          <c:dPt>
            <c:idx val="17"/>
            <c:invertIfNegative val="0"/>
            <c:bubble3D val="0"/>
            <c:extLst>
              <c:ext xmlns:c16="http://schemas.microsoft.com/office/drawing/2014/chart" uri="{C3380CC4-5D6E-409C-BE32-E72D297353CC}">
                <c16:uniqueId val="{00000011-AA86-4202-A56E-1601433B16BC}"/>
              </c:ext>
            </c:extLst>
          </c:dPt>
          <c:dPt>
            <c:idx val="18"/>
            <c:invertIfNegative val="0"/>
            <c:bubble3D val="0"/>
            <c:extLst>
              <c:ext xmlns:c16="http://schemas.microsoft.com/office/drawing/2014/chart" uri="{C3380CC4-5D6E-409C-BE32-E72D297353CC}">
                <c16:uniqueId val="{00000012-AA86-4202-A56E-1601433B16BC}"/>
              </c:ext>
            </c:extLst>
          </c:dPt>
          <c:dPt>
            <c:idx val="19"/>
            <c:invertIfNegative val="0"/>
            <c:bubble3D val="0"/>
            <c:extLst>
              <c:ext xmlns:c16="http://schemas.microsoft.com/office/drawing/2014/chart" uri="{C3380CC4-5D6E-409C-BE32-E72D297353CC}">
                <c16:uniqueId val="{00000013-AA86-4202-A56E-1601433B16BC}"/>
              </c:ext>
            </c:extLst>
          </c:dPt>
          <c:dPt>
            <c:idx val="20"/>
            <c:invertIfNegative val="0"/>
            <c:bubble3D val="0"/>
            <c:extLst>
              <c:ext xmlns:c16="http://schemas.microsoft.com/office/drawing/2014/chart" uri="{C3380CC4-5D6E-409C-BE32-E72D297353CC}">
                <c16:uniqueId val="{00000014-AA86-4202-A56E-1601433B16BC}"/>
              </c:ext>
            </c:extLst>
          </c:dPt>
          <c:dPt>
            <c:idx val="21"/>
            <c:invertIfNegative val="0"/>
            <c:bubble3D val="0"/>
            <c:extLst>
              <c:ext xmlns:c16="http://schemas.microsoft.com/office/drawing/2014/chart" uri="{C3380CC4-5D6E-409C-BE32-E72D297353CC}">
                <c16:uniqueId val="{00000015-AA86-4202-A56E-1601433B16BC}"/>
              </c:ext>
            </c:extLst>
          </c:dPt>
          <c:dPt>
            <c:idx val="22"/>
            <c:invertIfNegative val="0"/>
            <c:bubble3D val="0"/>
            <c:extLst>
              <c:ext xmlns:c16="http://schemas.microsoft.com/office/drawing/2014/chart" uri="{C3380CC4-5D6E-409C-BE32-E72D297353CC}">
                <c16:uniqueId val="{00000016-AA86-4202-A56E-1601433B16BC}"/>
              </c:ext>
            </c:extLst>
          </c:dPt>
          <c:dPt>
            <c:idx val="23"/>
            <c:invertIfNegative val="0"/>
            <c:bubble3D val="0"/>
            <c:extLst>
              <c:ext xmlns:c16="http://schemas.microsoft.com/office/drawing/2014/chart" uri="{C3380CC4-5D6E-409C-BE32-E72D297353CC}">
                <c16:uniqueId val="{00000017-AA86-4202-A56E-1601433B16BC}"/>
              </c:ext>
            </c:extLst>
          </c:dPt>
          <c:dPt>
            <c:idx val="24"/>
            <c:invertIfNegative val="0"/>
            <c:bubble3D val="0"/>
            <c:extLst>
              <c:ext xmlns:c16="http://schemas.microsoft.com/office/drawing/2014/chart" uri="{C3380CC4-5D6E-409C-BE32-E72D297353CC}">
                <c16:uniqueId val="{00000018-AA86-4202-A56E-1601433B16BC}"/>
              </c:ext>
            </c:extLst>
          </c:dPt>
          <c:dPt>
            <c:idx val="25"/>
            <c:invertIfNegative val="0"/>
            <c:bubble3D val="0"/>
            <c:extLst>
              <c:ext xmlns:c16="http://schemas.microsoft.com/office/drawing/2014/chart" uri="{C3380CC4-5D6E-409C-BE32-E72D297353CC}">
                <c16:uniqueId val="{00000019-AA86-4202-A56E-1601433B16BC}"/>
              </c:ext>
            </c:extLst>
          </c:dPt>
          <c:dPt>
            <c:idx val="26"/>
            <c:invertIfNegative val="0"/>
            <c:bubble3D val="0"/>
            <c:extLst>
              <c:ext xmlns:c16="http://schemas.microsoft.com/office/drawing/2014/chart" uri="{C3380CC4-5D6E-409C-BE32-E72D297353CC}">
                <c16:uniqueId val="{0000001A-AA86-4202-A56E-1601433B16BC}"/>
              </c:ext>
            </c:extLst>
          </c:dPt>
          <c:dPt>
            <c:idx val="27"/>
            <c:invertIfNegative val="0"/>
            <c:bubble3D val="0"/>
            <c:extLst>
              <c:ext xmlns:c16="http://schemas.microsoft.com/office/drawing/2014/chart" uri="{C3380CC4-5D6E-409C-BE32-E72D297353CC}">
                <c16:uniqueId val="{0000001B-AA86-4202-A56E-1601433B16BC}"/>
              </c:ext>
            </c:extLst>
          </c:dPt>
          <c:dPt>
            <c:idx val="28"/>
            <c:invertIfNegative val="0"/>
            <c:bubble3D val="0"/>
            <c:extLst>
              <c:ext xmlns:c16="http://schemas.microsoft.com/office/drawing/2014/chart" uri="{C3380CC4-5D6E-409C-BE32-E72D297353CC}">
                <c16:uniqueId val="{0000001C-AA86-4202-A56E-1601433B16BC}"/>
              </c:ext>
            </c:extLst>
          </c:dPt>
          <c:dPt>
            <c:idx val="29"/>
            <c:invertIfNegative val="0"/>
            <c:bubble3D val="0"/>
            <c:extLst>
              <c:ext xmlns:c16="http://schemas.microsoft.com/office/drawing/2014/chart" uri="{C3380CC4-5D6E-409C-BE32-E72D297353CC}">
                <c16:uniqueId val="{0000001D-AA86-4202-A56E-1601433B16BC}"/>
              </c:ext>
            </c:extLst>
          </c:dPt>
          <c:dPt>
            <c:idx val="30"/>
            <c:invertIfNegative val="0"/>
            <c:bubble3D val="0"/>
            <c:extLst>
              <c:ext xmlns:c16="http://schemas.microsoft.com/office/drawing/2014/chart" uri="{C3380CC4-5D6E-409C-BE32-E72D297353CC}">
                <c16:uniqueId val="{0000001E-AA86-4202-A56E-1601433B16BC}"/>
              </c:ext>
            </c:extLst>
          </c:dPt>
          <c:dPt>
            <c:idx val="31"/>
            <c:invertIfNegative val="0"/>
            <c:bubble3D val="0"/>
            <c:extLst>
              <c:ext xmlns:c16="http://schemas.microsoft.com/office/drawing/2014/chart" uri="{C3380CC4-5D6E-409C-BE32-E72D297353CC}">
                <c16:uniqueId val="{0000001F-AA86-4202-A56E-1601433B16BC}"/>
              </c:ext>
            </c:extLst>
          </c:dPt>
          <c:dLbls>
            <c:dLbl>
              <c:idx val="8"/>
              <c:spPr/>
              <c:txPr>
                <a:bodyPr/>
                <a:lstStyle/>
                <a:p>
                  <a:pPr>
                    <a:defRPr b="1"/>
                  </a:pPr>
                  <a:endParaRPr lang="es-MX"/>
                </a:p>
              </c:txPr>
              <c:dLblPos val="outEnd"/>
              <c:showLegendKey val="0"/>
              <c:showVal val="1"/>
              <c:showCatName val="0"/>
              <c:showSerName val="0"/>
              <c:showPercent val="0"/>
              <c:showBubbleSize val="0"/>
              <c:extLst>
                <c:ext xmlns:c16="http://schemas.microsoft.com/office/drawing/2014/chart" uri="{C3380CC4-5D6E-409C-BE32-E72D297353CC}">
                  <c16:uniqueId val="{00000008-AA86-4202-A56E-1601433B16BC}"/>
                </c:ext>
              </c:extLst>
            </c:dLbl>
            <c:spPr>
              <a:noFill/>
              <a:ln>
                <a:noFill/>
              </a:ln>
              <a:effectLst/>
            </c:spPr>
            <c:txPr>
              <a:bodyPr wrap="square" lIns="38100" tIns="19050" rIns="38100" bIns="19050" anchor="ctr">
                <a:spAutoFit/>
              </a:bodyPr>
              <a:lstStyle/>
              <a:p>
                <a:pPr>
                  <a:defRPr b="1"/>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'G8 Total SinP'!$I$5:$I$36</c:f>
              <c:strCache>
                <c:ptCount val="32"/>
                <c:pt idx="0">
                  <c:v>Morelos</c:v>
                </c:pt>
                <c:pt idx="1">
                  <c:v>Puebla</c:v>
                </c:pt>
                <c:pt idx="2">
                  <c:v>Quintana Roo</c:v>
                </c:pt>
                <c:pt idx="3">
                  <c:v>Coahuila de Zaragoza</c:v>
                </c:pt>
                <c:pt idx="4">
                  <c:v>Campeche</c:v>
                </c:pt>
                <c:pt idx="5">
                  <c:v>Aguascalientes</c:v>
                </c:pt>
                <c:pt idx="6">
                  <c:v>Baja California</c:v>
                </c:pt>
                <c:pt idx="7">
                  <c:v>Nayarit</c:v>
                </c:pt>
                <c:pt idx="8">
                  <c:v>Durango</c:v>
                </c:pt>
                <c:pt idx="9">
                  <c:v>Tlaxcala</c:v>
                </c:pt>
                <c:pt idx="10">
                  <c:v>Guanajuato</c:v>
                </c:pt>
                <c:pt idx="11">
                  <c:v>Baja California Sur</c:v>
                </c:pt>
                <c:pt idx="12">
                  <c:v>Michoacán de Ocampo</c:v>
                </c:pt>
                <c:pt idx="13">
                  <c:v>Zacatecas</c:v>
                </c:pt>
                <c:pt idx="14">
                  <c:v>Chihuahua</c:v>
                </c:pt>
                <c:pt idx="15">
                  <c:v>Tabasco</c:v>
                </c:pt>
                <c:pt idx="16">
                  <c:v>Guerrero</c:v>
                </c:pt>
                <c:pt idx="17">
                  <c:v>Colima</c:v>
                </c:pt>
                <c:pt idx="18">
                  <c:v>Chiapas</c:v>
                </c:pt>
                <c:pt idx="19">
                  <c:v>San Luis Potosí</c:v>
                </c:pt>
                <c:pt idx="20">
                  <c:v>Querétaro</c:v>
                </c:pt>
                <c:pt idx="21">
                  <c:v>Tamaulipas</c:v>
                </c:pt>
                <c:pt idx="22">
                  <c:v>Yucatán</c:v>
                </c:pt>
                <c:pt idx="23">
                  <c:v>Oaxaca</c:v>
                </c:pt>
                <c:pt idx="24">
                  <c:v>Sonora</c:v>
                </c:pt>
                <c:pt idx="25">
                  <c:v>Sinaloa</c:v>
                </c:pt>
                <c:pt idx="26">
                  <c:v>Veracruz de Ignacio de la Llave</c:v>
                </c:pt>
                <c:pt idx="27">
                  <c:v>Nuevo León</c:v>
                </c:pt>
                <c:pt idx="28">
                  <c:v>Jalisco</c:v>
                </c:pt>
                <c:pt idx="29">
                  <c:v>Hidalgo</c:v>
                </c:pt>
                <c:pt idx="30">
                  <c:v>México</c:v>
                </c:pt>
                <c:pt idx="31">
                  <c:v>Ciudad de México</c:v>
                </c:pt>
              </c:strCache>
            </c:strRef>
          </c:cat>
          <c:val>
            <c:numRef>
              <c:f>'G8 Total SinP'!$J$5:$J$36</c:f>
              <c:numCache>
                <c:formatCode>0.00</c:formatCode>
                <c:ptCount val="32"/>
                <c:pt idx="0">
                  <c:v>-6.2897171549779543E-2</c:v>
                </c:pt>
                <c:pt idx="1">
                  <c:v>-5.6717333940729892E-2</c:v>
                </c:pt>
                <c:pt idx="2">
                  <c:v>-5.0216694047670894E-2</c:v>
                </c:pt>
                <c:pt idx="3">
                  <c:v>-3.5302497557158169E-2</c:v>
                </c:pt>
                <c:pt idx="4">
                  <c:v>-1.4837441278659177E-2</c:v>
                </c:pt>
                <c:pt idx="5">
                  <c:v>-1.0864719244224209E-2</c:v>
                </c:pt>
                <c:pt idx="6">
                  <c:v>-7.1223898705239704E-3</c:v>
                </c:pt>
                <c:pt idx="7">
                  <c:v>-5.5293577268482686E-3</c:v>
                </c:pt>
                <c:pt idx="8">
                  <c:v>4.5060102114500575E-3</c:v>
                </c:pt>
                <c:pt idx="9">
                  <c:v>1.2669736507134398E-2</c:v>
                </c:pt>
                <c:pt idx="10">
                  <c:v>2.1005980075116344E-2</c:v>
                </c:pt>
                <c:pt idx="11">
                  <c:v>2.1724887067104522E-2</c:v>
                </c:pt>
                <c:pt idx="12">
                  <c:v>2.3226663665969146E-2</c:v>
                </c:pt>
                <c:pt idx="13">
                  <c:v>2.3800447818613551E-2</c:v>
                </c:pt>
                <c:pt idx="14">
                  <c:v>2.7815307256363258E-2</c:v>
                </c:pt>
                <c:pt idx="15">
                  <c:v>3.3919461154953312E-2</c:v>
                </c:pt>
                <c:pt idx="16">
                  <c:v>3.5654916464029976E-2</c:v>
                </c:pt>
                <c:pt idx="17">
                  <c:v>3.8416997555897135E-2</c:v>
                </c:pt>
                <c:pt idx="18">
                  <c:v>4.5337987265540447E-2</c:v>
                </c:pt>
                <c:pt idx="19">
                  <c:v>4.5785368210291291E-2</c:v>
                </c:pt>
                <c:pt idx="20">
                  <c:v>4.9629268689838663E-2</c:v>
                </c:pt>
                <c:pt idx="21">
                  <c:v>6.4776531604285537E-2</c:v>
                </c:pt>
                <c:pt idx="22">
                  <c:v>6.9363641359403108E-2</c:v>
                </c:pt>
                <c:pt idx="23">
                  <c:v>7.0135280780080397E-2</c:v>
                </c:pt>
                <c:pt idx="24">
                  <c:v>7.761910325889515E-2</c:v>
                </c:pt>
                <c:pt idx="25">
                  <c:v>0.10177546666644205</c:v>
                </c:pt>
                <c:pt idx="26">
                  <c:v>0.15419951599966703</c:v>
                </c:pt>
                <c:pt idx="27">
                  <c:v>0.16848355041686777</c:v>
                </c:pt>
                <c:pt idx="28">
                  <c:v>0.1764720689604998</c:v>
                </c:pt>
                <c:pt idx="29">
                  <c:v>0.17797894739820444</c:v>
                </c:pt>
                <c:pt idx="30">
                  <c:v>0.34926794069884703</c:v>
                </c:pt>
                <c:pt idx="31">
                  <c:v>0.37772768805342033</c:v>
                </c:pt>
              </c:numCache>
            </c:numRef>
          </c:val>
          <c:extLst>
            <c:ext xmlns:c16="http://schemas.microsoft.com/office/drawing/2014/chart" uri="{C3380CC4-5D6E-409C-BE32-E72D297353CC}">
              <c16:uniqueId val="{00000020-AA86-4202-A56E-1601433B16BC}"/>
            </c:ext>
          </c:extLst>
        </c:ser>
        <c:dLbls>
          <c:showLegendKey val="0"/>
          <c:showVal val="0"/>
          <c:showCatName val="0"/>
          <c:showSerName val="0"/>
          <c:showPercent val="0"/>
          <c:showBubbleSize val="0"/>
        </c:dLbls>
        <c:gapWidth val="46"/>
        <c:overlap val="100"/>
        <c:axId val="101487360"/>
        <c:axId val="101488896"/>
      </c:barChart>
      <c:catAx>
        <c:axId val="101487360"/>
        <c:scaling>
          <c:orientation val="minMax"/>
        </c:scaling>
        <c:delete val="0"/>
        <c:axPos val="l"/>
        <c:numFmt formatCode="General" sourceLinked="1"/>
        <c:majorTickMark val="none"/>
        <c:minorTickMark val="none"/>
        <c:tickLblPos val="low"/>
        <c:spPr>
          <a:ln w="19050">
            <a:solidFill>
              <a:srgbClr val="B72F05"/>
            </a:solidFill>
          </a:ln>
        </c:spPr>
        <c:crossAx val="101488896"/>
        <c:crosses val="autoZero"/>
        <c:auto val="0"/>
        <c:lblAlgn val="ctr"/>
        <c:lblOffset val="100"/>
        <c:noMultiLvlLbl val="0"/>
      </c:catAx>
      <c:valAx>
        <c:axId val="101488896"/>
        <c:scaling>
          <c:orientation val="minMax"/>
          <c:min val="-0.2"/>
        </c:scaling>
        <c:delete val="0"/>
        <c:axPos val="b"/>
        <c:numFmt formatCode="#,##0.0" sourceLinked="0"/>
        <c:majorTickMark val="none"/>
        <c:minorTickMark val="none"/>
        <c:tickLblPos val="nextTo"/>
        <c:crossAx val="101487360"/>
        <c:crosses val="autoZero"/>
        <c:crossBetween val="between"/>
      </c:valAx>
      <c:spPr>
        <a:noFill/>
        <a:ln w="25400">
          <a:noFill/>
        </a:ln>
        <a:effectLst/>
      </c:spPr>
    </c:plotArea>
    <c:plotVisOnly val="1"/>
    <c:dispBlanksAs val="gap"/>
    <c:showDLblsOverMax val="0"/>
  </c:chart>
  <c:spPr>
    <a:ln>
      <a:noFill/>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0.42865909090909093"/>
          <c:y val="1.8990552381288731E-2"/>
          <c:w val="0.56894286616161627"/>
          <c:h val="0.95337501310884798"/>
        </c:manualLayout>
      </c:layout>
      <c:barChart>
        <c:barDir val="bar"/>
        <c:grouping val="clustered"/>
        <c:varyColors val="0"/>
        <c:ser>
          <c:idx val="0"/>
          <c:order val="0"/>
          <c:spPr>
            <a:solidFill>
              <a:srgbClr val="08989C"/>
            </a:solidFill>
            <a:effectLst/>
            <a:scene3d>
              <a:camera prst="orthographicFront"/>
              <a:lightRig rig="threePt" dir="t">
                <a:rot lat="0" lon="0" rev="1200000"/>
              </a:lightRig>
            </a:scene3d>
            <a:sp3d/>
          </c:spPr>
          <c:invertIfNegative val="0"/>
          <c:dPt>
            <c:idx val="0"/>
            <c:invertIfNegative val="0"/>
            <c:bubble3D val="0"/>
            <c:extLst>
              <c:ext xmlns:c16="http://schemas.microsoft.com/office/drawing/2014/chart" uri="{C3380CC4-5D6E-409C-BE32-E72D297353CC}">
                <c16:uniqueId val="{00000000-42AE-4A37-B2F7-0C0DBD00C947}"/>
              </c:ext>
            </c:extLst>
          </c:dPt>
          <c:dPt>
            <c:idx val="1"/>
            <c:invertIfNegative val="0"/>
            <c:bubble3D val="0"/>
            <c:extLst>
              <c:ext xmlns:c16="http://schemas.microsoft.com/office/drawing/2014/chart" uri="{C3380CC4-5D6E-409C-BE32-E72D297353CC}">
                <c16:uniqueId val="{00000001-42AE-4A37-B2F7-0C0DBD00C947}"/>
              </c:ext>
            </c:extLst>
          </c:dPt>
          <c:dPt>
            <c:idx val="2"/>
            <c:invertIfNegative val="0"/>
            <c:bubble3D val="0"/>
            <c:extLst>
              <c:ext xmlns:c16="http://schemas.microsoft.com/office/drawing/2014/chart" uri="{C3380CC4-5D6E-409C-BE32-E72D297353CC}">
                <c16:uniqueId val="{00000002-42AE-4A37-B2F7-0C0DBD00C947}"/>
              </c:ext>
            </c:extLst>
          </c:dPt>
          <c:dPt>
            <c:idx val="3"/>
            <c:invertIfNegative val="0"/>
            <c:bubble3D val="0"/>
            <c:extLst>
              <c:ext xmlns:c16="http://schemas.microsoft.com/office/drawing/2014/chart" uri="{C3380CC4-5D6E-409C-BE32-E72D297353CC}">
                <c16:uniqueId val="{00000003-42AE-4A37-B2F7-0C0DBD00C947}"/>
              </c:ext>
            </c:extLst>
          </c:dPt>
          <c:dPt>
            <c:idx val="4"/>
            <c:invertIfNegative val="0"/>
            <c:bubble3D val="0"/>
            <c:extLst>
              <c:ext xmlns:c16="http://schemas.microsoft.com/office/drawing/2014/chart" uri="{C3380CC4-5D6E-409C-BE32-E72D297353CC}">
                <c16:uniqueId val="{00000004-42AE-4A37-B2F7-0C0DBD00C947}"/>
              </c:ext>
            </c:extLst>
          </c:dPt>
          <c:dPt>
            <c:idx val="5"/>
            <c:invertIfNegative val="0"/>
            <c:bubble3D val="0"/>
            <c:extLst>
              <c:ext xmlns:c16="http://schemas.microsoft.com/office/drawing/2014/chart" uri="{C3380CC4-5D6E-409C-BE32-E72D297353CC}">
                <c16:uniqueId val="{00000005-42AE-4A37-B2F7-0C0DBD00C947}"/>
              </c:ext>
            </c:extLst>
          </c:dPt>
          <c:dPt>
            <c:idx val="6"/>
            <c:invertIfNegative val="0"/>
            <c:bubble3D val="0"/>
            <c:extLst>
              <c:ext xmlns:c16="http://schemas.microsoft.com/office/drawing/2014/chart" uri="{C3380CC4-5D6E-409C-BE32-E72D297353CC}">
                <c16:uniqueId val="{00000006-42AE-4A37-B2F7-0C0DBD00C947}"/>
              </c:ext>
            </c:extLst>
          </c:dPt>
          <c:dPt>
            <c:idx val="7"/>
            <c:invertIfNegative val="0"/>
            <c:bubble3D val="0"/>
            <c:extLst>
              <c:ext xmlns:c16="http://schemas.microsoft.com/office/drawing/2014/chart" uri="{C3380CC4-5D6E-409C-BE32-E72D297353CC}">
                <c16:uniqueId val="{00000007-42AE-4A37-B2F7-0C0DBD00C947}"/>
              </c:ext>
            </c:extLst>
          </c:dPt>
          <c:dPt>
            <c:idx val="8"/>
            <c:invertIfNegative val="0"/>
            <c:bubble3D val="0"/>
            <c:extLst>
              <c:ext xmlns:c16="http://schemas.microsoft.com/office/drawing/2014/chart" uri="{C3380CC4-5D6E-409C-BE32-E72D297353CC}">
                <c16:uniqueId val="{00000008-42AE-4A37-B2F7-0C0DBD00C947}"/>
              </c:ext>
            </c:extLst>
          </c:dPt>
          <c:dPt>
            <c:idx val="9"/>
            <c:invertIfNegative val="0"/>
            <c:bubble3D val="0"/>
            <c:extLst>
              <c:ext xmlns:c16="http://schemas.microsoft.com/office/drawing/2014/chart" uri="{C3380CC4-5D6E-409C-BE32-E72D297353CC}">
                <c16:uniqueId val="{00000009-42AE-4A37-B2F7-0C0DBD00C947}"/>
              </c:ext>
            </c:extLst>
          </c:dPt>
          <c:dPt>
            <c:idx val="10"/>
            <c:invertIfNegative val="0"/>
            <c:bubble3D val="0"/>
            <c:extLst>
              <c:ext xmlns:c16="http://schemas.microsoft.com/office/drawing/2014/chart" uri="{C3380CC4-5D6E-409C-BE32-E72D297353CC}">
                <c16:uniqueId val="{0000000A-42AE-4A37-B2F7-0C0DBD00C947}"/>
              </c:ext>
            </c:extLst>
          </c:dPt>
          <c:dPt>
            <c:idx val="11"/>
            <c:invertIfNegative val="0"/>
            <c:bubble3D val="0"/>
            <c:extLst>
              <c:ext xmlns:c16="http://schemas.microsoft.com/office/drawing/2014/chart" uri="{C3380CC4-5D6E-409C-BE32-E72D297353CC}">
                <c16:uniqueId val="{0000000B-42AE-4A37-B2F7-0C0DBD00C947}"/>
              </c:ext>
            </c:extLst>
          </c:dPt>
          <c:dPt>
            <c:idx val="12"/>
            <c:invertIfNegative val="0"/>
            <c:bubble3D val="0"/>
            <c:extLst>
              <c:ext xmlns:c16="http://schemas.microsoft.com/office/drawing/2014/chart" uri="{C3380CC4-5D6E-409C-BE32-E72D297353CC}">
                <c16:uniqueId val="{0000000C-42AE-4A37-B2F7-0C0DBD00C947}"/>
              </c:ext>
            </c:extLst>
          </c:dPt>
          <c:dPt>
            <c:idx val="13"/>
            <c:invertIfNegative val="0"/>
            <c:bubble3D val="0"/>
            <c:extLst>
              <c:ext xmlns:c16="http://schemas.microsoft.com/office/drawing/2014/chart" uri="{C3380CC4-5D6E-409C-BE32-E72D297353CC}">
                <c16:uniqueId val="{0000000D-42AE-4A37-B2F7-0C0DBD00C947}"/>
              </c:ext>
            </c:extLst>
          </c:dPt>
          <c:dPt>
            <c:idx val="14"/>
            <c:invertIfNegative val="0"/>
            <c:bubble3D val="0"/>
            <c:extLst>
              <c:ext xmlns:c16="http://schemas.microsoft.com/office/drawing/2014/chart" uri="{C3380CC4-5D6E-409C-BE32-E72D297353CC}">
                <c16:uniqueId val="{0000000E-42AE-4A37-B2F7-0C0DBD00C947}"/>
              </c:ext>
            </c:extLst>
          </c:dPt>
          <c:dPt>
            <c:idx val="15"/>
            <c:invertIfNegative val="0"/>
            <c:bubble3D val="0"/>
            <c:extLst>
              <c:ext xmlns:c16="http://schemas.microsoft.com/office/drawing/2014/chart" uri="{C3380CC4-5D6E-409C-BE32-E72D297353CC}">
                <c16:uniqueId val="{0000000F-42AE-4A37-B2F7-0C0DBD00C947}"/>
              </c:ext>
            </c:extLst>
          </c:dPt>
          <c:dPt>
            <c:idx val="16"/>
            <c:invertIfNegative val="0"/>
            <c:bubble3D val="0"/>
            <c:extLst>
              <c:ext xmlns:c16="http://schemas.microsoft.com/office/drawing/2014/chart" uri="{C3380CC4-5D6E-409C-BE32-E72D297353CC}">
                <c16:uniqueId val="{00000010-42AE-4A37-B2F7-0C0DBD00C947}"/>
              </c:ext>
            </c:extLst>
          </c:dPt>
          <c:dPt>
            <c:idx val="17"/>
            <c:invertIfNegative val="0"/>
            <c:bubble3D val="0"/>
            <c:extLst>
              <c:ext xmlns:c16="http://schemas.microsoft.com/office/drawing/2014/chart" uri="{C3380CC4-5D6E-409C-BE32-E72D297353CC}">
                <c16:uniqueId val="{00000011-42AE-4A37-B2F7-0C0DBD00C947}"/>
              </c:ext>
            </c:extLst>
          </c:dPt>
          <c:dPt>
            <c:idx val="18"/>
            <c:invertIfNegative val="0"/>
            <c:bubble3D val="0"/>
            <c:extLst>
              <c:ext xmlns:c16="http://schemas.microsoft.com/office/drawing/2014/chart" uri="{C3380CC4-5D6E-409C-BE32-E72D297353CC}">
                <c16:uniqueId val="{00000012-42AE-4A37-B2F7-0C0DBD00C947}"/>
              </c:ext>
            </c:extLst>
          </c:dPt>
          <c:dPt>
            <c:idx val="19"/>
            <c:invertIfNegative val="0"/>
            <c:bubble3D val="0"/>
            <c:extLst>
              <c:ext xmlns:c16="http://schemas.microsoft.com/office/drawing/2014/chart" uri="{C3380CC4-5D6E-409C-BE32-E72D297353CC}">
                <c16:uniqueId val="{00000013-42AE-4A37-B2F7-0C0DBD00C947}"/>
              </c:ext>
            </c:extLst>
          </c:dPt>
          <c:dPt>
            <c:idx val="20"/>
            <c:invertIfNegative val="0"/>
            <c:bubble3D val="0"/>
            <c:extLst>
              <c:ext xmlns:c16="http://schemas.microsoft.com/office/drawing/2014/chart" uri="{C3380CC4-5D6E-409C-BE32-E72D297353CC}">
                <c16:uniqueId val="{00000014-42AE-4A37-B2F7-0C0DBD00C947}"/>
              </c:ext>
            </c:extLst>
          </c:dPt>
          <c:dPt>
            <c:idx val="21"/>
            <c:invertIfNegative val="0"/>
            <c:bubble3D val="0"/>
            <c:extLst>
              <c:ext xmlns:c16="http://schemas.microsoft.com/office/drawing/2014/chart" uri="{C3380CC4-5D6E-409C-BE32-E72D297353CC}">
                <c16:uniqueId val="{00000015-42AE-4A37-B2F7-0C0DBD00C947}"/>
              </c:ext>
            </c:extLst>
          </c:dPt>
          <c:dPt>
            <c:idx val="22"/>
            <c:invertIfNegative val="0"/>
            <c:bubble3D val="0"/>
            <c:extLst>
              <c:ext xmlns:c16="http://schemas.microsoft.com/office/drawing/2014/chart" uri="{C3380CC4-5D6E-409C-BE32-E72D297353CC}">
                <c16:uniqueId val="{00000016-42AE-4A37-B2F7-0C0DBD00C947}"/>
              </c:ext>
            </c:extLst>
          </c:dPt>
          <c:dPt>
            <c:idx val="23"/>
            <c:invertIfNegative val="0"/>
            <c:bubble3D val="0"/>
            <c:extLst>
              <c:ext xmlns:c16="http://schemas.microsoft.com/office/drawing/2014/chart" uri="{C3380CC4-5D6E-409C-BE32-E72D297353CC}">
                <c16:uniqueId val="{00000017-42AE-4A37-B2F7-0C0DBD00C947}"/>
              </c:ext>
            </c:extLst>
          </c:dPt>
          <c:dPt>
            <c:idx val="24"/>
            <c:invertIfNegative val="0"/>
            <c:bubble3D val="0"/>
            <c:extLst>
              <c:ext xmlns:c16="http://schemas.microsoft.com/office/drawing/2014/chart" uri="{C3380CC4-5D6E-409C-BE32-E72D297353CC}">
                <c16:uniqueId val="{00000018-42AE-4A37-B2F7-0C0DBD00C947}"/>
              </c:ext>
            </c:extLst>
          </c:dPt>
          <c:dPt>
            <c:idx val="25"/>
            <c:invertIfNegative val="0"/>
            <c:bubble3D val="0"/>
            <c:extLst>
              <c:ext xmlns:c16="http://schemas.microsoft.com/office/drawing/2014/chart" uri="{C3380CC4-5D6E-409C-BE32-E72D297353CC}">
                <c16:uniqueId val="{00000019-42AE-4A37-B2F7-0C0DBD00C947}"/>
              </c:ext>
            </c:extLst>
          </c:dPt>
          <c:dPt>
            <c:idx val="26"/>
            <c:invertIfNegative val="0"/>
            <c:bubble3D val="0"/>
            <c:extLst>
              <c:ext xmlns:c16="http://schemas.microsoft.com/office/drawing/2014/chart" uri="{C3380CC4-5D6E-409C-BE32-E72D297353CC}">
                <c16:uniqueId val="{0000001A-42AE-4A37-B2F7-0C0DBD00C947}"/>
              </c:ext>
            </c:extLst>
          </c:dPt>
          <c:dPt>
            <c:idx val="27"/>
            <c:invertIfNegative val="0"/>
            <c:bubble3D val="0"/>
            <c:extLst>
              <c:ext xmlns:c16="http://schemas.microsoft.com/office/drawing/2014/chart" uri="{C3380CC4-5D6E-409C-BE32-E72D297353CC}">
                <c16:uniqueId val="{0000001B-42AE-4A37-B2F7-0C0DBD00C947}"/>
              </c:ext>
            </c:extLst>
          </c:dPt>
          <c:dPt>
            <c:idx val="28"/>
            <c:invertIfNegative val="0"/>
            <c:bubble3D val="0"/>
            <c:extLst>
              <c:ext xmlns:c16="http://schemas.microsoft.com/office/drawing/2014/chart" uri="{C3380CC4-5D6E-409C-BE32-E72D297353CC}">
                <c16:uniqueId val="{0000001C-42AE-4A37-B2F7-0C0DBD00C947}"/>
              </c:ext>
            </c:extLst>
          </c:dPt>
          <c:dPt>
            <c:idx val="29"/>
            <c:invertIfNegative val="0"/>
            <c:bubble3D val="0"/>
            <c:extLst>
              <c:ext xmlns:c16="http://schemas.microsoft.com/office/drawing/2014/chart" uri="{C3380CC4-5D6E-409C-BE32-E72D297353CC}">
                <c16:uniqueId val="{0000001D-42AE-4A37-B2F7-0C0DBD00C947}"/>
              </c:ext>
            </c:extLst>
          </c:dPt>
          <c:dPt>
            <c:idx val="30"/>
            <c:invertIfNegative val="0"/>
            <c:bubble3D val="0"/>
            <c:extLst>
              <c:ext xmlns:c16="http://schemas.microsoft.com/office/drawing/2014/chart" uri="{C3380CC4-5D6E-409C-BE32-E72D297353CC}">
                <c16:uniqueId val="{0000001E-42AE-4A37-B2F7-0C0DBD00C947}"/>
              </c:ext>
            </c:extLst>
          </c:dPt>
          <c:dPt>
            <c:idx val="31"/>
            <c:invertIfNegative val="0"/>
            <c:bubble3D val="0"/>
            <c:extLst>
              <c:ext xmlns:c16="http://schemas.microsoft.com/office/drawing/2014/chart" uri="{C3380CC4-5D6E-409C-BE32-E72D297353CC}">
                <c16:uniqueId val="{0000001F-42AE-4A37-B2F7-0C0DBD00C947}"/>
              </c:ext>
            </c:extLst>
          </c:dPt>
          <c:dPt>
            <c:idx val="32"/>
            <c:invertIfNegative val="0"/>
            <c:bubble3D val="0"/>
            <c:extLst>
              <c:ext xmlns:c16="http://schemas.microsoft.com/office/drawing/2014/chart" uri="{C3380CC4-5D6E-409C-BE32-E72D297353CC}">
                <c16:uniqueId val="{00000020-42AE-4A37-B2F7-0C0DBD00C947}"/>
              </c:ext>
            </c:extLst>
          </c:dPt>
          <c:dLbls>
            <c:spPr>
              <a:noFill/>
              <a:ln>
                <a:noFill/>
              </a:ln>
              <a:effectLst/>
            </c:spPr>
            <c:txPr>
              <a:bodyPr wrap="square" lIns="38100" tIns="19050" rIns="38100" bIns="19050" anchor="ctr">
                <a:spAutoFit/>
              </a:bodyPr>
              <a:lstStyle/>
              <a:p>
                <a:pPr>
                  <a:defRPr b="1"/>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'G9 sec SinP'!$B$5:$B$37</c:f>
              <c:strCache>
                <c:ptCount val="33"/>
                <c:pt idx="0">
                  <c:v>Quintana Roo</c:v>
                </c:pt>
                <c:pt idx="1">
                  <c:v>Morelos</c:v>
                </c:pt>
                <c:pt idx="2">
                  <c:v>Campeche</c:v>
                </c:pt>
                <c:pt idx="3">
                  <c:v>Baja California Sur</c:v>
                </c:pt>
                <c:pt idx="4">
                  <c:v>Puebla</c:v>
                </c:pt>
                <c:pt idx="5">
                  <c:v>Coahuila de Zaragoza</c:v>
                </c:pt>
                <c:pt idx="6">
                  <c:v>Durango</c:v>
                </c:pt>
                <c:pt idx="7">
                  <c:v>Aguascalientes</c:v>
                </c:pt>
                <c:pt idx="8">
                  <c:v>Baja California</c:v>
                </c:pt>
                <c:pt idx="9">
                  <c:v>Chihuahua</c:v>
                </c:pt>
                <c:pt idx="10">
                  <c:v>Guanajuato</c:v>
                </c:pt>
                <c:pt idx="11">
                  <c:v>San Luis Potosí</c:v>
                </c:pt>
                <c:pt idx="12">
                  <c:v>Zacatecas</c:v>
                </c:pt>
                <c:pt idx="13">
                  <c:v>Ciudad de México</c:v>
                </c:pt>
                <c:pt idx="14">
                  <c:v>Querétaro</c:v>
                </c:pt>
                <c:pt idx="15">
                  <c:v>Estados Unidos Mexicanos</c:v>
                </c:pt>
                <c:pt idx="16">
                  <c:v>Sonora</c:v>
                </c:pt>
                <c:pt idx="17">
                  <c:v>Tabasco</c:v>
                </c:pt>
                <c:pt idx="18">
                  <c:v>Tamaulipas</c:v>
                </c:pt>
                <c:pt idx="19">
                  <c:v>Jalisco</c:v>
                </c:pt>
                <c:pt idx="20">
                  <c:v>Chiapas</c:v>
                </c:pt>
                <c:pt idx="21">
                  <c:v>Nuevo León</c:v>
                </c:pt>
                <c:pt idx="22">
                  <c:v>Guerrero</c:v>
                </c:pt>
                <c:pt idx="23">
                  <c:v>Tlaxcala</c:v>
                </c:pt>
                <c:pt idx="24">
                  <c:v>Michoacán de Ocampo</c:v>
                </c:pt>
                <c:pt idx="25">
                  <c:v>Sinaloa</c:v>
                </c:pt>
                <c:pt idx="26">
                  <c:v>Veracruz de Ignacio de la Llave</c:v>
                </c:pt>
                <c:pt idx="27">
                  <c:v>Oaxaca</c:v>
                </c:pt>
                <c:pt idx="28">
                  <c:v>Nayarit</c:v>
                </c:pt>
                <c:pt idx="29">
                  <c:v>Yucatán</c:v>
                </c:pt>
                <c:pt idx="30">
                  <c:v>México</c:v>
                </c:pt>
                <c:pt idx="31">
                  <c:v>Colima</c:v>
                </c:pt>
                <c:pt idx="32">
                  <c:v>Hidalgo</c:v>
                </c:pt>
              </c:strCache>
            </c:strRef>
          </c:cat>
          <c:val>
            <c:numRef>
              <c:f>'G9 sec SinP'!$G$5:$G$37</c:f>
              <c:numCache>
                <c:formatCode>0.0;\-0.0;;\ @</c:formatCode>
                <c:ptCount val="33"/>
                <c:pt idx="0">
                  <c:v>0</c:v>
                </c:pt>
                <c:pt idx="1">
                  <c:v>0</c:v>
                </c:pt>
                <c:pt idx="2">
                  <c:v>0</c:v>
                </c:pt>
                <c:pt idx="3">
                  <c:v>0</c:v>
                </c:pt>
                <c:pt idx="4">
                  <c:v>0</c:v>
                </c:pt>
                <c:pt idx="5">
                  <c:v>0</c:v>
                </c:pt>
                <c:pt idx="6">
                  <c:v>0</c:v>
                </c:pt>
                <c:pt idx="7">
                  <c:v>0</c:v>
                </c:pt>
                <c:pt idx="8">
                  <c:v>0</c:v>
                </c:pt>
                <c:pt idx="9">
                  <c:v>0</c:v>
                </c:pt>
                <c:pt idx="10">
                  <c:v>0</c:v>
                </c:pt>
                <c:pt idx="11">
                  <c:v>0.16643343747864492</c:v>
                </c:pt>
                <c:pt idx="12">
                  <c:v>0.35999215702935317</c:v>
                </c:pt>
                <c:pt idx="13">
                  <c:v>0.49102868299233648</c:v>
                </c:pt>
                <c:pt idx="14">
                  <c:v>0.51404446909231183</c:v>
                </c:pt>
                <c:pt idx="15">
                  <c:v>0</c:v>
                </c:pt>
                <c:pt idx="16">
                  <c:v>0.87278589894353331</c:v>
                </c:pt>
                <c:pt idx="17">
                  <c:v>1.2267762423084889</c:v>
                </c:pt>
                <c:pt idx="18">
                  <c:v>1.2922301479233482</c:v>
                </c:pt>
                <c:pt idx="19">
                  <c:v>1.4039959905298645</c:v>
                </c:pt>
                <c:pt idx="20">
                  <c:v>1.5581372950842649</c:v>
                </c:pt>
                <c:pt idx="21">
                  <c:v>2.1385453284861171</c:v>
                </c:pt>
                <c:pt idx="22">
                  <c:v>2.3719013482500912</c:v>
                </c:pt>
                <c:pt idx="23">
                  <c:v>3.0348266902058043</c:v>
                </c:pt>
                <c:pt idx="24">
                  <c:v>3.409923256889698</c:v>
                </c:pt>
                <c:pt idx="25">
                  <c:v>4.09202095443122</c:v>
                </c:pt>
                <c:pt idx="26">
                  <c:v>4.953649398801403</c:v>
                </c:pt>
                <c:pt idx="27">
                  <c:v>5.7035356499109326</c:v>
                </c:pt>
                <c:pt idx="28">
                  <c:v>7.0167802214216692</c:v>
                </c:pt>
                <c:pt idx="29">
                  <c:v>7.8356722770799792</c:v>
                </c:pt>
                <c:pt idx="30">
                  <c:v>8.1527061660410709</c:v>
                </c:pt>
                <c:pt idx="31">
                  <c:v>10.654030368748749</c:v>
                </c:pt>
                <c:pt idx="32">
                  <c:v>19.072642709661466</c:v>
                </c:pt>
              </c:numCache>
            </c:numRef>
          </c:val>
          <c:extLst>
            <c:ext xmlns:c16="http://schemas.microsoft.com/office/drawing/2014/chart" uri="{C3380CC4-5D6E-409C-BE32-E72D297353CC}">
              <c16:uniqueId val="{00000021-42AE-4A37-B2F7-0C0DBD00C947}"/>
            </c:ext>
          </c:extLst>
        </c:ser>
        <c:ser>
          <c:idx val="2"/>
          <c:order val="1"/>
          <c:spPr>
            <a:solidFill>
              <a:srgbClr val="C0C0C0"/>
            </a:solidFill>
            <a:effectLst/>
            <a:scene3d>
              <a:camera prst="orthographicFront"/>
              <a:lightRig rig="threePt" dir="t">
                <a:rot lat="0" lon="0" rev="1200000"/>
              </a:lightRig>
            </a:scene3d>
            <a:sp3d/>
          </c:spPr>
          <c:invertIfNegative val="0"/>
          <c:dPt>
            <c:idx val="13"/>
            <c:invertIfNegative val="0"/>
            <c:bubble3D val="0"/>
            <c:extLst>
              <c:ext xmlns:c16="http://schemas.microsoft.com/office/drawing/2014/chart" uri="{C3380CC4-5D6E-409C-BE32-E72D297353CC}">
                <c16:uniqueId val="{00000022-42AE-4A37-B2F7-0C0DBD00C947}"/>
              </c:ext>
            </c:extLst>
          </c:dPt>
          <c:dPt>
            <c:idx val="17"/>
            <c:invertIfNegative val="0"/>
            <c:bubble3D val="0"/>
            <c:extLst>
              <c:ext xmlns:c16="http://schemas.microsoft.com/office/drawing/2014/chart" uri="{C3380CC4-5D6E-409C-BE32-E72D297353CC}">
                <c16:uniqueId val="{00000023-42AE-4A37-B2F7-0C0DBD00C947}"/>
              </c:ext>
            </c:extLst>
          </c:dPt>
          <c:dLbls>
            <c:spPr>
              <a:noFill/>
              <a:ln>
                <a:noFill/>
              </a:ln>
              <a:effectLst/>
            </c:spPr>
            <c:txPr>
              <a:bodyPr/>
              <a:lstStyle/>
              <a:p>
                <a:pPr>
                  <a:defRPr b="1"/>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'G9 sec SinP'!$B$5:$B$37</c:f>
              <c:strCache>
                <c:ptCount val="33"/>
                <c:pt idx="0">
                  <c:v>Quintana Roo</c:v>
                </c:pt>
                <c:pt idx="1">
                  <c:v>Morelos</c:v>
                </c:pt>
                <c:pt idx="2">
                  <c:v>Campeche</c:v>
                </c:pt>
                <c:pt idx="3">
                  <c:v>Baja California Sur</c:v>
                </c:pt>
                <c:pt idx="4">
                  <c:v>Puebla</c:v>
                </c:pt>
                <c:pt idx="5">
                  <c:v>Coahuila de Zaragoza</c:v>
                </c:pt>
                <c:pt idx="6">
                  <c:v>Durango</c:v>
                </c:pt>
                <c:pt idx="7">
                  <c:v>Aguascalientes</c:v>
                </c:pt>
                <c:pt idx="8">
                  <c:v>Baja California</c:v>
                </c:pt>
                <c:pt idx="9">
                  <c:v>Chihuahua</c:v>
                </c:pt>
                <c:pt idx="10">
                  <c:v>Guanajuato</c:v>
                </c:pt>
                <c:pt idx="11">
                  <c:v>San Luis Potosí</c:v>
                </c:pt>
                <c:pt idx="12">
                  <c:v>Zacatecas</c:v>
                </c:pt>
                <c:pt idx="13">
                  <c:v>Ciudad de México</c:v>
                </c:pt>
                <c:pt idx="14">
                  <c:v>Querétaro</c:v>
                </c:pt>
                <c:pt idx="15">
                  <c:v>Estados Unidos Mexicanos</c:v>
                </c:pt>
                <c:pt idx="16">
                  <c:v>Sonora</c:v>
                </c:pt>
                <c:pt idx="17">
                  <c:v>Tabasco</c:v>
                </c:pt>
                <c:pt idx="18">
                  <c:v>Tamaulipas</c:v>
                </c:pt>
                <c:pt idx="19">
                  <c:v>Jalisco</c:v>
                </c:pt>
                <c:pt idx="20">
                  <c:v>Chiapas</c:v>
                </c:pt>
                <c:pt idx="21">
                  <c:v>Nuevo León</c:v>
                </c:pt>
                <c:pt idx="22">
                  <c:v>Guerrero</c:v>
                </c:pt>
                <c:pt idx="23">
                  <c:v>Tlaxcala</c:v>
                </c:pt>
                <c:pt idx="24">
                  <c:v>Michoacán de Ocampo</c:v>
                </c:pt>
                <c:pt idx="25">
                  <c:v>Sinaloa</c:v>
                </c:pt>
                <c:pt idx="26">
                  <c:v>Veracruz de Ignacio de la Llave</c:v>
                </c:pt>
                <c:pt idx="27">
                  <c:v>Oaxaca</c:v>
                </c:pt>
                <c:pt idx="28">
                  <c:v>Nayarit</c:v>
                </c:pt>
                <c:pt idx="29">
                  <c:v>Yucatán</c:v>
                </c:pt>
                <c:pt idx="30">
                  <c:v>México</c:v>
                </c:pt>
                <c:pt idx="31">
                  <c:v>Colima</c:v>
                </c:pt>
                <c:pt idx="32">
                  <c:v>Hidalgo</c:v>
                </c:pt>
              </c:strCache>
            </c:strRef>
          </c:cat>
          <c:val>
            <c:numRef>
              <c:f>'G9 sec SinP'!$D$5:$D$37</c:f>
              <c:numCache>
                <c:formatCode>0.0;\-0.0;;\ @</c:formatCode>
                <c:ptCount val="3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0.70225419287876889</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4-42AE-4A37-B2F7-0C0DBD00C947}"/>
            </c:ext>
          </c:extLst>
        </c:ser>
        <c:ser>
          <c:idx val="1"/>
          <c:order val="2"/>
          <c:spPr>
            <a:solidFill>
              <a:srgbClr val="08989C"/>
            </a:solidFill>
            <a:effectLst/>
            <a:scene3d>
              <a:camera prst="orthographicFront"/>
              <a:lightRig rig="threePt" dir="t">
                <a:rot lat="0" lon="0" rev="1200000"/>
              </a:lightRig>
            </a:scene3d>
            <a:sp3d/>
          </c:spPr>
          <c:invertIfNegative val="0"/>
          <c:dLbls>
            <c:dLbl>
              <c:idx val="0"/>
              <c:spPr>
                <a:noFill/>
                <a:ln>
                  <a:noFill/>
                </a:ln>
                <a:effectLst/>
              </c:spPr>
              <c:txPr>
                <a:bodyPr wrap="square" lIns="38100" tIns="19050" rIns="38100" bIns="19050" anchor="ctr">
                  <a:spAutoFit/>
                </a:bodyPr>
                <a:lstStyle/>
                <a:p>
                  <a:pPr>
                    <a:defRPr b="1">
                      <a:solidFill>
                        <a:srgbClr val="4D565E"/>
                      </a:solidFill>
                    </a:defRPr>
                  </a:pPr>
                  <a:endParaRPr lang="es-MX"/>
                </a:p>
              </c:txPr>
              <c:dLblPos val="outEnd"/>
              <c:showLegendKey val="0"/>
              <c:showVal val="1"/>
              <c:showCatName val="0"/>
              <c:showSerName val="0"/>
              <c:showPercent val="0"/>
              <c:showBubbleSize val="0"/>
              <c:extLst>
                <c:ext xmlns:c16="http://schemas.microsoft.com/office/drawing/2014/chart" uri="{C3380CC4-5D6E-409C-BE32-E72D297353CC}">
                  <c16:uniqueId val="{00000025-42AE-4A37-B2F7-0C0DBD00C947}"/>
                </c:ext>
              </c:extLst>
            </c:dLbl>
            <c:dLbl>
              <c:idx val="1"/>
              <c:spPr>
                <a:noFill/>
                <a:ln>
                  <a:noFill/>
                </a:ln>
                <a:effectLst/>
              </c:spPr>
              <c:txPr>
                <a:bodyPr wrap="square" lIns="38100" tIns="19050" rIns="38100" bIns="19050" anchor="ctr">
                  <a:spAutoFit/>
                </a:bodyPr>
                <a:lstStyle/>
                <a:p>
                  <a:pPr>
                    <a:defRPr b="1">
                      <a:solidFill>
                        <a:srgbClr val="4D565E"/>
                      </a:solidFill>
                    </a:defRPr>
                  </a:pPr>
                  <a:endParaRPr lang="es-MX"/>
                </a:p>
              </c:txPr>
              <c:dLblPos val="outEnd"/>
              <c:showLegendKey val="0"/>
              <c:showVal val="1"/>
              <c:showCatName val="0"/>
              <c:showSerName val="0"/>
              <c:showPercent val="0"/>
              <c:showBubbleSize val="0"/>
              <c:extLst>
                <c:ext xmlns:c16="http://schemas.microsoft.com/office/drawing/2014/chart" uri="{C3380CC4-5D6E-409C-BE32-E72D297353CC}">
                  <c16:uniqueId val="{00000026-42AE-4A37-B2F7-0C0DBD00C947}"/>
                </c:ext>
              </c:extLst>
            </c:dLbl>
            <c:dLbl>
              <c:idx val="2"/>
              <c:spPr>
                <a:noFill/>
                <a:ln>
                  <a:noFill/>
                </a:ln>
                <a:effectLst/>
              </c:spPr>
              <c:txPr>
                <a:bodyPr wrap="square" lIns="38100" tIns="19050" rIns="38100" bIns="19050" anchor="ctr">
                  <a:spAutoFit/>
                </a:bodyPr>
                <a:lstStyle/>
                <a:p>
                  <a:pPr>
                    <a:defRPr b="1">
                      <a:solidFill>
                        <a:srgbClr val="4D565E"/>
                      </a:solidFill>
                    </a:defRPr>
                  </a:pPr>
                  <a:endParaRPr lang="es-MX"/>
                </a:p>
              </c:txPr>
              <c:dLblPos val="outEnd"/>
              <c:showLegendKey val="0"/>
              <c:showVal val="1"/>
              <c:showCatName val="0"/>
              <c:showSerName val="0"/>
              <c:showPercent val="0"/>
              <c:showBubbleSize val="0"/>
              <c:extLst>
                <c:ext xmlns:c16="http://schemas.microsoft.com/office/drawing/2014/chart" uri="{C3380CC4-5D6E-409C-BE32-E72D297353CC}">
                  <c16:uniqueId val="{00000027-42AE-4A37-B2F7-0C0DBD00C947}"/>
                </c:ext>
              </c:extLst>
            </c:dLbl>
            <c:spPr>
              <a:noFill/>
              <a:ln>
                <a:noFill/>
              </a:ln>
              <a:effectLst/>
            </c:spPr>
            <c:txPr>
              <a:bodyPr wrap="square" lIns="38100" tIns="19050" rIns="38100" bIns="19050" anchor="ctr">
                <a:spAutoFit/>
              </a:bodyPr>
              <a:lstStyle/>
              <a:p>
                <a:pPr>
                  <a:defRPr b="1"/>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'G9 sec SinP'!$B$5:$B$37</c:f>
              <c:strCache>
                <c:ptCount val="33"/>
                <c:pt idx="0">
                  <c:v>Quintana Roo</c:v>
                </c:pt>
                <c:pt idx="1">
                  <c:v>Morelos</c:v>
                </c:pt>
                <c:pt idx="2">
                  <c:v>Campeche</c:v>
                </c:pt>
                <c:pt idx="3">
                  <c:v>Baja California Sur</c:v>
                </c:pt>
                <c:pt idx="4">
                  <c:v>Puebla</c:v>
                </c:pt>
                <c:pt idx="5">
                  <c:v>Coahuila de Zaragoza</c:v>
                </c:pt>
                <c:pt idx="6">
                  <c:v>Durango</c:v>
                </c:pt>
                <c:pt idx="7">
                  <c:v>Aguascalientes</c:v>
                </c:pt>
                <c:pt idx="8">
                  <c:v>Baja California</c:v>
                </c:pt>
                <c:pt idx="9">
                  <c:v>Chihuahua</c:v>
                </c:pt>
                <c:pt idx="10">
                  <c:v>Guanajuato</c:v>
                </c:pt>
                <c:pt idx="11">
                  <c:v>San Luis Potosí</c:v>
                </c:pt>
                <c:pt idx="12">
                  <c:v>Zacatecas</c:v>
                </c:pt>
                <c:pt idx="13">
                  <c:v>Ciudad de México</c:v>
                </c:pt>
                <c:pt idx="14">
                  <c:v>Querétaro</c:v>
                </c:pt>
                <c:pt idx="15">
                  <c:v>Estados Unidos Mexicanos</c:v>
                </c:pt>
                <c:pt idx="16">
                  <c:v>Sonora</c:v>
                </c:pt>
                <c:pt idx="17">
                  <c:v>Tabasco</c:v>
                </c:pt>
                <c:pt idx="18">
                  <c:v>Tamaulipas</c:v>
                </c:pt>
                <c:pt idx="19">
                  <c:v>Jalisco</c:v>
                </c:pt>
                <c:pt idx="20">
                  <c:v>Chiapas</c:v>
                </c:pt>
                <c:pt idx="21">
                  <c:v>Nuevo León</c:v>
                </c:pt>
                <c:pt idx="22">
                  <c:v>Guerrero</c:v>
                </c:pt>
                <c:pt idx="23">
                  <c:v>Tlaxcala</c:v>
                </c:pt>
                <c:pt idx="24">
                  <c:v>Michoacán de Ocampo</c:v>
                </c:pt>
                <c:pt idx="25">
                  <c:v>Sinaloa</c:v>
                </c:pt>
                <c:pt idx="26">
                  <c:v>Veracruz de Ignacio de la Llave</c:v>
                </c:pt>
                <c:pt idx="27">
                  <c:v>Oaxaca</c:v>
                </c:pt>
                <c:pt idx="28">
                  <c:v>Nayarit</c:v>
                </c:pt>
                <c:pt idx="29">
                  <c:v>Yucatán</c:v>
                </c:pt>
                <c:pt idx="30">
                  <c:v>México</c:v>
                </c:pt>
                <c:pt idx="31">
                  <c:v>Colima</c:v>
                </c:pt>
                <c:pt idx="32">
                  <c:v>Hidalgo</c:v>
                </c:pt>
              </c:strCache>
            </c:strRef>
          </c:cat>
          <c:val>
            <c:numRef>
              <c:f>'G9 sec SinP'!$F$5:$F$37</c:f>
              <c:numCache>
                <c:formatCode>0.0;\-0.0;;\ @</c:formatCode>
                <c:ptCount val="33"/>
                <c:pt idx="0">
                  <c:v>-20.62383579825493</c:v>
                </c:pt>
                <c:pt idx="1">
                  <c:v>-19.785163227876595</c:v>
                </c:pt>
                <c:pt idx="2">
                  <c:v>-12.626892183672823</c:v>
                </c:pt>
                <c:pt idx="3">
                  <c:v>-9.2792473774783844</c:v>
                </c:pt>
                <c:pt idx="4">
                  <c:v>-6.2561542485838686</c:v>
                </c:pt>
                <c:pt idx="5">
                  <c:v>-4.957802473838214</c:v>
                </c:pt>
                <c:pt idx="6">
                  <c:v>-4.4348642946159202</c:v>
                </c:pt>
                <c:pt idx="7">
                  <c:v>-4.4256543096581709</c:v>
                </c:pt>
                <c:pt idx="8">
                  <c:v>-2.8341561270445226</c:v>
                </c:pt>
                <c:pt idx="9">
                  <c:v>-2.6627643020843692</c:v>
                </c:pt>
                <c:pt idx="10">
                  <c:v>-0.46279883307049374</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numCache>
            </c:numRef>
          </c:val>
          <c:extLst>
            <c:ext xmlns:c16="http://schemas.microsoft.com/office/drawing/2014/chart" uri="{C3380CC4-5D6E-409C-BE32-E72D297353CC}">
              <c16:uniqueId val="{00000028-42AE-4A37-B2F7-0C0DBD00C947}"/>
            </c:ext>
          </c:extLst>
        </c:ser>
        <c:dLbls>
          <c:showLegendKey val="0"/>
          <c:showVal val="0"/>
          <c:showCatName val="0"/>
          <c:showSerName val="0"/>
          <c:showPercent val="0"/>
          <c:showBubbleSize val="0"/>
        </c:dLbls>
        <c:gapWidth val="46"/>
        <c:overlap val="100"/>
        <c:axId val="101332096"/>
        <c:axId val="101333632"/>
      </c:barChart>
      <c:catAx>
        <c:axId val="101332096"/>
        <c:scaling>
          <c:orientation val="minMax"/>
        </c:scaling>
        <c:delete val="0"/>
        <c:axPos val="l"/>
        <c:numFmt formatCode="General" sourceLinked="1"/>
        <c:majorTickMark val="none"/>
        <c:minorTickMark val="none"/>
        <c:tickLblPos val="low"/>
        <c:spPr>
          <a:ln w="19050">
            <a:solidFill>
              <a:srgbClr val="B72F05"/>
            </a:solidFill>
          </a:ln>
        </c:spPr>
        <c:crossAx val="101333632"/>
        <c:crosses val="autoZero"/>
        <c:auto val="0"/>
        <c:lblAlgn val="ctr"/>
        <c:lblOffset val="100"/>
        <c:noMultiLvlLbl val="0"/>
      </c:catAx>
      <c:valAx>
        <c:axId val="101333632"/>
        <c:scaling>
          <c:orientation val="minMax"/>
          <c:min val="-40"/>
        </c:scaling>
        <c:delete val="0"/>
        <c:axPos val="b"/>
        <c:numFmt formatCode="#,##0" sourceLinked="0"/>
        <c:majorTickMark val="none"/>
        <c:minorTickMark val="none"/>
        <c:tickLblPos val="nextTo"/>
        <c:crossAx val="101332096"/>
        <c:crosses val="autoZero"/>
        <c:crossBetween val="between"/>
      </c:valAx>
      <c:spPr>
        <a:noFill/>
        <a:ln w="25400">
          <a:noFill/>
        </a:ln>
        <a:effectLst/>
      </c:spPr>
    </c:plotArea>
    <c:plotVisOnly val="0"/>
    <c:dispBlanksAs val="gap"/>
    <c:showDLblsOverMax val="0"/>
  </c:chart>
  <c:spPr>
    <a:ln>
      <a:noFill/>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0.49522124183006538"/>
          <c:y val="1.6405877414391444E-2"/>
          <c:w val="0.55639836601307191"/>
          <c:h val="0.95337501310884798"/>
        </c:manualLayout>
      </c:layout>
      <c:barChart>
        <c:barDir val="bar"/>
        <c:grouping val="clustered"/>
        <c:varyColors val="0"/>
        <c:ser>
          <c:idx val="0"/>
          <c:order val="0"/>
          <c:spPr>
            <a:solidFill>
              <a:srgbClr val="08989C"/>
            </a:solidFill>
            <a:effectLst/>
            <a:scene3d>
              <a:camera prst="orthographicFront"/>
              <a:lightRig rig="threePt" dir="t">
                <a:rot lat="0" lon="0" rev="1200000"/>
              </a:lightRig>
            </a:scene3d>
            <a:sp3d/>
          </c:spPr>
          <c:invertIfNegative val="0"/>
          <c:dPt>
            <c:idx val="0"/>
            <c:invertIfNegative val="0"/>
            <c:bubble3D val="0"/>
            <c:extLst>
              <c:ext xmlns:c16="http://schemas.microsoft.com/office/drawing/2014/chart" uri="{C3380CC4-5D6E-409C-BE32-E72D297353CC}">
                <c16:uniqueId val="{00000000-4824-49E4-A8DA-F742AC1D2B3A}"/>
              </c:ext>
            </c:extLst>
          </c:dPt>
          <c:dPt>
            <c:idx val="1"/>
            <c:invertIfNegative val="0"/>
            <c:bubble3D val="0"/>
            <c:extLst>
              <c:ext xmlns:c16="http://schemas.microsoft.com/office/drawing/2014/chart" uri="{C3380CC4-5D6E-409C-BE32-E72D297353CC}">
                <c16:uniqueId val="{00000001-4824-49E4-A8DA-F742AC1D2B3A}"/>
              </c:ext>
            </c:extLst>
          </c:dPt>
          <c:dPt>
            <c:idx val="2"/>
            <c:invertIfNegative val="0"/>
            <c:bubble3D val="0"/>
            <c:extLst>
              <c:ext xmlns:c16="http://schemas.microsoft.com/office/drawing/2014/chart" uri="{C3380CC4-5D6E-409C-BE32-E72D297353CC}">
                <c16:uniqueId val="{00000002-4824-49E4-A8DA-F742AC1D2B3A}"/>
              </c:ext>
            </c:extLst>
          </c:dPt>
          <c:dPt>
            <c:idx val="3"/>
            <c:invertIfNegative val="0"/>
            <c:bubble3D val="0"/>
            <c:extLst>
              <c:ext xmlns:c16="http://schemas.microsoft.com/office/drawing/2014/chart" uri="{C3380CC4-5D6E-409C-BE32-E72D297353CC}">
                <c16:uniqueId val="{00000003-4824-49E4-A8DA-F742AC1D2B3A}"/>
              </c:ext>
            </c:extLst>
          </c:dPt>
          <c:dPt>
            <c:idx val="4"/>
            <c:invertIfNegative val="0"/>
            <c:bubble3D val="0"/>
            <c:extLst>
              <c:ext xmlns:c16="http://schemas.microsoft.com/office/drawing/2014/chart" uri="{C3380CC4-5D6E-409C-BE32-E72D297353CC}">
                <c16:uniqueId val="{00000004-4824-49E4-A8DA-F742AC1D2B3A}"/>
              </c:ext>
            </c:extLst>
          </c:dPt>
          <c:dPt>
            <c:idx val="5"/>
            <c:invertIfNegative val="0"/>
            <c:bubble3D val="0"/>
            <c:extLst>
              <c:ext xmlns:c16="http://schemas.microsoft.com/office/drawing/2014/chart" uri="{C3380CC4-5D6E-409C-BE32-E72D297353CC}">
                <c16:uniqueId val="{00000005-4824-49E4-A8DA-F742AC1D2B3A}"/>
              </c:ext>
            </c:extLst>
          </c:dPt>
          <c:dPt>
            <c:idx val="6"/>
            <c:invertIfNegative val="0"/>
            <c:bubble3D val="0"/>
            <c:extLst>
              <c:ext xmlns:c16="http://schemas.microsoft.com/office/drawing/2014/chart" uri="{C3380CC4-5D6E-409C-BE32-E72D297353CC}">
                <c16:uniqueId val="{00000006-4824-49E4-A8DA-F742AC1D2B3A}"/>
              </c:ext>
            </c:extLst>
          </c:dPt>
          <c:dPt>
            <c:idx val="7"/>
            <c:invertIfNegative val="0"/>
            <c:bubble3D val="0"/>
            <c:extLst>
              <c:ext xmlns:c16="http://schemas.microsoft.com/office/drawing/2014/chart" uri="{C3380CC4-5D6E-409C-BE32-E72D297353CC}">
                <c16:uniqueId val="{00000007-4824-49E4-A8DA-F742AC1D2B3A}"/>
              </c:ext>
            </c:extLst>
          </c:dPt>
          <c:dPt>
            <c:idx val="8"/>
            <c:invertIfNegative val="0"/>
            <c:bubble3D val="0"/>
            <c:extLst>
              <c:ext xmlns:c16="http://schemas.microsoft.com/office/drawing/2014/chart" uri="{C3380CC4-5D6E-409C-BE32-E72D297353CC}">
                <c16:uniqueId val="{00000008-4824-49E4-A8DA-F742AC1D2B3A}"/>
              </c:ext>
            </c:extLst>
          </c:dPt>
          <c:dPt>
            <c:idx val="9"/>
            <c:invertIfNegative val="0"/>
            <c:bubble3D val="0"/>
            <c:extLst>
              <c:ext xmlns:c16="http://schemas.microsoft.com/office/drawing/2014/chart" uri="{C3380CC4-5D6E-409C-BE32-E72D297353CC}">
                <c16:uniqueId val="{00000009-4824-49E4-A8DA-F742AC1D2B3A}"/>
              </c:ext>
            </c:extLst>
          </c:dPt>
          <c:dPt>
            <c:idx val="10"/>
            <c:invertIfNegative val="0"/>
            <c:bubble3D val="0"/>
            <c:extLst>
              <c:ext xmlns:c16="http://schemas.microsoft.com/office/drawing/2014/chart" uri="{C3380CC4-5D6E-409C-BE32-E72D297353CC}">
                <c16:uniqueId val="{0000000A-4824-49E4-A8DA-F742AC1D2B3A}"/>
              </c:ext>
            </c:extLst>
          </c:dPt>
          <c:dPt>
            <c:idx val="11"/>
            <c:invertIfNegative val="0"/>
            <c:bubble3D val="0"/>
            <c:extLst>
              <c:ext xmlns:c16="http://schemas.microsoft.com/office/drawing/2014/chart" uri="{C3380CC4-5D6E-409C-BE32-E72D297353CC}">
                <c16:uniqueId val="{0000000B-4824-49E4-A8DA-F742AC1D2B3A}"/>
              </c:ext>
            </c:extLst>
          </c:dPt>
          <c:dPt>
            <c:idx val="12"/>
            <c:invertIfNegative val="0"/>
            <c:bubble3D val="0"/>
            <c:extLst>
              <c:ext xmlns:c16="http://schemas.microsoft.com/office/drawing/2014/chart" uri="{C3380CC4-5D6E-409C-BE32-E72D297353CC}">
                <c16:uniqueId val="{0000000C-4824-49E4-A8DA-F742AC1D2B3A}"/>
              </c:ext>
            </c:extLst>
          </c:dPt>
          <c:dPt>
            <c:idx val="13"/>
            <c:invertIfNegative val="0"/>
            <c:bubble3D val="0"/>
            <c:extLst>
              <c:ext xmlns:c16="http://schemas.microsoft.com/office/drawing/2014/chart" uri="{C3380CC4-5D6E-409C-BE32-E72D297353CC}">
                <c16:uniqueId val="{0000000D-4824-49E4-A8DA-F742AC1D2B3A}"/>
              </c:ext>
            </c:extLst>
          </c:dPt>
          <c:dPt>
            <c:idx val="14"/>
            <c:invertIfNegative val="0"/>
            <c:bubble3D val="0"/>
            <c:extLst>
              <c:ext xmlns:c16="http://schemas.microsoft.com/office/drawing/2014/chart" uri="{C3380CC4-5D6E-409C-BE32-E72D297353CC}">
                <c16:uniqueId val="{0000000E-4824-49E4-A8DA-F742AC1D2B3A}"/>
              </c:ext>
            </c:extLst>
          </c:dPt>
          <c:dPt>
            <c:idx val="15"/>
            <c:invertIfNegative val="0"/>
            <c:bubble3D val="0"/>
            <c:extLst>
              <c:ext xmlns:c16="http://schemas.microsoft.com/office/drawing/2014/chart" uri="{C3380CC4-5D6E-409C-BE32-E72D297353CC}">
                <c16:uniqueId val="{0000000F-4824-49E4-A8DA-F742AC1D2B3A}"/>
              </c:ext>
            </c:extLst>
          </c:dPt>
          <c:dPt>
            <c:idx val="16"/>
            <c:invertIfNegative val="0"/>
            <c:bubble3D val="0"/>
            <c:extLst>
              <c:ext xmlns:c16="http://schemas.microsoft.com/office/drawing/2014/chart" uri="{C3380CC4-5D6E-409C-BE32-E72D297353CC}">
                <c16:uniqueId val="{00000010-4824-49E4-A8DA-F742AC1D2B3A}"/>
              </c:ext>
            </c:extLst>
          </c:dPt>
          <c:dPt>
            <c:idx val="17"/>
            <c:invertIfNegative val="0"/>
            <c:bubble3D val="0"/>
            <c:extLst>
              <c:ext xmlns:c16="http://schemas.microsoft.com/office/drawing/2014/chart" uri="{C3380CC4-5D6E-409C-BE32-E72D297353CC}">
                <c16:uniqueId val="{00000011-4824-49E4-A8DA-F742AC1D2B3A}"/>
              </c:ext>
            </c:extLst>
          </c:dPt>
          <c:dPt>
            <c:idx val="18"/>
            <c:invertIfNegative val="0"/>
            <c:bubble3D val="0"/>
            <c:extLst>
              <c:ext xmlns:c16="http://schemas.microsoft.com/office/drawing/2014/chart" uri="{C3380CC4-5D6E-409C-BE32-E72D297353CC}">
                <c16:uniqueId val="{00000012-4824-49E4-A8DA-F742AC1D2B3A}"/>
              </c:ext>
            </c:extLst>
          </c:dPt>
          <c:dPt>
            <c:idx val="19"/>
            <c:invertIfNegative val="0"/>
            <c:bubble3D val="0"/>
            <c:extLst>
              <c:ext xmlns:c16="http://schemas.microsoft.com/office/drawing/2014/chart" uri="{C3380CC4-5D6E-409C-BE32-E72D297353CC}">
                <c16:uniqueId val="{00000013-4824-49E4-A8DA-F742AC1D2B3A}"/>
              </c:ext>
            </c:extLst>
          </c:dPt>
          <c:dPt>
            <c:idx val="20"/>
            <c:invertIfNegative val="0"/>
            <c:bubble3D val="0"/>
            <c:extLst>
              <c:ext xmlns:c16="http://schemas.microsoft.com/office/drawing/2014/chart" uri="{C3380CC4-5D6E-409C-BE32-E72D297353CC}">
                <c16:uniqueId val="{00000014-4824-49E4-A8DA-F742AC1D2B3A}"/>
              </c:ext>
            </c:extLst>
          </c:dPt>
          <c:dPt>
            <c:idx val="21"/>
            <c:invertIfNegative val="0"/>
            <c:bubble3D val="0"/>
            <c:extLst>
              <c:ext xmlns:c16="http://schemas.microsoft.com/office/drawing/2014/chart" uri="{C3380CC4-5D6E-409C-BE32-E72D297353CC}">
                <c16:uniqueId val="{00000015-4824-49E4-A8DA-F742AC1D2B3A}"/>
              </c:ext>
            </c:extLst>
          </c:dPt>
          <c:dPt>
            <c:idx val="22"/>
            <c:invertIfNegative val="0"/>
            <c:bubble3D val="0"/>
            <c:extLst>
              <c:ext xmlns:c16="http://schemas.microsoft.com/office/drawing/2014/chart" uri="{C3380CC4-5D6E-409C-BE32-E72D297353CC}">
                <c16:uniqueId val="{00000016-4824-49E4-A8DA-F742AC1D2B3A}"/>
              </c:ext>
            </c:extLst>
          </c:dPt>
          <c:dPt>
            <c:idx val="23"/>
            <c:invertIfNegative val="0"/>
            <c:bubble3D val="0"/>
            <c:extLst>
              <c:ext xmlns:c16="http://schemas.microsoft.com/office/drawing/2014/chart" uri="{C3380CC4-5D6E-409C-BE32-E72D297353CC}">
                <c16:uniqueId val="{00000017-4824-49E4-A8DA-F742AC1D2B3A}"/>
              </c:ext>
            </c:extLst>
          </c:dPt>
          <c:dPt>
            <c:idx val="24"/>
            <c:invertIfNegative val="0"/>
            <c:bubble3D val="0"/>
            <c:extLst>
              <c:ext xmlns:c16="http://schemas.microsoft.com/office/drawing/2014/chart" uri="{C3380CC4-5D6E-409C-BE32-E72D297353CC}">
                <c16:uniqueId val="{00000018-4824-49E4-A8DA-F742AC1D2B3A}"/>
              </c:ext>
            </c:extLst>
          </c:dPt>
          <c:dPt>
            <c:idx val="25"/>
            <c:invertIfNegative val="0"/>
            <c:bubble3D val="0"/>
            <c:extLst>
              <c:ext xmlns:c16="http://schemas.microsoft.com/office/drawing/2014/chart" uri="{C3380CC4-5D6E-409C-BE32-E72D297353CC}">
                <c16:uniqueId val="{00000019-4824-49E4-A8DA-F742AC1D2B3A}"/>
              </c:ext>
            </c:extLst>
          </c:dPt>
          <c:dPt>
            <c:idx val="26"/>
            <c:invertIfNegative val="0"/>
            <c:bubble3D val="0"/>
            <c:extLst>
              <c:ext xmlns:c16="http://schemas.microsoft.com/office/drawing/2014/chart" uri="{C3380CC4-5D6E-409C-BE32-E72D297353CC}">
                <c16:uniqueId val="{0000001A-4824-49E4-A8DA-F742AC1D2B3A}"/>
              </c:ext>
            </c:extLst>
          </c:dPt>
          <c:dPt>
            <c:idx val="27"/>
            <c:invertIfNegative val="0"/>
            <c:bubble3D val="0"/>
            <c:extLst>
              <c:ext xmlns:c16="http://schemas.microsoft.com/office/drawing/2014/chart" uri="{C3380CC4-5D6E-409C-BE32-E72D297353CC}">
                <c16:uniqueId val="{0000001B-4824-49E4-A8DA-F742AC1D2B3A}"/>
              </c:ext>
            </c:extLst>
          </c:dPt>
          <c:dPt>
            <c:idx val="28"/>
            <c:invertIfNegative val="0"/>
            <c:bubble3D val="0"/>
            <c:extLst>
              <c:ext xmlns:c16="http://schemas.microsoft.com/office/drawing/2014/chart" uri="{C3380CC4-5D6E-409C-BE32-E72D297353CC}">
                <c16:uniqueId val="{0000001C-4824-49E4-A8DA-F742AC1D2B3A}"/>
              </c:ext>
            </c:extLst>
          </c:dPt>
          <c:dPt>
            <c:idx val="29"/>
            <c:invertIfNegative val="0"/>
            <c:bubble3D val="0"/>
            <c:extLst>
              <c:ext xmlns:c16="http://schemas.microsoft.com/office/drawing/2014/chart" uri="{C3380CC4-5D6E-409C-BE32-E72D297353CC}">
                <c16:uniqueId val="{0000001D-4824-49E4-A8DA-F742AC1D2B3A}"/>
              </c:ext>
            </c:extLst>
          </c:dPt>
          <c:dPt>
            <c:idx val="30"/>
            <c:invertIfNegative val="0"/>
            <c:bubble3D val="0"/>
            <c:extLst>
              <c:ext xmlns:c16="http://schemas.microsoft.com/office/drawing/2014/chart" uri="{C3380CC4-5D6E-409C-BE32-E72D297353CC}">
                <c16:uniqueId val="{0000001E-4824-49E4-A8DA-F742AC1D2B3A}"/>
              </c:ext>
            </c:extLst>
          </c:dPt>
          <c:dPt>
            <c:idx val="31"/>
            <c:invertIfNegative val="0"/>
            <c:bubble3D val="0"/>
            <c:extLst>
              <c:ext xmlns:c16="http://schemas.microsoft.com/office/drawing/2014/chart" uri="{C3380CC4-5D6E-409C-BE32-E72D297353CC}">
                <c16:uniqueId val="{0000001F-4824-49E4-A8DA-F742AC1D2B3A}"/>
              </c:ext>
            </c:extLst>
          </c:dPt>
          <c:dLbls>
            <c:dLbl>
              <c:idx val="8"/>
              <c:spPr/>
              <c:txPr>
                <a:bodyPr/>
                <a:lstStyle/>
                <a:p>
                  <a:pPr>
                    <a:defRPr b="1"/>
                  </a:pPr>
                  <a:endParaRPr lang="es-MX"/>
                </a:p>
              </c:txPr>
              <c:dLblPos val="outEnd"/>
              <c:showLegendKey val="0"/>
              <c:showVal val="1"/>
              <c:showCatName val="0"/>
              <c:showSerName val="0"/>
              <c:showPercent val="0"/>
              <c:showBubbleSize val="0"/>
              <c:extLst>
                <c:ext xmlns:c16="http://schemas.microsoft.com/office/drawing/2014/chart" uri="{C3380CC4-5D6E-409C-BE32-E72D297353CC}">
                  <c16:uniqueId val="{00000008-4824-49E4-A8DA-F742AC1D2B3A}"/>
                </c:ext>
              </c:extLst>
            </c:dLbl>
            <c:spPr>
              <a:noFill/>
              <a:ln>
                <a:noFill/>
              </a:ln>
              <a:effectLst/>
            </c:spPr>
            <c:txPr>
              <a:bodyPr wrap="square" lIns="38100" tIns="19050" rIns="38100" bIns="19050" anchor="ctr">
                <a:spAutoFit/>
              </a:bodyPr>
              <a:lstStyle/>
              <a:p>
                <a:pPr>
                  <a:defRPr b="1"/>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'G9 sec SinP'!$I$5:$I$36</c:f>
              <c:strCache>
                <c:ptCount val="32"/>
                <c:pt idx="0">
                  <c:v>Coahuila de Zaragoza</c:v>
                </c:pt>
                <c:pt idx="1">
                  <c:v>Puebla</c:v>
                </c:pt>
                <c:pt idx="2">
                  <c:v>Morelos</c:v>
                </c:pt>
                <c:pt idx="3">
                  <c:v>Baja California</c:v>
                </c:pt>
                <c:pt idx="4">
                  <c:v>Chihuahua</c:v>
                </c:pt>
                <c:pt idx="5">
                  <c:v>Quintana Roo</c:v>
                </c:pt>
                <c:pt idx="6">
                  <c:v>Campeche</c:v>
                </c:pt>
                <c:pt idx="7">
                  <c:v>Aguascalientes</c:v>
                </c:pt>
                <c:pt idx="8">
                  <c:v>Durango</c:v>
                </c:pt>
                <c:pt idx="9">
                  <c:v>Baja California Sur</c:v>
                </c:pt>
                <c:pt idx="10">
                  <c:v>Guanajuato</c:v>
                </c:pt>
                <c:pt idx="11">
                  <c:v>Zacatecas</c:v>
                </c:pt>
                <c:pt idx="12">
                  <c:v>San Luis Potosí</c:v>
                </c:pt>
                <c:pt idx="13">
                  <c:v>Tabasco</c:v>
                </c:pt>
                <c:pt idx="14">
                  <c:v>Guerrero</c:v>
                </c:pt>
                <c:pt idx="15">
                  <c:v>Chiapas</c:v>
                </c:pt>
                <c:pt idx="16">
                  <c:v>Querétaro</c:v>
                </c:pt>
                <c:pt idx="17">
                  <c:v>Tlaxcala</c:v>
                </c:pt>
                <c:pt idx="18">
                  <c:v>Ciudad de México</c:v>
                </c:pt>
                <c:pt idx="19">
                  <c:v>Nayarit</c:v>
                </c:pt>
                <c:pt idx="20">
                  <c:v>Sonora</c:v>
                </c:pt>
                <c:pt idx="21">
                  <c:v>Sinaloa</c:v>
                </c:pt>
                <c:pt idx="22">
                  <c:v>Michoacán de Ocampo</c:v>
                </c:pt>
                <c:pt idx="23">
                  <c:v>Tamaulipas</c:v>
                </c:pt>
                <c:pt idx="24">
                  <c:v>Colima</c:v>
                </c:pt>
                <c:pt idx="25">
                  <c:v>Yucatán</c:v>
                </c:pt>
                <c:pt idx="26">
                  <c:v>Jalisco</c:v>
                </c:pt>
                <c:pt idx="27">
                  <c:v>Oaxaca</c:v>
                </c:pt>
                <c:pt idx="28">
                  <c:v>Veracruz de Ignacio de la Llave</c:v>
                </c:pt>
                <c:pt idx="29">
                  <c:v>Nuevo León</c:v>
                </c:pt>
                <c:pt idx="30">
                  <c:v>Hidalgo</c:v>
                </c:pt>
                <c:pt idx="31">
                  <c:v>México</c:v>
                </c:pt>
              </c:strCache>
            </c:strRef>
          </c:cat>
          <c:val>
            <c:numRef>
              <c:f>'G9 sec SinP'!$J$5:$J$36</c:f>
              <c:numCache>
                <c:formatCode>0.00</c:formatCode>
                <c:ptCount val="32"/>
                <c:pt idx="0">
                  <c:v>-0.31652055342006774</c:v>
                </c:pt>
                <c:pt idx="1">
                  <c:v>-0.25496000615258241</c:v>
                </c:pt>
                <c:pt idx="2">
                  <c:v>-0.21235297020672692</c:v>
                </c:pt>
                <c:pt idx="3">
                  <c:v>-0.1618673716674934</c:v>
                </c:pt>
                <c:pt idx="4">
                  <c:v>-0.14259792240942479</c:v>
                </c:pt>
                <c:pt idx="5">
                  <c:v>-0.12373823547312636</c:v>
                </c:pt>
                <c:pt idx="6">
                  <c:v>-9.4944047749822999E-2</c:v>
                </c:pt>
                <c:pt idx="7">
                  <c:v>-8.572240510287199E-2</c:v>
                </c:pt>
                <c:pt idx="8">
                  <c:v>-7.2261306468200628E-2</c:v>
                </c:pt>
                <c:pt idx="9">
                  <c:v>-4.2531311859840742E-2</c:v>
                </c:pt>
                <c:pt idx="10">
                  <c:v>-2.9518536669907617E-2</c:v>
                </c:pt>
                <c:pt idx="11">
                  <c:v>4.1892256689279993E-3</c:v>
                </c:pt>
                <c:pt idx="12">
                  <c:v>6.460306288582158E-3</c:v>
                </c:pt>
                <c:pt idx="13">
                  <c:v>1.4093067170472578E-2</c:v>
                </c:pt>
                <c:pt idx="14">
                  <c:v>1.4470060706916246E-2</c:v>
                </c:pt>
                <c:pt idx="15">
                  <c:v>1.4524081369898616E-2</c:v>
                </c:pt>
                <c:pt idx="16">
                  <c:v>1.8308088089378855E-2</c:v>
                </c:pt>
                <c:pt idx="17">
                  <c:v>2.0080213925398421E-2</c:v>
                </c:pt>
                <c:pt idx="18">
                  <c:v>2.3380888416266152E-2</c:v>
                </c:pt>
                <c:pt idx="19">
                  <c:v>2.3888769918965391E-2</c:v>
                </c:pt>
                <c:pt idx="20">
                  <c:v>4.4805430411606985E-2</c:v>
                </c:pt>
                <c:pt idx="21">
                  <c:v>5.0228955611539963E-2</c:v>
                </c:pt>
                <c:pt idx="22">
                  <c:v>5.2497092454338652E-2</c:v>
                </c:pt>
                <c:pt idx="23">
                  <c:v>5.2698153014203143E-2</c:v>
                </c:pt>
                <c:pt idx="24">
                  <c:v>5.2904181844617051E-2</c:v>
                </c:pt>
                <c:pt idx="25">
                  <c:v>0.10278643820056564</c:v>
                </c:pt>
                <c:pt idx="26">
                  <c:v>0.10440456665443441</c:v>
                </c:pt>
                <c:pt idx="27">
                  <c:v>0.12007657351271223</c:v>
                </c:pt>
                <c:pt idx="28">
                  <c:v>0.16284030594596918</c:v>
                </c:pt>
                <c:pt idx="29">
                  <c:v>0.24557889818029988</c:v>
                </c:pt>
                <c:pt idx="30">
                  <c:v>0.44759096331702691</c:v>
                </c:pt>
                <c:pt idx="31">
                  <c:v>0.66346259935670493</c:v>
                </c:pt>
              </c:numCache>
            </c:numRef>
          </c:val>
          <c:extLst>
            <c:ext xmlns:c16="http://schemas.microsoft.com/office/drawing/2014/chart" uri="{C3380CC4-5D6E-409C-BE32-E72D297353CC}">
              <c16:uniqueId val="{00000020-4824-49E4-A8DA-F742AC1D2B3A}"/>
            </c:ext>
          </c:extLst>
        </c:ser>
        <c:dLbls>
          <c:showLegendKey val="0"/>
          <c:showVal val="0"/>
          <c:showCatName val="0"/>
          <c:showSerName val="0"/>
          <c:showPercent val="0"/>
          <c:showBubbleSize val="0"/>
        </c:dLbls>
        <c:gapWidth val="46"/>
        <c:overlap val="100"/>
        <c:axId val="101487360"/>
        <c:axId val="101488896"/>
      </c:barChart>
      <c:catAx>
        <c:axId val="101487360"/>
        <c:scaling>
          <c:orientation val="minMax"/>
        </c:scaling>
        <c:delete val="0"/>
        <c:axPos val="l"/>
        <c:numFmt formatCode="General" sourceLinked="1"/>
        <c:majorTickMark val="none"/>
        <c:minorTickMark val="none"/>
        <c:tickLblPos val="low"/>
        <c:spPr>
          <a:ln w="19050">
            <a:solidFill>
              <a:srgbClr val="B72F05"/>
            </a:solidFill>
          </a:ln>
        </c:spPr>
        <c:crossAx val="101488896"/>
        <c:crosses val="autoZero"/>
        <c:auto val="0"/>
        <c:lblAlgn val="ctr"/>
        <c:lblOffset val="100"/>
        <c:noMultiLvlLbl val="0"/>
      </c:catAx>
      <c:valAx>
        <c:axId val="101488896"/>
        <c:scaling>
          <c:orientation val="minMax"/>
          <c:min val="-0.60000000000000009"/>
        </c:scaling>
        <c:delete val="0"/>
        <c:axPos val="b"/>
        <c:numFmt formatCode="#,##0.0" sourceLinked="0"/>
        <c:majorTickMark val="none"/>
        <c:minorTickMark val="none"/>
        <c:tickLblPos val="nextTo"/>
        <c:crossAx val="101487360"/>
        <c:crosses val="autoZero"/>
        <c:crossBetween val="between"/>
      </c:valAx>
      <c:spPr>
        <a:noFill/>
        <a:ln w="25400">
          <a:noFill/>
        </a:ln>
        <a:effectLst/>
      </c:spPr>
    </c:plotArea>
    <c:plotVisOnly val="1"/>
    <c:dispBlanksAs val="gap"/>
    <c:showDLblsOverMax val="0"/>
  </c:chart>
  <c:spPr>
    <a:ln>
      <a:noFill/>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BF72BD508CC36149B8091E22BE17AF69" ma:contentTypeVersion="3" ma:contentTypeDescription="Crear nuevo documento." ma:contentTypeScope="" ma:versionID="ec9fe6d11206b3c61a16cab4e437bdc2">
  <xsd:schema xmlns:xsd="http://www.w3.org/2001/XMLSchema" xmlns:xs="http://www.w3.org/2001/XMLSchema" xmlns:p="http://schemas.microsoft.com/office/2006/metadata/properties" xmlns:ns2="1263f9e2-3308-4d13-b9c5-c7441ef3fba7" targetNamespace="http://schemas.microsoft.com/office/2006/metadata/properties" ma:root="true" ma:fieldsID="ef13c0f1bed0fcc961f959f4c7ed402f" ns2:_="">
    <xsd:import namespace="1263f9e2-3308-4d13-b9c5-c7441ef3fba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63f9e2-3308-4d13-b9c5-c7441ef3fb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976549-8141-493E-8581-99FBE2A0705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961E3AB-ACD0-4968-82D0-A6116F0EAA5F}">
  <ds:schemaRefs>
    <ds:schemaRef ds:uri="http://schemas.openxmlformats.org/officeDocument/2006/bibliography"/>
  </ds:schemaRefs>
</ds:datastoreItem>
</file>

<file path=customXml/itemProps3.xml><?xml version="1.0" encoding="utf-8"?>
<ds:datastoreItem xmlns:ds="http://schemas.openxmlformats.org/officeDocument/2006/customXml" ds:itemID="{9435380F-D7FC-41A7-84EE-CA53F171B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63f9e2-3308-4d13-b9c5-c7441ef3fb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71B76D-B909-4141-A56D-EF6FAC9C9C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Plantilla oficial Boletín-Prensa</Template>
  <TotalTime>184</TotalTime>
  <Pages>11</Pages>
  <Words>2314</Words>
  <Characters>12732</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Indicador Trimestral de la Actividad Económica Estatal</vt:lpstr>
    </vt:vector>
  </TitlesOfParts>
  <Manager>INEGI</Manager>
  <Company>INEGI</Company>
  <LinksUpToDate>false</LinksUpToDate>
  <CharactersWithSpaces>15016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Indicador Trimestral de la Actividad Económica Estatal</dc:title>
  <dc:subject>Indicador Trimestral de la Actividad Económica Estatal</dc:subject>
  <dc:creator>INEGI</dc:creator>
  <cp:keywords/>
  <dc:description/>
  <cp:lastModifiedBy>MARTINEZ GALINDO MINERVA JOAQUINA</cp:lastModifiedBy>
  <cp:revision>31</cp:revision>
  <cp:lastPrinted>2026-10-28T15:56:00Z</cp:lastPrinted>
  <dcterms:created xsi:type="dcterms:W3CDTF">2026-10-07T19:47:00Z</dcterms:created>
  <dcterms:modified xsi:type="dcterms:W3CDTF">2026-10-28T16:27:00Z</dcterms:modified>
  <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0x010100BF72BD508CC36149B8091E22BE17AF69</vt:lpwstr>
  </property>
</Properties>
</file>