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E7FA" w14:textId="77777777" w:rsidR="00FA3CFD" w:rsidRPr="007E6F86" w:rsidRDefault="00FA3CFD" w:rsidP="00F76EA3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bookmarkStart w:id="0" w:name="_GoBack"/>
      <w:bookmarkEnd w:id="0"/>
      <w:r w:rsidRPr="007E6F86">
        <w:rPr>
          <w:rFonts w:cstheme="minorHAnsi"/>
          <w:spacing w:val="6"/>
          <w:sz w:val="20"/>
          <w:szCs w:val="20"/>
        </w:rPr>
        <w:t>La Estadística Mensual sobre Establecimientos con Programa de la Industria Manufacturera, Maquiladora y de Servicios de Exportación (IMMEX)</w:t>
      </w:r>
      <w:r w:rsidR="00692848" w:rsidRPr="007E6F86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7E6F86">
        <w:rPr>
          <w:rFonts w:cstheme="minorHAnsi"/>
          <w:spacing w:val="6"/>
          <w:sz w:val="20"/>
          <w:szCs w:val="20"/>
        </w:rPr>
        <w:t xml:space="preserve">, muestra las </w:t>
      </w:r>
      <w:r w:rsidR="002656DD" w:rsidRPr="007E6F86">
        <w:rPr>
          <w:rFonts w:cstheme="minorHAnsi"/>
          <w:spacing w:val="6"/>
          <w:sz w:val="20"/>
          <w:szCs w:val="20"/>
        </w:rPr>
        <w:t xml:space="preserve">principales </w:t>
      </w:r>
      <w:r w:rsidRPr="007E6F86">
        <w:rPr>
          <w:rFonts w:cstheme="minorHAnsi"/>
          <w:spacing w:val="6"/>
          <w:sz w:val="20"/>
          <w:szCs w:val="20"/>
        </w:rPr>
        <w:t xml:space="preserve">características y evolución </w:t>
      </w:r>
      <w:r w:rsidR="003A5BEA" w:rsidRPr="007E6F86">
        <w:rPr>
          <w:rFonts w:cstheme="minorHAnsi"/>
          <w:spacing w:val="6"/>
          <w:sz w:val="20"/>
          <w:szCs w:val="20"/>
        </w:rPr>
        <w:t xml:space="preserve">de los establecimientos </w:t>
      </w:r>
      <w:r w:rsidRPr="007E6F86">
        <w:rPr>
          <w:rFonts w:cstheme="minorHAnsi"/>
          <w:spacing w:val="6"/>
          <w:sz w:val="20"/>
          <w:szCs w:val="20"/>
        </w:rPr>
        <w:t>manufacturer</w:t>
      </w:r>
      <w:r w:rsidR="003A5BEA" w:rsidRPr="007E6F86">
        <w:rPr>
          <w:rFonts w:cstheme="minorHAnsi"/>
          <w:spacing w:val="6"/>
          <w:sz w:val="20"/>
          <w:szCs w:val="20"/>
        </w:rPr>
        <w:t xml:space="preserve">os </w:t>
      </w:r>
      <w:r w:rsidR="00B732CB" w:rsidRPr="007E6F86">
        <w:rPr>
          <w:rFonts w:cstheme="minorHAnsi"/>
          <w:spacing w:val="6"/>
          <w:sz w:val="20"/>
          <w:szCs w:val="20"/>
        </w:rPr>
        <w:t>y no manufacturer</w:t>
      </w:r>
      <w:r w:rsidR="003A5BEA" w:rsidRPr="007E6F86">
        <w:rPr>
          <w:rFonts w:cstheme="minorHAnsi"/>
          <w:spacing w:val="6"/>
          <w:sz w:val="20"/>
          <w:szCs w:val="20"/>
        </w:rPr>
        <w:t>os</w:t>
      </w:r>
      <w:r w:rsidR="00B732CB" w:rsidRPr="007E6F86">
        <w:rPr>
          <w:rFonts w:cstheme="minorHAnsi"/>
          <w:spacing w:val="6"/>
          <w:sz w:val="20"/>
          <w:szCs w:val="20"/>
        </w:rPr>
        <w:t xml:space="preserve"> </w:t>
      </w:r>
      <w:r w:rsidR="00F018FD" w:rsidRPr="007E6F86">
        <w:rPr>
          <w:rFonts w:cstheme="minorHAnsi"/>
          <w:spacing w:val="6"/>
          <w:sz w:val="20"/>
          <w:szCs w:val="20"/>
        </w:rPr>
        <w:t>(</w:t>
      </w:r>
      <w:r w:rsidRPr="007E6F86">
        <w:rPr>
          <w:rFonts w:cstheme="minorHAnsi"/>
          <w:spacing w:val="6"/>
          <w:sz w:val="20"/>
          <w:szCs w:val="20"/>
        </w:rPr>
        <w:t>número de establecimientos en activo, personal ocupado, horas trabajadas, remuneraciones e ingresos, entre otr</w:t>
      </w:r>
      <w:r w:rsidR="00F018FD" w:rsidRPr="007E6F86">
        <w:rPr>
          <w:rFonts w:cstheme="minorHAnsi"/>
          <w:spacing w:val="6"/>
          <w:sz w:val="20"/>
          <w:szCs w:val="20"/>
        </w:rPr>
        <w:t>a</w:t>
      </w:r>
      <w:r w:rsidRPr="007E6F86">
        <w:rPr>
          <w:rFonts w:cstheme="minorHAnsi"/>
          <w:spacing w:val="6"/>
          <w:sz w:val="20"/>
          <w:szCs w:val="20"/>
        </w:rPr>
        <w:t>s</w:t>
      </w:r>
      <w:r w:rsidR="00F018FD" w:rsidRPr="007E6F86">
        <w:rPr>
          <w:rFonts w:cstheme="minorHAnsi"/>
          <w:spacing w:val="6"/>
          <w:sz w:val="20"/>
          <w:szCs w:val="20"/>
        </w:rPr>
        <w:t xml:space="preserve"> variables</w:t>
      </w:r>
      <w:r w:rsidRPr="007E6F86">
        <w:rPr>
          <w:rFonts w:cstheme="minorHAnsi"/>
          <w:spacing w:val="6"/>
          <w:sz w:val="20"/>
          <w:szCs w:val="20"/>
        </w:rPr>
        <w:t>)</w:t>
      </w:r>
      <w:r w:rsidR="003A5BEA" w:rsidRPr="007E6F86">
        <w:rPr>
          <w:rFonts w:cstheme="minorHAnsi"/>
          <w:spacing w:val="6"/>
          <w:sz w:val="20"/>
          <w:szCs w:val="20"/>
        </w:rPr>
        <w:t xml:space="preserve"> </w:t>
      </w:r>
      <w:r w:rsidR="00706060" w:rsidRPr="007E6F86">
        <w:rPr>
          <w:rFonts w:cstheme="minorHAnsi"/>
          <w:spacing w:val="6"/>
          <w:sz w:val="20"/>
          <w:szCs w:val="20"/>
        </w:rPr>
        <w:t>registrad</w:t>
      </w:r>
      <w:r w:rsidR="00E07C1C" w:rsidRPr="007E6F86">
        <w:rPr>
          <w:rFonts w:cstheme="minorHAnsi"/>
          <w:spacing w:val="6"/>
          <w:sz w:val="20"/>
          <w:szCs w:val="20"/>
        </w:rPr>
        <w:t>o</w:t>
      </w:r>
      <w:r w:rsidR="004418CB" w:rsidRPr="007E6F86">
        <w:rPr>
          <w:rFonts w:cstheme="minorHAnsi"/>
          <w:spacing w:val="6"/>
          <w:sz w:val="20"/>
          <w:szCs w:val="20"/>
        </w:rPr>
        <w:t>s en</w:t>
      </w:r>
      <w:r w:rsidR="003A5BEA" w:rsidRPr="007E6F86">
        <w:rPr>
          <w:rFonts w:cstheme="minorHAnsi"/>
          <w:spacing w:val="6"/>
          <w:sz w:val="20"/>
          <w:szCs w:val="20"/>
        </w:rPr>
        <w:t xml:space="preserve"> este programa</w:t>
      </w:r>
      <w:r w:rsidRPr="007E6F86">
        <w:rPr>
          <w:rFonts w:cstheme="minorHAnsi"/>
          <w:spacing w:val="6"/>
          <w:sz w:val="20"/>
          <w:szCs w:val="20"/>
        </w:rPr>
        <w:t>.</w:t>
      </w:r>
    </w:p>
    <w:p w14:paraId="09EB21E3" w14:textId="77777777" w:rsidR="00BE6659" w:rsidRPr="007E6F86" w:rsidRDefault="00BE6659" w:rsidP="00F76EA3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Cifras desestacionalizadas</w:t>
      </w:r>
    </w:p>
    <w:p w14:paraId="1C7FC08F" w14:textId="324521AA" w:rsidR="00AE1DC4" w:rsidRPr="007E6F86" w:rsidRDefault="008A66B7" w:rsidP="00F76EA3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personal ocupado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en los esta</w:t>
      </w:r>
      <w:r w:rsidR="00EC4DC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blecimientos con programa IMMEX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descendió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noBreakHyphen/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)</w:t>
      </w:r>
      <w:r w:rsidR="00E078AE" w:rsidRPr="007E6F86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0F419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C50082">
        <w:rPr>
          <w:rFonts w:asciiTheme="minorHAnsi" w:hAnsiTheme="minorHAnsi" w:cstheme="minorHAnsi"/>
          <w:spacing w:val="4"/>
          <w:sz w:val="20"/>
          <w:szCs w:val="20"/>
        </w:rPr>
        <w:t>noviem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>bre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respecto</w:t>
      </w:r>
      <w:r w:rsidR="00F1444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B5869" w:rsidRPr="007E6F86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C50082">
        <w:rPr>
          <w:rFonts w:asciiTheme="minorHAnsi" w:hAnsiTheme="minorHAnsi" w:cstheme="minorHAnsi"/>
          <w:spacing w:val="4"/>
          <w:sz w:val="20"/>
          <w:szCs w:val="20"/>
        </w:rPr>
        <w:t xml:space="preserve"> octubre de</w:t>
      </w:r>
      <w:r w:rsidR="001904C0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C50082">
        <w:rPr>
          <w:rFonts w:asciiTheme="minorHAnsi" w:hAnsiTheme="minorHAnsi" w:cstheme="minorHAnsi"/>
          <w:spacing w:val="4"/>
          <w:sz w:val="20"/>
          <w:szCs w:val="20"/>
        </w:rPr>
        <w:t xml:space="preserve"> año</w:t>
      </w:r>
      <w:r w:rsidR="001904C0">
        <w:rPr>
          <w:rFonts w:asciiTheme="minorHAnsi" w:hAnsiTheme="minorHAnsi" w:cstheme="minorHAnsi"/>
          <w:spacing w:val="4"/>
          <w:sz w:val="20"/>
          <w:szCs w:val="20"/>
        </w:rPr>
        <w:t xml:space="preserve"> pasado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>, con cifras desestacionalizadas</w:t>
      </w:r>
      <w:r w:rsidR="00E07C1C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2"/>
      </w:r>
      <w:r w:rsidR="00437D25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Según el tipo de establecimiento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F2377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el que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labora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845B10" w:rsidRPr="007E6F86">
        <w:rPr>
          <w:rFonts w:asciiTheme="minorHAnsi" w:hAnsiTheme="minorHAnsi" w:cstheme="minorHAnsi"/>
          <w:spacing w:val="4"/>
          <w:sz w:val="20"/>
          <w:szCs w:val="20"/>
        </w:rPr>
        <w:t>no manufactureros (que llevan a cabo actividades relativas a la agricultura, pesca, comercio y a los servicios)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E5777">
        <w:rPr>
          <w:rFonts w:asciiTheme="minorHAnsi" w:hAnsiTheme="minorHAnsi" w:cstheme="minorHAnsi"/>
          <w:spacing w:val="4"/>
          <w:sz w:val="20"/>
          <w:szCs w:val="20"/>
        </w:rPr>
        <w:t>fue menor en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 (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noBreakHyphen/>
        <w:t>)0.8</w:t>
      </w:r>
      <w:r w:rsidR="00845B10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 y</w:t>
      </w:r>
      <w:r w:rsidR="00845B1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3E5777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noBreakHyphen/>
        <w:t>)0.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="00E44CB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tasa mensual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17DF9BBD" w14:textId="77777777" w:rsidTr="00BE6659">
        <w:tc>
          <w:tcPr>
            <w:tcW w:w="4844" w:type="dxa"/>
          </w:tcPr>
          <w:p w14:paraId="6C0ADF2D" w14:textId="760AC49C" w:rsidR="009815E0" w:rsidRPr="007E6F86" w:rsidRDefault="009815E0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Personal Ocupado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Total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7820A825" w14:textId="77777777" w:rsidR="009815E0" w:rsidRPr="007E6F86" w:rsidRDefault="009815E0" w:rsidP="00365123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365123" w:rsidRPr="007E6F86">
              <w:rPr>
                <w:rFonts w:asciiTheme="minorHAnsi" w:hAnsiTheme="minorHAnsi" w:cstheme="minorHAnsi"/>
                <w:sz w:val="16"/>
                <w:szCs w:val="18"/>
              </w:rPr>
              <w:t>Miles de p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ersonas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0B32D67E" w14:textId="77777777" w:rsidTr="00845B10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86664B8" w14:textId="050CD902" w:rsidR="009815E0" w:rsidRPr="007E6F86" w:rsidRDefault="00845B10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2D33BEB" wp14:editId="4142FA65">
                  <wp:extent cx="3042000" cy="2160000"/>
                  <wp:effectExtent l="0" t="0" r="25400" b="12065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385B45C3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902734" w14:textId="62560BDA" w:rsidR="00AE1DC4" w:rsidRPr="007E6F86" w:rsidRDefault="00B84B72" w:rsidP="00F76EA3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En</w:t>
      </w:r>
      <w:r w:rsidR="00E00CE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D576B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C50082">
        <w:rPr>
          <w:rFonts w:asciiTheme="minorHAnsi" w:hAnsiTheme="minorHAnsi" w:cstheme="minorHAnsi"/>
          <w:spacing w:val="4"/>
          <w:sz w:val="20"/>
          <w:szCs w:val="20"/>
        </w:rPr>
        <w:t>penúlt</w:t>
      </w:r>
      <w:r w:rsidR="00E806EA">
        <w:rPr>
          <w:rFonts w:asciiTheme="minorHAnsi" w:hAnsiTheme="minorHAnsi" w:cstheme="minorHAnsi"/>
          <w:spacing w:val="4"/>
          <w:sz w:val="20"/>
          <w:szCs w:val="20"/>
        </w:rPr>
        <w:t>im</w:t>
      </w:r>
      <w:r w:rsidR="00360DBD" w:rsidRPr="007E6F86">
        <w:rPr>
          <w:rFonts w:asciiTheme="minorHAnsi" w:hAnsiTheme="minorHAnsi" w:cstheme="minorHAnsi"/>
          <w:spacing w:val="4"/>
          <w:sz w:val="20"/>
          <w:szCs w:val="20"/>
        </w:rPr>
        <w:t>o</w:t>
      </w:r>
      <w:r w:rsidR="0012578B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>mes de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43DC2">
        <w:rPr>
          <w:rFonts w:asciiTheme="minorHAnsi" w:hAnsiTheme="minorHAnsi" w:cstheme="minorHAnsi"/>
          <w:spacing w:val="4"/>
          <w:sz w:val="20"/>
          <w:szCs w:val="20"/>
        </w:rPr>
        <w:t>2019</w:t>
      </w:r>
      <w:r w:rsidRPr="007E6F86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9200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las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horas trabajadas</w:t>
      </w:r>
      <w:r w:rsidR="0011521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aumenta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ron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0.5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D62281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comparación </w:t>
      </w:r>
      <w:r w:rsidR="00697856" w:rsidRPr="007E6F86">
        <w:rPr>
          <w:rFonts w:asciiTheme="minorHAnsi" w:hAnsiTheme="minorHAnsi" w:cstheme="minorHAnsi"/>
          <w:spacing w:val="4"/>
          <w:sz w:val="20"/>
          <w:szCs w:val="20"/>
        </w:rPr>
        <w:t>con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>as de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2D2E2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mes </w:t>
      </w:r>
      <w:r w:rsidR="00C50082">
        <w:rPr>
          <w:rFonts w:asciiTheme="minorHAnsi" w:hAnsiTheme="minorHAnsi" w:cstheme="minorHAnsi"/>
          <w:spacing w:val="4"/>
          <w:sz w:val="20"/>
          <w:szCs w:val="20"/>
        </w:rPr>
        <w:t>inmediato anterior</w:t>
      </w:r>
      <w:r w:rsidR="00703DB5" w:rsidRPr="007E6F86">
        <w:rPr>
          <w:rFonts w:asciiTheme="minorHAnsi" w:hAnsiTheme="minorHAnsi" w:cstheme="minorHAnsi"/>
          <w:spacing w:val="4"/>
          <w:sz w:val="20"/>
          <w:szCs w:val="20"/>
        </w:rPr>
        <w:t>:</w:t>
      </w:r>
      <w:r w:rsidR="00580EC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establecimientos no manufactureros </w:t>
      </w:r>
      <w:r w:rsidR="003E5777">
        <w:rPr>
          <w:rFonts w:asciiTheme="minorHAnsi" w:hAnsiTheme="minorHAnsi" w:cstheme="minorHAnsi"/>
          <w:spacing w:val="4"/>
          <w:sz w:val="20"/>
          <w:szCs w:val="20"/>
        </w:rPr>
        <w:t>se incrementaron</w:t>
      </w:r>
      <w:r w:rsidR="0021213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1.6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 xml:space="preserve">% y </w:t>
      </w:r>
      <w:r w:rsidR="00C3199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0.5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0377AA" w:rsidRPr="007E6F86">
        <w:rPr>
          <w:rFonts w:asciiTheme="minorHAnsi" w:hAnsiTheme="minorHAnsi" w:cstheme="minorHAnsi"/>
          <w:spacing w:val="4"/>
          <w:sz w:val="20"/>
          <w:szCs w:val="20"/>
        </w:rPr>
        <w:t>series</w:t>
      </w:r>
      <w:r w:rsidR="003B541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ajustada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s por estacionalidad</w:t>
      </w:r>
      <w:r w:rsidR="005338ED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04A9787" w14:textId="77777777" w:rsidTr="009F1F36">
        <w:trPr>
          <w:cantSplit/>
        </w:trPr>
        <w:tc>
          <w:tcPr>
            <w:tcW w:w="4844" w:type="dxa"/>
          </w:tcPr>
          <w:p w14:paraId="553CB5CE" w14:textId="64263398" w:rsidR="009815E0" w:rsidRPr="007E6F86" w:rsidRDefault="00AE1DC4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Pr="007E6F86">
              <w:br w:type="column"/>
            </w:r>
            <w:r w:rsidRPr="007E6F86">
              <w:br w:type="column"/>
            </w: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4824DB" w:rsidRPr="007E6F86">
              <w:br w:type="column"/>
            </w:r>
            <w:r w:rsidR="004824DB"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Horas Trabajadas </w:t>
            </w:r>
            <w:r w:rsidR="00F9455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1517775B" w14:textId="77777777" w:rsidR="009815E0" w:rsidRPr="007E6F86" w:rsidRDefault="009815E0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Miles de horas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160B0DB2" w14:textId="77777777" w:rsidTr="00845B10">
        <w:tblPrEx>
          <w:tblCellMar>
            <w:left w:w="70" w:type="dxa"/>
            <w:right w:w="70" w:type="dxa"/>
          </w:tblCellMar>
        </w:tblPrEx>
        <w:trPr>
          <w:cantSplit/>
          <w:trHeight w:val="3402"/>
        </w:trPr>
        <w:tc>
          <w:tcPr>
            <w:tcW w:w="4844" w:type="dxa"/>
            <w:vAlign w:val="center"/>
          </w:tcPr>
          <w:p w14:paraId="08A3FC19" w14:textId="366528D7" w:rsidR="009815E0" w:rsidRPr="007E6F86" w:rsidRDefault="00845B10" w:rsidP="008618B8">
            <w:pPr>
              <w:keepNext/>
              <w:keepLines/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4B6D536" wp14:editId="539EDADB">
                  <wp:extent cx="3042000" cy="2160000"/>
                  <wp:effectExtent l="0" t="0" r="25400" b="12065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1192B7F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DA68C10" w14:textId="1E1B9FE7" w:rsidR="00AE1DC4" w:rsidRPr="007E6F86" w:rsidRDefault="00696955" w:rsidP="009A63AA">
      <w:pPr>
        <w:pStyle w:val="Textoindependiente"/>
        <w:spacing w:before="360" w:after="240" w:line="200" w:lineRule="exact"/>
        <w:rPr>
          <w:rFonts w:asciiTheme="minorHAnsi" w:hAnsiTheme="minorHAnsi" w:cstheme="minorHAnsi"/>
          <w:sz w:val="20"/>
          <w:szCs w:val="20"/>
        </w:rPr>
      </w:pPr>
      <w:r w:rsidRPr="007E6F86">
        <w:rPr>
          <w:rFonts w:asciiTheme="minorHAnsi" w:hAnsiTheme="minorHAnsi" w:cstheme="minorHAnsi"/>
          <w:sz w:val="20"/>
          <w:szCs w:val="20"/>
        </w:rPr>
        <w:t>L</w:t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as </w:t>
      </w:r>
      <w:r w:rsidR="00AE1DC4" w:rsidRPr="007E6F86">
        <w:rPr>
          <w:rFonts w:asciiTheme="minorHAnsi" w:hAnsiTheme="minorHAnsi" w:cstheme="minorHAnsi"/>
          <w:b/>
          <w:sz w:val="20"/>
          <w:szCs w:val="20"/>
        </w:rPr>
        <w:t>remuneraciones medias reales</w:t>
      </w:r>
      <w:r w:rsidR="008F691F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3"/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pagadas al personal contratado directamente por </w:t>
      </w:r>
      <w:r w:rsidR="00543DD8" w:rsidRPr="007E6F86">
        <w:rPr>
          <w:rFonts w:asciiTheme="minorHAnsi" w:hAnsiTheme="minorHAnsi" w:cstheme="minorHAnsi"/>
          <w:sz w:val="20"/>
          <w:szCs w:val="20"/>
        </w:rPr>
        <w:t>los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>establecimiento</w:t>
      </w:r>
      <w:r w:rsidR="00543DD8" w:rsidRPr="007E6F86">
        <w:rPr>
          <w:rFonts w:asciiTheme="minorHAnsi" w:hAnsiTheme="minorHAnsi" w:cstheme="minorHAnsi"/>
          <w:sz w:val="20"/>
          <w:szCs w:val="20"/>
        </w:rPr>
        <w:t>s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8D3A3A" w:rsidRPr="007E6F86">
        <w:rPr>
          <w:rFonts w:asciiTheme="minorHAnsi" w:hAnsiTheme="minorHAnsi" w:cstheme="minorHAnsi"/>
          <w:sz w:val="20"/>
          <w:szCs w:val="20"/>
        </w:rPr>
        <w:t xml:space="preserve">con programa IMMEX </w:t>
      </w:r>
      <w:r w:rsidR="003E5777">
        <w:rPr>
          <w:rFonts w:asciiTheme="minorHAnsi" w:hAnsiTheme="minorHAnsi" w:cstheme="minorHAnsi"/>
          <w:sz w:val="20"/>
          <w:szCs w:val="20"/>
        </w:rPr>
        <w:t xml:space="preserve">reportaron un alza de </w:t>
      </w:r>
      <w:r w:rsidR="00EC1BD2">
        <w:rPr>
          <w:rFonts w:asciiTheme="minorHAnsi" w:hAnsiTheme="minorHAnsi" w:cstheme="minorHAnsi"/>
          <w:sz w:val="20"/>
          <w:szCs w:val="20"/>
        </w:rPr>
        <w:t>0.</w:t>
      </w:r>
      <w:r w:rsidR="003E5777">
        <w:rPr>
          <w:rFonts w:asciiTheme="minorHAnsi" w:hAnsiTheme="minorHAnsi" w:cstheme="minorHAnsi"/>
          <w:sz w:val="20"/>
          <w:szCs w:val="20"/>
        </w:rPr>
        <w:t>9</w:t>
      </w:r>
      <w:r w:rsidR="00EC1BD2">
        <w:rPr>
          <w:rFonts w:asciiTheme="minorHAnsi" w:hAnsiTheme="minorHAnsi" w:cstheme="minorHAnsi"/>
          <w:sz w:val="20"/>
          <w:szCs w:val="20"/>
        </w:rPr>
        <w:t>%</w:t>
      </w:r>
      <w:r w:rsidR="007E410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3261B5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C50082">
        <w:rPr>
          <w:rFonts w:asciiTheme="minorHAnsi" w:hAnsiTheme="minorHAnsi" w:cstheme="minorHAnsi"/>
          <w:sz w:val="20"/>
          <w:szCs w:val="20"/>
        </w:rPr>
        <w:t>noviem</w:t>
      </w:r>
      <w:r w:rsidR="00EB36E9" w:rsidRPr="007E6F86">
        <w:rPr>
          <w:rFonts w:asciiTheme="minorHAnsi" w:hAnsiTheme="minorHAnsi" w:cstheme="minorHAnsi"/>
          <w:sz w:val="20"/>
          <w:szCs w:val="20"/>
        </w:rPr>
        <w:t>bre</w:t>
      </w:r>
      <w:r w:rsidR="0087344E" w:rsidRPr="007E6F86">
        <w:rPr>
          <w:rFonts w:asciiTheme="minorHAnsi" w:hAnsiTheme="minorHAnsi" w:cstheme="minorHAnsi"/>
          <w:sz w:val="20"/>
          <w:szCs w:val="20"/>
        </w:rPr>
        <w:t xml:space="preserve"> de</w:t>
      </w:r>
      <w:r w:rsidR="00EB36E9" w:rsidRPr="007E6F86">
        <w:rPr>
          <w:rFonts w:asciiTheme="minorHAnsi" w:hAnsiTheme="minorHAnsi" w:cstheme="minorHAnsi"/>
          <w:sz w:val="20"/>
          <w:szCs w:val="20"/>
        </w:rPr>
        <w:t>l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 año </w:t>
      </w:r>
      <w:r w:rsidR="00C50082">
        <w:rPr>
          <w:rFonts w:asciiTheme="minorHAnsi" w:hAnsiTheme="minorHAnsi" w:cstheme="minorHAnsi"/>
          <w:sz w:val="20"/>
          <w:szCs w:val="20"/>
        </w:rPr>
        <w:t>que recién concluyó co</w:t>
      </w:r>
      <w:r w:rsidR="00ED47A0" w:rsidRPr="007E6F86">
        <w:rPr>
          <w:rFonts w:asciiTheme="minorHAnsi" w:hAnsiTheme="minorHAnsi" w:cstheme="minorHAnsi"/>
          <w:sz w:val="20"/>
          <w:szCs w:val="20"/>
        </w:rPr>
        <w:t>n relación</w:t>
      </w:r>
      <w:r w:rsidR="00C5518B" w:rsidRPr="007E6F86">
        <w:rPr>
          <w:rFonts w:asciiTheme="minorHAnsi" w:hAnsiTheme="minorHAnsi" w:cstheme="minorHAnsi"/>
          <w:sz w:val="20"/>
          <w:szCs w:val="20"/>
        </w:rPr>
        <w:t xml:space="preserve"> a</w:t>
      </w:r>
      <w:r w:rsidR="00BA6823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273DB9" w:rsidRPr="007E6F86">
        <w:rPr>
          <w:rFonts w:asciiTheme="minorHAnsi" w:hAnsiTheme="minorHAnsi" w:cstheme="minorHAnsi"/>
          <w:sz w:val="20"/>
          <w:szCs w:val="20"/>
        </w:rPr>
        <w:t>l</w:t>
      </w:r>
      <w:r w:rsidR="00BA6823" w:rsidRPr="007E6F86">
        <w:rPr>
          <w:rFonts w:asciiTheme="minorHAnsi" w:hAnsiTheme="minorHAnsi" w:cstheme="minorHAnsi"/>
          <w:sz w:val="20"/>
          <w:szCs w:val="20"/>
        </w:rPr>
        <w:t>as</w:t>
      </w:r>
      <w:r w:rsidR="00273DB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BA6823" w:rsidRPr="007E6F86">
        <w:rPr>
          <w:rFonts w:asciiTheme="minorHAnsi" w:hAnsiTheme="minorHAnsi" w:cstheme="minorHAnsi"/>
          <w:sz w:val="20"/>
          <w:szCs w:val="20"/>
        </w:rPr>
        <w:t>de</w:t>
      </w:r>
      <w:r w:rsidR="00C50082">
        <w:rPr>
          <w:rFonts w:asciiTheme="minorHAnsi" w:hAnsiTheme="minorHAnsi" w:cstheme="minorHAnsi"/>
          <w:sz w:val="20"/>
          <w:szCs w:val="20"/>
        </w:rPr>
        <w:t>l mes precedente</w:t>
      </w:r>
      <w:r w:rsidR="008D3A3A" w:rsidRPr="007E6F86">
        <w:rPr>
          <w:rFonts w:asciiTheme="minorHAnsi" w:hAnsiTheme="minorHAnsi" w:cstheme="minorHAnsi"/>
          <w:sz w:val="20"/>
          <w:szCs w:val="20"/>
        </w:rPr>
        <w:t>,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según </w:t>
      </w:r>
      <w:r w:rsidR="00A422C8" w:rsidRPr="007E6F86">
        <w:rPr>
          <w:rFonts w:asciiTheme="minorHAnsi" w:hAnsiTheme="minorHAnsi" w:cstheme="minorHAnsi"/>
          <w:sz w:val="20"/>
          <w:szCs w:val="20"/>
        </w:rPr>
        <w:t>datos desestacionalizado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s. De </w:t>
      </w:r>
      <w:r w:rsidR="003E348B" w:rsidRPr="007E6F86">
        <w:rPr>
          <w:rFonts w:asciiTheme="minorHAnsi" w:hAnsiTheme="minorHAnsi" w:cstheme="minorHAnsi"/>
          <w:sz w:val="20"/>
          <w:szCs w:val="20"/>
        </w:rPr>
        <w:t xml:space="preserve">manera </w:t>
      </w:r>
      <w:r w:rsidR="00165297" w:rsidRPr="007E6F86">
        <w:rPr>
          <w:rFonts w:asciiTheme="minorHAnsi" w:hAnsiTheme="minorHAnsi" w:cstheme="minorHAnsi"/>
          <w:sz w:val="20"/>
          <w:szCs w:val="20"/>
        </w:rPr>
        <w:t>desagregada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,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543DD8" w:rsidRPr="007E6F86">
        <w:rPr>
          <w:rFonts w:asciiTheme="minorHAnsi" w:hAnsiTheme="minorHAnsi" w:cstheme="minorHAnsi"/>
          <w:sz w:val="20"/>
          <w:szCs w:val="20"/>
        </w:rPr>
        <w:t xml:space="preserve">las unidades </w:t>
      </w:r>
      <w:r w:rsidR="00FD3F14" w:rsidRPr="007E6F86">
        <w:rPr>
          <w:rFonts w:asciiTheme="minorHAnsi" w:hAnsiTheme="minorHAnsi" w:cstheme="minorHAnsi"/>
          <w:sz w:val="20"/>
          <w:szCs w:val="20"/>
        </w:rPr>
        <w:t xml:space="preserve">económicas </w:t>
      </w:r>
      <w:r w:rsidR="005A0F99" w:rsidRPr="007E6F86">
        <w:rPr>
          <w:rFonts w:asciiTheme="minorHAnsi" w:hAnsiTheme="minorHAnsi" w:cstheme="minorHAnsi"/>
          <w:sz w:val="20"/>
          <w:szCs w:val="20"/>
        </w:rPr>
        <w:t xml:space="preserve">no 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3E5777">
        <w:rPr>
          <w:rFonts w:asciiTheme="minorHAnsi" w:hAnsiTheme="minorHAnsi" w:cstheme="minorHAnsi"/>
          <w:sz w:val="20"/>
          <w:szCs w:val="20"/>
        </w:rPr>
        <w:t>crec</w:t>
      </w:r>
      <w:r w:rsidR="00EC1BD2">
        <w:rPr>
          <w:rFonts w:asciiTheme="minorHAnsi" w:hAnsiTheme="minorHAnsi" w:cstheme="minorHAnsi"/>
          <w:sz w:val="20"/>
          <w:szCs w:val="20"/>
        </w:rPr>
        <w:t xml:space="preserve">ieron </w:t>
      </w:r>
      <w:r w:rsidR="003E5777">
        <w:rPr>
          <w:rFonts w:asciiTheme="minorHAnsi" w:hAnsiTheme="minorHAnsi" w:cstheme="minorHAnsi"/>
          <w:sz w:val="20"/>
          <w:szCs w:val="20"/>
        </w:rPr>
        <w:t>1.2</w:t>
      </w:r>
      <w:r w:rsidR="001D29A9" w:rsidRPr="007E6F86">
        <w:rPr>
          <w:rFonts w:asciiTheme="minorHAnsi" w:hAnsiTheme="minorHAnsi" w:cstheme="minorHAnsi"/>
          <w:sz w:val="20"/>
          <w:szCs w:val="20"/>
        </w:rPr>
        <w:t>%</w:t>
      </w:r>
      <w:r w:rsidR="00EC1BD2">
        <w:rPr>
          <w:rFonts w:asciiTheme="minorHAnsi" w:hAnsiTheme="minorHAnsi" w:cstheme="minorHAnsi"/>
          <w:sz w:val="20"/>
          <w:szCs w:val="20"/>
        </w:rPr>
        <w:t xml:space="preserve"> y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las </w:t>
      </w:r>
      <w:r w:rsidR="00646044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3E5777">
        <w:rPr>
          <w:rFonts w:asciiTheme="minorHAnsi" w:hAnsiTheme="minorHAnsi" w:cstheme="minorHAnsi"/>
          <w:sz w:val="20"/>
          <w:szCs w:val="20"/>
        </w:rPr>
        <w:t>0.6</w:t>
      </w:r>
      <w:r w:rsidR="00790174" w:rsidRPr="007E6F86">
        <w:rPr>
          <w:rFonts w:asciiTheme="minorHAnsi" w:hAnsiTheme="minorHAnsi" w:cstheme="minorHAnsi"/>
          <w:sz w:val="20"/>
          <w:szCs w:val="20"/>
        </w:rPr>
        <w:t>%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9D2659" w:rsidRPr="007E6F86">
        <w:rPr>
          <w:rFonts w:asciiTheme="minorHAnsi" w:hAnsiTheme="minorHAnsi" w:cstheme="minorHAnsi"/>
          <w:sz w:val="20"/>
          <w:szCs w:val="20"/>
        </w:rPr>
        <w:t>mensual.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70F4670F" w14:textId="77777777" w:rsidTr="00BE6659">
        <w:tc>
          <w:tcPr>
            <w:tcW w:w="4844" w:type="dxa"/>
          </w:tcPr>
          <w:p w14:paraId="79583559" w14:textId="77777777" w:rsidR="00772AE7" w:rsidRPr="007E6F86" w:rsidRDefault="005F3878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Remuneraciones Medias Reales </w:t>
            </w:r>
            <w:r w:rsidR="008D3A3A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="00A91F8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  <w:p w14:paraId="48039B21" w14:textId="301B2C54" w:rsidR="005F3878" w:rsidRPr="007E6F86" w:rsidRDefault="00360DBD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4D632E4F" w14:textId="77777777" w:rsidR="005F3878" w:rsidRPr="007E6F86" w:rsidRDefault="005F3878" w:rsidP="008F691F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Pesos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2C4FD689" w14:textId="77777777" w:rsidTr="003E5777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6B22ACE6" w14:textId="1F98E2E2" w:rsidR="005F3878" w:rsidRPr="007E6F86" w:rsidRDefault="003E5777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775ACBA" wp14:editId="14E8075B">
                  <wp:extent cx="3049200" cy="2160000"/>
                  <wp:effectExtent l="0" t="0" r="18415" b="12065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DE61DAA" w14:textId="77777777" w:rsidR="008D3A3A" w:rsidRPr="007E6F86" w:rsidRDefault="00E7628B" w:rsidP="008D3A3A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</w:t>
      </w:r>
      <w:r w:rsidR="008D3A3A" w:rsidRPr="007E6F86">
        <w:rPr>
          <w:rFonts w:cstheme="minorHAnsi"/>
          <w:sz w:val="14"/>
          <w:szCs w:val="14"/>
        </w:rPr>
        <w:t>uente: INEGI.</w:t>
      </w:r>
    </w:p>
    <w:p w14:paraId="500CB8B5" w14:textId="0C4974B0" w:rsidR="005F3878" w:rsidRPr="007E6F86" w:rsidRDefault="00E919A1" w:rsidP="00236A0F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-2"/>
          <w:sz w:val="20"/>
          <w:szCs w:val="20"/>
        </w:rPr>
      </w:pPr>
      <w:r w:rsidRPr="007E6F86">
        <w:rPr>
          <w:rFonts w:asciiTheme="minorHAnsi" w:hAnsiTheme="minorHAnsi" w:cstheme="minorHAnsi"/>
          <w:spacing w:val="-2"/>
          <w:sz w:val="20"/>
          <w:szCs w:val="20"/>
        </w:rPr>
        <w:lastRenderedPageBreak/>
        <w:t>A tasa</w:t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anual</w:t>
      </w:r>
      <w:r w:rsidR="00C26542" w:rsidRPr="007E6F86">
        <w:rPr>
          <w:rStyle w:val="Refdenotaalpie"/>
          <w:rFonts w:asciiTheme="minorHAnsi" w:hAnsiTheme="minorHAnsi" w:cstheme="minorHAnsi"/>
          <w:spacing w:val="-2"/>
          <w:sz w:val="20"/>
          <w:szCs w:val="20"/>
        </w:rPr>
        <w:footnoteReference w:id="4"/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personal ocupado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B4F9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se 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>acrecen</w:t>
      </w:r>
      <w:r w:rsidR="00AB4F9D" w:rsidRPr="007E6F86">
        <w:rPr>
          <w:rFonts w:asciiTheme="minorHAnsi" w:hAnsiTheme="minorHAnsi" w:cstheme="minorHAnsi"/>
          <w:spacing w:val="-2"/>
          <w:sz w:val="20"/>
          <w:szCs w:val="20"/>
        </w:rPr>
        <w:t>tó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>0.8</w:t>
      </w:r>
      <w:r w:rsidR="00864D40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18105D">
        <w:rPr>
          <w:rFonts w:asciiTheme="minorHAnsi" w:hAnsiTheme="minorHAnsi" w:cstheme="minorHAnsi"/>
          <w:spacing w:val="-2"/>
          <w:sz w:val="20"/>
          <w:szCs w:val="20"/>
        </w:rPr>
        <w:t>,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remuneraciones medias reales subieron 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>4.1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 xml:space="preserve"> y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horas trabajadas 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>0.3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% </w:t>
      </w:r>
      <w:r w:rsidR="00F3274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durante </w:t>
      </w:r>
      <w:r w:rsidR="00C50082">
        <w:rPr>
          <w:rFonts w:asciiTheme="minorHAnsi" w:hAnsiTheme="minorHAnsi" w:cstheme="minorHAnsi"/>
          <w:spacing w:val="-2"/>
          <w:sz w:val="20"/>
          <w:szCs w:val="20"/>
        </w:rPr>
        <w:t>noviem</w:t>
      </w:r>
      <w:r w:rsidR="007E6F86" w:rsidRPr="007E6F86">
        <w:rPr>
          <w:rFonts w:asciiTheme="minorHAnsi" w:hAnsiTheme="minorHAnsi" w:cstheme="minorHAnsi"/>
          <w:spacing w:val="-2"/>
          <w:sz w:val="20"/>
          <w:szCs w:val="20"/>
        </w:rPr>
        <w:t>bre de</w:t>
      </w:r>
      <w:r w:rsidR="00C50082">
        <w:rPr>
          <w:rFonts w:asciiTheme="minorHAnsi" w:hAnsiTheme="minorHAnsi" w:cstheme="minorHAnsi"/>
          <w:spacing w:val="-2"/>
          <w:sz w:val="20"/>
          <w:szCs w:val="20"/>
        </w:rPr>
        <w:t xml:space="preserve"> 2019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5160177" w14:textId="77777777" w:rsidTr="003C0CEF">
        <w:trPr>
          <w:jc w:val="center"/>
        </w:trPr>
        <w:tc>
          <w:tcPr>
            <w:tcW w:w="4844" w:type="dxa"/>
          </w:tcPr>
          <w:p w14:paraId="1316C934" w14:textId="6218CE9D" w:rsidR="005F3878" w:rsidRPr="007E6F86" w:rsidRDefault="00C26542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Principales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Indicadores de 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nte</w:t>
            </w:r>
            <w:r w:rsidR="00A85A9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</w:p>
          <w:p w14:paraId="6C31945F" w14:textId="77777777" w:rsidR="005F3878" w:rsidRPr="007E6F86" w:rsidRDefault="00BE6659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ifras desestacionalizadas </w:t>
            </w:r>
          </w:p>
        </w:tc>
      </w:tr>
      <w:tr w:rsidR="007E6F86" w:rsidRPr="007E6F86" w14:paraId="69D10204" w14:textId="77777777" w:rsidTr="003C0CEF">
        <w:tblPrEx>
          <w:tblCellMar>
            <w:left w:w="70" w:type="dxa"/>
            <w:right w:w="70" w:type="dxa"/>
          </w:tblCellMar>
        </w:tblPrEx>
        <w:trPr>
          <w:trHeight w:val="2707"/>
          <w:jc w:val="center"/>
        </w:trPr>
        <w:tc>
          <w:tcPr>
            <w:tcW w:w="4844" w:type="dxa"/>
          </w:tcPr>
          <w:tbl>
            <w:tblPr>
              <w:tblStyle w:val="Tablaconcuadrcula"/>
              <w:tblpPr w:vertAnchor="text" w:horzAnchor="margin" w:tblpXSpec="center" w:tblpY="1"/>
              <w:tblOverlap w:val="never"/>
              <w:tblW w:w="48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952"/>
              <w:gridCol w:w="952"/>
            </w:tblGrid>
            <w:tr w:rsidR="007E6F86" w:rsidRPr="007E6F86" w14:paraId="1A40C318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842FCEE" w14:textId="77777777" w:rsidR="00BA6823" w:rsidRPr="007E6F86" w:rsidRDefault="00BA6823" w:rsidP="00CA45B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EE3A56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respecto al:</w:t>
                  </w:r>
                </w:p>
              </w:tc>
            </w:tr>
            <w:tr w:rsidR="007E6F86" w:rsidRPr="007E6F86" w14:paraId="632836CD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1893EFE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94276DB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 previo</w:t>
                  </w: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5D68E92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ismo mes del año anterior</w:t>
                  </w:r>
                </w:p>
              </w:tc>
            </w:tr>
            <w:tr w:rsidR="00212133" w:rsidRPr="007E6F86" w14:paraId="6EC418FA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CB466B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Personal Ocupado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93895" w14:textId="03FD8038" w:rsidR="00212133" w:rsidRPr="00212133" w:rsidRDefault="00212133" w:rsidP="00845B10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 w:rsidRPr="00212133">
                    <w:rPr>
                      <w:b/>
                      <w:bCs/>
                    </w:rPr>
                    <w:tab/>
                    <w:t>(</w:t>
                  </w:r>
                  <w:r w:rsidRPr="00212133">
                    <w:rPr>
                      <w:b/>
                      <w:bCs/>
                    </w:rPr>
                    <w:noBreakHyphen/>
                    <w:t>)</w:t>
                  </w:r>
                  <w:r w:rsidRPr="00212133">
                    <w:rPr>
                      <w:b/>
                      <w:bCs/>
                    </w:rPr>
                    <w:tab/>
                    <w:t>0.</w:t>
                  </w:r>
                  <w:r w:rsidR="00845B1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C916E" w14:textId="5BFA2E45" w:rsidR="00212133" w:rsidRPr="00212133" w:rsidRDefault="00845B10" w:rsidP="00845B1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0.8</w:t>
                  </w:r>
                </w:p>
              </w:tc>
            </w:tr>
            <w:tr w:rsidR="00212133" w:rsidRPr="007E6F86" w14:paraId="7F29B23F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3FF1DF0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2C686A" w14:textId="6EE5521E" w:rsidR="00212133" w:rsidRPr="00212133" w:rsidRDefault="00212133" w:rsidP="00845B10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 w:rsidRPr="00212133">
                    <w:tab/>
                    <w:t>(</w:t>
                  </w:r>
                  <w:r w:rsidRPr="00212133">
                    <w:rPr>
                      <w:b/>
                      <w:bCs/>
                    </w:rPr>
                    <w:noBreakHyphen/>
                  </w:r>
                  <w:r w:rsidRPr="00212133">
                    <w:t>)</w:t>
                  </w:r>
                  <w:r w:rsidRPr="00212133">
                    <w:tab/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BAE7775" w14:textId="4AD52C93" w:rsidR="00212133" w:rsidRPr="00845B10" w:rsidRDefault="00845B10" w:rsidP="00845B10">
                  <w:pPr>
                    <w:tabs>
                      <w:tab w:val="left" w:pos="208"/>
                      <w:tab w:val="decimal" w:pos="516"/>
                    </w:tabs>
                    <w:ind w:left="113"/>
                  </w:pPr>
                  <w:r>
                    <w:tab/>
                    <w:t>(</w:t>
                  </w:r>
                  <w:r>
                    <w:noBreakHyphen/>
                    <w:t>)</w:t>
                  </w:r>
                  <w:r>
                    <w:tab/>
                  </w:r>
                  <w:r w:rsidR="00212133" w:rsidRPr="00212133">
                    <w:t>0.2</w:t>
                  </w:r>
                </w:p>
              </w:tc>
            </w:tr>
            <w:tr w:rsidR="00212133" w:rsidRPr="007E6F86" w14:paraId="6E302D40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A8068E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10768A" w14:textId="7B08333A" w:rsidR="00212133" w:rsidRPr="00212133" w:rsidRDefault="00845B10" w:rsidP="00845B10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</w:t>
                  </w:r>
                  <w:r>
                    <w:noBreakHyphen/>
                    <w:t>)</w:t>
                  </w:r>
                  <w:r>
                    <w:tab/>
                  </w:r>
                  <w:r w:rsidR="00212133" w:rsidRPr="00212133">
                    <w:t>0.</w:t>
                  </w:r>
                  <w:r>
                    <w:t>8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A056D6" w14:textId="109FE828" w:rsidR="00212133" w:rsidRPr="00212133" w:rsidRDefault="00212133" w:rsidP="00845B1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 w:rsidRPr="00212133">
                    <w:t>1</w:t>
                  </w:r>
                  <w:r w:rsidR="00845B10">
                    <w:t>0.1</w:t>
                  </w:r>
                </w:p>
              </w:tc>
            </w:tr>
            <w:tr w:rsidR="00845B10" w:rsidRPr="007E6F86" w14:paraId="1E90D777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944E477" w14:textId="77777777" w:rsidR="00845B10" w:rsidRPr="007E6F86" w:rsidRDefault="00845B10" w:rsidP="00845B1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Horas Trabajadas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2FD7894" w14:textId="72775D43" w:rsidR="00845B10" w:rsidRPr="00845B10" w:rsidRDefault="00845B10" w:rsidP="00845B1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 w:rsidRPr="00845B10">
                    <w:rPr>
                      <w:rFonts w:cstheme="minorHAnsi"/>
                      <w:b/>
                    </w:rPr>
                    <w:t>0.5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107AD52" w14:textId="40408E89" w:rsidR="00845B10" w:rsidRPr="00212133" w:rsidRDefault="00845B10" w:rsidP="00845B1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0.3</w:t>
                  </w:r>
                </w:p>
              </w:tc>
            </w:tr>
            <w:tr w:rsidR="00845B10" w:rsidRPr="007E6F86" w14:paraId="2E8FFC45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6BE4F" w14:textId="77777777" w:rsidR="00845B10" w:rsidRPr="007E6F86" w:rsidRDefault="00845B10" w:rsidP="00845B1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8DFA604" w14:textId="79973D2D" w:rsidR="00845B10" w:rsidRPr="00212133" w:rsidRDefault="00845B10" w:rsidP="00845B1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 w:rsidRPr="00845B10">
                    <w:rPr>
                      <w:rFonts w:cstheme="minorHAnsi"/>
                    </w:rPr>
                    <w:t>0.5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6F0CA5C" w14:textId="3AE1E923" w:rsidR="00845B10" w:rsidRPr="00212133" w:rsidRDefault="00845B10" w:rsidP="00845B10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rPr>
                      <w:color w:val="000000"/>
                    </w:rPr>
                    <w:tab/>
                    <w:t>(</w:t>
                  </w:r>
                  <w:r>
                    <w:rPr>
                      <w:color w:val="000000"/>
                    </w:rPr>
                    <w:noBreakHyphen/>
                    <w:t>)</w:t>
                  </w:r>
                  <w:r>
                    <w:rPr>
                      <w:color w:val="000000"/>
                    </w:rPr>
                    <w:tab/>
                    <w:t>1.0</w:t>
                  </w:r>
                </w:p>
              </w:tc>
            </w:tr>
            <w:tr w:rsidR="00845B10" w:rsidRPr="007E6F86" w14:paraId="0C819B1F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4CDBC87" w14:textId="77777777" w:rsidR="00845B10" w:rsidRPr="007E6F86" w:rsidRDefault="00845B10" w:rsidP="00845B1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3C6829A" w14:textId="29233FAA" w:rsidR="00845B10" w:rsidRPr="00212133" w:rsidRDefault="00845B10" w:rsidP="00845B1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 w:rsidRPr="00845B10">
                    <w:rPr>
                      <w:rFonts w:cstheme="minorHAnsi"/>
                    </w:rPr>
                    <w:t>1.6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8D1594" w14:textId="79AE72FA" w:rsidR="00845B10" w:rsidRPr="00845B10" w:rsidRDefault="00845B10" w:rsidP="00845B10">
                  <w:pPr>
                    <w:tabs>
                      <w:tab w:val="decimal" w:pos="516"/>
                    </w:tabs>
                    <w:ind w:left="113"/>
                  </w:pPr>
                  <w:r w:rsidRPr="00845B10">
                    <w:t>12.1</w:t>
                  </w:r>
                </w:p>
              </w:tc>
            </w:tr>
            <w:tr w:rsidR="00845B10" w:rsidRPr="007E6F86" w14:paraId="40CDE3D2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328AB42" w14:textId="77777777" w:rsidR="00845B10" w:rsidRPr="007E6F86" w:rsidRDefault="00845B10" w:rsidP="00845B1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Remuneraciones Medias Reales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A3EE941" w14:textId="5C623299" w:rsidR="00845B10" w:rsidRPr="00845B10" w:rsidRDefault="00845B10" w:rsidP="00845B1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 w:rsidRPr="00845B10">
                    <w:rPr>
                      <w:rFonts w:cstheme="minorHAnsi"/>
                      <w:b/>
                    </w:rPr>
                    <w:t>0.9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A873A21" w14:textId="1E055E43" w:rsidR="00845B10" w:rsidRPr="00845B10" w:rsidRDefault="00845B10" w:rsidP="00845B10">
                  <w:pPr>
                    <w:tabs>
                      <w:tab w:val="decimal" w:pos="516"/>
                    </w:tabs>
                    <w:ind w:left="113"/>
                    <w:rPr>
                      <w:b/>
                    </w:rPr>
                  </w:pPr>
                  <w:r w:rsidRPr="00845B10">
                    <w:rPr>
                      <w:b/>
                    </w:rPr>
                    <w:t>4.1</w:t>
                  </w:r>
                </w:p>
              </w:tc>
            </w:tr>
            <w:tr w:rsidR="00845B10" w:rsidRPr="007E6F86" w14:paraId="736A024B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9D558" w14:textId="77777777" w:rsidR="00845B10" w:rsidRPr="007E6F86" w:rsidRDefault="00845B10" w:rsidP="00845B1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6A5394" w14:textId="7D0B3B3E" w:rsidR="00845B10" w:rsidRPr="00212133" w:rsidRDefault="00845B10" w:rsidP="00845B1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 w:rsidRPr="00845B10">
                    <w:rPr>
                      <w:rFonts w:cstheme="minorHAnsi"/>
                    </w:rPr>
                    <w:t>0.6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1540F6" w14:textId="3BE365AB" w:rsidR="00845B10" w:rsidRPr="00845B10" w:rsidRDefault="00845B10" w:rsidP="00845B10">
                  <w:pPr>
                    <w:tabs>
                      <w:tab w:val="decimal" w:pos="516"/>
                    </w:tabs>
                    <w:ind w:left="113"/>
                  </w:pPr>
                  <w:r w:rsidRPr="00845B10">
                    <w:t>4.0</w:t>
                  </w:r>
                </w:p>
              </w:tc>
            </w:tr>
            <w:tr w:rsidR="00845B10" w:rsidRPr="007E6F86" w14:paraId="26F6CA5D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E6EAC9" w14:textId="77777777" w:rsidR="00845B10" w:rsidRPr="007E6F86" w:rsidRDefault="00845B10" w:rsidP="00845B1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69C9FE74" w14:textId="70C40AF5" w:rsidR="00845B10" w:rsidRPr="00212133" w:rsidRDefault="00845B10" w:rsidP="00845B1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 w:rsidRPr="00845B10">
                    <w:rPr>
                      <w:rFonts w:cstheme="minorHAnsi"/>
                    </w:rPr>
                    <w:t>1.2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339564" w14:textId="1842FBF0" w:rsidR="00845B10" w:rsidRPr="00845B10" w:rsidRDefault="00845B10" w:rsidP="00845B10">
                  <w:pPr>
                    <w:tabs>
                      <w:tab w:val="decimal" w:pos="516"/>
                    </w:tabs>
                    <w:ind w:left="113"/>
                  </w:pPr>
                  <w:r w:rsidRPr="00845B10">
                    <w:t>6.8</w:t>
                  </w:r>
                </w:p>
              </w:tc>
            </w:tr>
          </w:tbl>
          <w:p w14:paraId="64BE0BA1" w14:textId="77777777" w:rsidR="005F3878" w:rsidRPr="007E6F86" w:rsidRDefault="005F3878" w:rsidP="00BE6659">
            <w:pPr>
              <w:ind w:left="-42"/>
              <w:jc w:val="both"/>
              <w:rPr>
                <w:rFonts w:cstheme="minorHAnsi"/>
              </w:rPr>
            </w:pPr>
          </w:p>
        </w:tc>
      </w:tr>
    </w:tbl>
    <w:p w14:paraId="12474E30" w14:textId="77777777" w:rsidR="00242E61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serie desestacionalizada de los agregados se calcula de manera independiente a la de sus componentes.</w:t>
      </w:r>
    </w:p>
    <w:p w14:paraId="548F4F25" w14:textId="77777777" w:rsidR="005F3878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</w:t>
      </w:r>
      <w:r w:rsidRPr="007E6F86">
        <w:rPr>
          <w:rFonts w:cstheme="minorHAnsi"/>
          <w:sz w:val="14"/>
          <w:szCs w:val="14"/>
        </w:rPr>
        <w:tab/>
      </w:r>
      <w:r w:rsidR="005F3878" w:rsidRPr="007E6F86">
        <w:rPr>
          <w:rFonts w:cstheme="minorHAnsi"/>
          <w:sz w:val="14"/>
          <w:szCs w:val="14"/>
        </w:rPr>
        <w:t>INEGI.</w:t>
      </w:r>
    </w:p>
    <w:p w14:paraId="18DC11C4" w14:textId="77777777" w:rsidR="009815E0" w:rsidRPr="007E6F86" w:rsidRDefault="00BA3C98" w:rsidP="00236A0F">
      <w:pPr>
        <w:pStyle w:val="Textoindependiente"/>
        <w:spacing w:before="840" w:after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Anexo de c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 xml:space="preserve">ifras </w:t>
      </w:r>
      <w:r w:rsidRPr="007E6F86">
        <w:rPr>
          <w:rFonts w:asciiTheme="minorHAnsi" w:hAnsiTheme="minorHAnsi" w:cstheme="minorHAnsi"/>
          <w:b/>
          <w:sz w:val="22"/>
          <w:szCs w:val="20"/>
        </w:rPr>
        <w:t>o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>riginales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9DAB35F" w14:textId="77777777" w:rsidTr="005D12C6">
        <w:tc>
          <w:tcPr>
            <w:tcW w:w="4844" w:type="dxa"/>
          </w:tcPr>
          <w:p w14:paraId="4DA23F14" w14:textId="463E98C2" w:rsidR="003D60B2" w:rsidRPr="007E6F86" w:rsidRDefault="003D60B2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los Establecimientos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IMMEX </w:t>
            </w:r>
            <w:r w:rsidR="00BE665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por entidad federativa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durante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DB470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45AC8EA" w14:textId="77777777" w:rsidR="003D60B2" w:rsidRPr="007E6F86" w:rsidRDefault="003D60B2" w:rsidP="00462CB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312292CD" w14:textId="77777777" w:rsidTr="00445738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261FE861" w14:textId="3BC01920" w:rsidR="003D60B2" w:rsidRPr="007E6F86" w:rsidRDefault="00445738" w:rsidP="00CA45B4">
            <w:pPr>
              <w:ind w:left="-68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EBCAACE" wp14:editId="353B93B3">
                  <wp:extent cx="3042000" cy="2160000"/>
                  <wp:effectExtent l="0" t="0" r="25400" b="12065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66699D8" w14:textId="77777777" w:rsidR="003D60B2" w:rsidRPr="007E6F86" w:rsidRDefault="003D60B2" w:rsidP="003D60B2">
      <w:pPr>
        <w:spacing w:after="0" w:line="18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79289F00" w14:textId="77777777" w:rsidR="003A2CC9" w:rsidRPr="007E6F86" w:rsidRDefault="003D60B2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668B14C" w14:textId="77777777" w:rsidR="003A2CC9" w:rsidRPr="007E6F86" w:rsidRDefault="003A2CC9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</w:p>
    <w:tbl>
      <w:tblPr>
        <w:tblStyle w:val="Tablaconcuadrcula"/>
        <w:tblW w:w="4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2E56CB28" w14:textId="77777777" w:rsidTr="008618B8">
        <w:trPr>
          <w:jc w:val="center"/>
        </w:trPr>
        <w:tc>
          <w:tcPr>
            <w:tcW w:w="4844" w:type="dxa"/>
          </w:tcPr>
          <w:p w14:paraId="19667279" w14:textId="69009555" w:rsidR="00661F02" w:rsidRPr="007E6F86" w:rsidRDefault="003A2CC9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Personal Ocupado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16BA9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</w:t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</w:p>
          <w:p w14:paraId="0A4258D6" w14:textId="77777777" w:rsidR="00661F02" w:rsidRPr="007E6F86" w:rsidRDefault="00661F02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(Variación porcentual respecto al mismo mes de un año antes)</w:t>
            </w:r>
          </w:p>
        </w:tc>
      </w:tr>
      <w:tr w:rsidR="007E6F86" w:rsidRPr="007E6F86" w14:paraId="25926582" w14:textId="77777777" w:rsidTr="0044573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844" w:type="dxa"/>
            <w:vAlign w:val="center"/>
          </w:tcPr>
          <w:p w14:paraId="52BC86F6" w14:textId="5B22D79D" w:rsidR="00661F02" w:rsidRPr="007E6F86" w:rsidRDefault="00DB1D0E" w:rsidP="0055210F">
            <w:pPr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41466" wp14:editId="735F617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1980565</wp:posOffset>
                      </wp:positionV>
                      <wp:extent cx="162560" cy="178435"/>
                      <wp:effectExtent l="0" t="0" r="0" b="0"/>
                      <wp:wrapNone/>
                      <wp:docPr id="2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560" cy="178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16267" w14:textId="77777777" w:rsidR="00845B10" w:rsidRPr="004E4BA3" w:rsidRDefault="00845B10" w:rsidP="00B90F3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A3">
                                    <w:rPr>
                                      <w:rFonts w:asciiTheme="minorHAnsi" w:hAnsi="Calibri" w:cs="Arial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  <w:vertAlign w:val="superscript"/>
                                    </w:rPr>
                                    <w:t>p/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numCol="1" spc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466" id="5 Rectángulo" o:spid="_x0000_s1026" style="position:absolute;left:0;text-align:left;margin-left:20.4pt;margin-top:155.95pt;width:12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" filled="f" stroked="f" strokeweight="2pt">
                      <v:path arrowok="t"/>
                      <v:textbox inset="1mm,1mm,1mm,1mm">
                        <w:txbxContent>
                          <w:p w14:paraId="44D16267" w14:textId="77777777" w:rsidR="00845B10" w:rsidRPr="004E4BA3" w:rsidRDefault="00845B10" w:rsidP="00B90F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4E4BA3">
                              <w:rPr>
                                <w:rFonts w:asciiTheme="minorHAnsi" w:hAnsi="Calibri" w:cs="Arial"/>
                                <w:color w:val="000000"/>
                                <w:position w:val="4"/>
                                <w:sz w:val="16"/>
                                <w:szCs w:val="16"/>
                                <w:vertAlign w:val="superscript"/>
                              </w:rPr>
                              <w:t>p/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738">
              <w:rPr>
                <w:noProof/>
                <w:lang w:eastAsia="es-MX"/>
              </w:rPr>
              <w:drawing>
                <wp:inline distT="0" distB="0" distL="0" distR="0" wp14:anchorId="3AB6DE2F" wp14:editId="7941DF82">
                  <wp:extent cx="3042000" cy="2160000"/>
                  <wp:effectExtent l="0" t="0" r="25400" b="12065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C4CF368" w14:textId="77777777" w:rsidR="00661F02" w:rsidRPr="007E6F86" w:rsidRDefault="0092682F" w:rsidP="00381D68">
      <w:pPr>
        <w:spacing w:after="0" w:line="180" w:lineRule="exact"/>
        <w:ind w:left="284" w:right="17" w:hanging="159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</w:t>
      </w:r>
      <w:r w:rsidR="00403C1A" w:rsidRPr="007E6F86">
        <w:rPr>
          <w:rFonts w:cstheme="minorHAnsi"/>
          <w:sz w:val="14"/>
          <w:szCs w:val="14"/>
        </w:rPr>
        <w:t xml:space="preserve"> a partir del </w:t>
      </w:r>
      <w:r w:rsidR="00FB6027" w:rsidRPr="007E6F86">
        <w:rPr>
          <w:rFonts w:cstheme="minorHAnsi"/>
          <w:sz w:val="14"/>
          <w:szCs w:val="14"/>
        </w:rPr>
        <w:t>año</w:t>
      </w:r>
      <w:r w:rsidR="00403C1A" w:rsidRPr="007E6F86">
        <w:rPr>
          <w:rFonts w:cstheme="minorHAnsi"/>
          <w:sz w:val="14"/>
          <w:szCs w:val="14"/>
        </w:rPr>
        <w:t xml:space="preserve"> que se indica</w:t>
      </w:r>
      <w:r w:rsidRPr="007E6F86">
        <w:rPr>
          <w:rFonts w:cstheme="minorHAnsi"/>
          <w:sz w:val="14"/>
          <w:szCs w:val="14"/>
        </w:rPr>
        <w:t>.</w:t>
      </w:r>
    </w:p>
    <w:p w14:paraId="2F22CC0D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7377F51" w14:textId="77777777" w:rsidTr="0090208B">
        <w:tc>
          <w:tcPr>
            <w:tcW w:w="4844" w:type="dxa"/>
          </w:tcPr>
          <w:p w14:paraId="64FADE85" w14:textId="4E163282" w:rsidR="0090208B" w:rsidRPr="007E6F86" w:rsidRDefault="0090208B" w:rsidP="00C50082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Personal Ocupado según condición de contratación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durante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FB318C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0C2EA4F4" w14:textId="77777777" w:rsidTr="0090208B">
        <w:tc>
          <w:tcPr>
            <w:tcW w:w="4844" w:type="dxa"/>
          </w:tcPr>
          <w:tbl>
            <w:tblPr>
              <w:tblStyle w:val="Tablaconcuadrcula"/>
              <w:tblpPr w:leftFromText="142" w:rightFromText="142" w:vertAnchor="text" w:horzAnchor="margin" w:tblpY="35"/>
              <w:tblOverlap w:val="never"/>
              <w:tblW w:w="498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986"/>
              <w:gridCol w:w="876"/>
            </w:tblGrid>
            <w:tr w:rsidR="007E6F86" w:rsidRPr="007E6F86" w14:paraId="58CDBC98" w14:textId="77777777" w:rsidTr="00A94112">
              <w:trPr>
                <w:cantSplit/>
                <w:trHeight w:val="231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1C0896" w14:textId="77777777" w:rsidR="0090208B" w:rsidRPr="007E6F86" w:rsidRDefault="0090208B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Condición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9824B3F" w14:textId="77777777" w:rsidR="0090208B" w:rsidRPr="007E6F86" w:rsidRDefault="0090208B" w:rsidP="009A5C09">
                  <w:pPr>
                    <w:pStyle w:val="Textoindependiente"/>
                    <w:keepNext/>
                    <w:keepLines/>
                    <w:spacing w:line="16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Personas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68D60F6" w14:textId="77777777" w:rsidR="0090208B" w:rsidRPr="007E6F86" w:rsidRDefault="0090208B" w:rsidP="00DE78CB">
                  <w:pPr>
                    <w:pStyle w:val="Textoindependiente"/>
                    <w:keepNext/>
                    <w:keepLines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643AF2" w:rsidRPr="007E6F86" w14:paraId="3CA6E119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C8FD64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8" w:firstLine="41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4ADCDEE" w14:textId="23B9661B" w:rsidR="00643AF2" w:rsidRPr="00332D0E" w:rsidRDefault="00643AF2" w:rsidP="00643AF2">
                  <w:pPr>
                    <w:tabs>
                      <w:tab w:val="decimal" w:pos="787"/>
                    </w:tabs>
                    <w:rPr>
                      <w:b/>
                      <w:bCs/>
                      <w:u w:val="single"/>
                    </w:rPr>
                  </w:pPr>
                  <w:r w:rsidRPr="00332D0E">
                    <w:rPr>
                      <w:b/>
                      <w:bCs/>
                      <w:u w:val="single"/>
                    </w:rPr>
                    <w:t>3,039,542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AC1ECD1" w14:textId="762C3B3F" w:rsidR="00643AF2" w:rsidRPr="00332D0E" w:rsidRDefault="00643AF2" w:rsidP="00643AF2">
                  <w:pPr>
                    <w:tabs>
                      <w:tab w:val="decimal" w:pos="465"/>
                    </w:tabs>
                    <w:rPr>
                      <w:b/>
                      <w:bCs/>
                      <w:u w:val="single"/>
                    </w:rPr>
                  </w:pPr>
                  <w:r w:rsidRPr="00332D0E">
                    <w:rPr>
                      <w:b/>
                      <w:bCs/>
                      <w:u w:val="single"/>
                    </w:rPr>
                    <w:t>0.7</w:t>
                  </w:r>
                </w:p>
              </w:tc>
            </w:tr>
            <w:tr w:rsidR="00643AF2" w:rsidRPr="007E6F86" w14:paraId="386C81E0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164762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BD6980" w14:textId="3924A81C" w:rsidR="00643AF2" w:rsidRPr="00332D0E" w:rsidRDefault="00643AF2" w:rsidP="00643AF2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>2,705,810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850061" w14:textId="79CB7199" w:rsidR="00643AF2" w:rsidRPr="00332D0E" w:rsidRDefault="00643AF2" w:rsidP="00332D0E">
                  <w:pPr>
                    <w:tabs>
                      <w:tab w:val="left" w:pos="165"/>
                      <w:tab w:val="decimal" w:pos="465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ab/>
                    <w:t>(</w:t>
                  </w:r>
                  <w:r w:rsidR="00332D0E">
                    <w:rPr>
                      <w:b/>
                      <w:bCs/>
                    </w:rPr>
                    <w:noBreakHyphen/>
                  </w:r>
                  <w:r w:rsidRPr="00332D0E">
                    <w:rPr>
                      <w:b/>
                      <w:bCs/>
                    </w:rPr>
                    <w:t>)</w:t>
                  </w:r>
                  <w:r w:rsidRPr="00332D0E">
                    <w:rPr>
                      <w:b/>
                      <w:bCs/>
                    </w:rPr>
                    <w:tab/>
                    <w:t>0.3</w:t>
                  </w:r>
                </w:p>
              </w:tc>
            </w:tr>
            <w:tr w:rsidR="00643AF2" w:rsidRPr="007E6F86" w14:paraId="4400A317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BF32EF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Contratado por el establecimiento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311DC63" w14:textId="5AA06366" w:rsidR="00643AF2" w:rsidRPr="00332D0E" w:rsidRDefault="00643AF2" w:rsidP="00643AF2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>2,170,713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F40621C" w14:textId="12B132C0" w:rsidR="00643AF2" w:rsidRPr="00332D0E" w:rsidRDefault="00643AF2" w:rsidP="00643AF2">
                  <w:pPr>
                    <w:tabs>
                      <w:tab w:val="decimal" w:pos="465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>0.5</w:t>
                  </w:r>
                </w:p>
              </w:tc>
            </w:tr>
            <w:tr w:rsidR="00643AF2" w:rsidRPr="007E6F86" w14:paraId="638A6B01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7D8ECE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6DC72CA" w14:textId="6F0F8F44" w:rsidR="00643AF2" w:rsidRPr="00332D0E" w:rsidRDefault="00643AF2" w:rsidP="00643AF2">
                  <w:pPr>
                    <w:tabs>
                      <w:tab w:val="decimal" w:pos="787"/>
                    </w:tabs>
                  </w:pPr>
                  <w:r w:rsidRPr="00332D0E">
                    <w:t>1,849,270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22C962F" w14:textId="406D1C4F" w:rsidR="00643AF2" w:rsidRPr="00332D0E" w:rsidRDefault="00643AF2" w:rsidP="00643AF2">
                  <w:pPr>
                    <w:tabs>
                      <w:tab w:val="decimal" w:pos="465"/>
                    </w:tabs>
                  </w:pPr>
                  <w:r w:rsidRPr="00332D0E">
                    <w:t>0.2</w:t>
                  </w:r>
                </w:p>
              </w:tc>
            </w:tr>
            <w:tr w:rsidR="00643AF2" w:rsidRPr="007E6F86" w14:paraId="20361197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037EEB6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CDA4CC" w14:textId="2209A8E8" w:rsidR="00643AF2" w:rsidRPr="00332D0E" w:rsidRDefault="00643AF2" w:rsidP="00643AF2">
                  <w:pPr>
                    <w:tabs>
                      <w:tab w:val="decimal" w:pos="787"/>
                    </w:tabs>
                  </w:pPr>
                  <w:r w:rsidRPr="00332D0E">
                    <w:t>321,443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837D012" w14:textId="3A97DCAC" w:rsidR="00643AF2" w:rsidRPr="00332D0E" w:rsidRDefault="00643AF2" w:rsidP="00643AF2">
                  <w:pPr>
                    <w:tabs>
                      <w:tab w:val="decimal" w:pos="465"/>
                    </w:tabs>
                  </w:pPr>
                  <w:r w:rsidRPr="00332D0E">
                    <w:t>2.2</w:t>
                  </w:r>
                </w:p>
              </w:tc>
            </w:tr>
            <w:tr w:rsidR="00643AF2" w:rsidRPr="007E6F86" w14:paraId="4C135BC1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54D9988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Subcontratado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07E1C8" w14:textId="782FAACF" w:rsidR="00643AF2" w:rsidRPr="00332D0E" w:rsidRDefault="00643AF2" w:rsidP="00643AF2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>535,097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6D744C" w14:textId="4247855D" w:rsidR="00643AF2" w:rsidRPr="00332D0E" w:rsidRDefault="00643AF2" w:rsidP="00643AF2">
                  <w:pPr>
                    <w:tabs>
                      <w:tab w:val="left" w:pos="165"/>
                      <w:tab w:val="decimal" w:pos="465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ab/>
                    <w:t>(</w:t>
                  </w:r>
                  <w:r w:rsidR="00332D0E">
                    <w:rPr>
                      <w:b/>
                      <w:bCs/>
                    </w:rPr>
                    <w:noBreakHyphen/>
                  </w:r>
                  <w:r w:rsidRPr="00332D0E">
                    <w:rPr>
                      <w:b/>
                      <w:bCs/>
                    </w:rPr>
                    <w:t>)</w:t>
                  </w:r>
                  <w:r w:rsidRPr="00332D0E">
                    <w:rPr>
                      <w:b/>
                      <w:bCs/>
                    </w:rPr>
                    <w:tab/>
                    <w:t>3.4</w:t>
                  </w:r>
                </w:p>
              </w:tc>
            </w:tr>
            <w:tr w:rsidR="00643AF2" w:rsidRPr="007E6F86" w14:paraId="407C328B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B3D448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6E3877B" w14:textId="5524F72F" w:rsidR="00643AF2" w:rsidRPr="00332D0E" w:rsidRDefault="00643AF2" w:rsidP="00643AF2">
                  <w:pPr>
                    <w:tabs>
                      <w:tab w:val="decimal" w:pos="787"/>
                    </w:tabs>
                  </w:pPr>
                  <w:r w:rsidRPr="00332D0E">
                    <w:t>419,019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D12B70" w14:textId="7FA5B52E" w:rsidR="00643AF2" w:rsidRPr="00332D0E" w:rsidRDefault="00643AF2" w:rsidP="00643AF2">
                  <w:pPr>
                    <w:tabs>
                      <w:tab w:val="left" w:pos="165"/>
                      <w:tab w:val="decimal" w:pos="465"/>
                    </w:tabs>
                  </w:pPr>
                  <w:r w:rsidRPr="00332D0E">
                    <w:tab/>
                    <w:t>(</w:t>
                  </w:r>
                  <w:r w:rsidR="00332D0E">
                    <w:rPr>
                      <w:b/>
                      <w:bCs/>
                    </w:rPr>
                    <w:noBreakHyphen/>
                  </w:r>
                  <w:r w:rsidRPr="00332D0E">
                    <w:t>)</w:t>
                  </w:r>
                  <w:r w:rsidRPr="00332D0E">
                    <w:tab/>
                    <w:t>4.6</w:t>
                  </w:r>
                </w:p>
              </w:tc>
            </w:tr>
            <w:tr w:rsidR="00643AF2" w:rsidRPr="007E6F86" w14:paraId="32DDBCFC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7ABC394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37AF0BE" w14:textId="2774F82B" w:rsidR="00643AF2" w:rsidRPr="00332D0E" w:rsidRDefault="00643AF2" w:rsidP="00643AF2">
                  <w:pPr>
                    <w:tabs>
                      <w:tab w:val="decimal" w:pos="787"/>
                    </w:tabs>
                  </w:pPr>
                  <w:r w:rsidRPr="00332D0E">
                    <w:t>116,078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E7252C2" w14:textId="295A3843" w:rsidR="00643AF2" w:rsidRPr="00332D0E" w:rsidRDefault="00643AF2" w:rsidP="00643AF2">
                  <w:pPr>
                    <w:tabs>
                      <w:tab w:val="decimal" w:pos="465"/>
                    </w:tabs>
                  </w:pPr>
                  <w:r w:rsidRPr="00332D0E">
                    <w:t>1.1</w:t>
                  </w:r>
                </w:p>
              </w:tc>
            </w:tr>
            <w:tr w:rsidR="00643AF2" w:rsidRPr="007E6F86" w14:paraId="34415D69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FA7E796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76C4FBD" w14:textId="2E9F199B" w:rsidR="00643AF2" w:rsidRPr="00332D0E" w:rsidRDefault="00643AF2" w:rsidP="00643AF2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>2,705,810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3BF561" w14:textId="57D645A2" w:rsidR="00643AF2" w:rsidRPr="00332D0E" w:rsidRDefault="00643AF2" w:rsidP="00643AF2">
                  <w:pPr>
                    <w:tabs>
                      <w:tab w:val="left" w:pos="165"/>
                      <w:tab w:val="decimal" w:pos="465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ab/>
                    <w:t>(</w:t>
                  </w:r>
                  <w:r w:rsidR="00332D0E">
                    <w:rPr>
                      <w:b/>
                      <w:bCs/>
                    </w:rPr>
                    <w:noBreakHyphen/>
                  </w:r>
                  <w:r w:rsidRPr="00332D0E">
                    <w:rPr>
                      <w:b/>
                      <w:bCs/>
                    </w:rPr>
                    <w:t>)</w:t>
                  </w:r>
                  <w:r w:rsidRPr="00332D0E">
                    <w:rPr>
                      <w:b/>
                      <w:bCs/>
                    </w:rPr>
                    <w:tab/>
                    <w:t>0.3</w:t>
                  </w:r>
                </w:p>
              </w:tc>
            </w:tr>
            <w:tr w:rsidR="00643AF2" w:rsidRPr="007E6F86" w14:paraId="37902F30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A95072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C80144E" w14:textId="3320DA8B" w:rsidR="00643AF2" w:rsidRPr="00332D0E" w:rsidRDefault="00643AF2" w:rsidP="00643AF2">
                  <w:pPr>
                    <w:tabs>
                      <w:tab w:val="decimal" w:pos="787"/>
                    </w:tabs>
                  </w:pPr>
                  <w:r w:rsidRPr="00332D0E">
                    <w:t>2,268,289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97EDF2" w14:textId="2C7BAFA6" w:rsidR="00643AF2" w:rsidRPr="00332D0E" w:rsidRDefault="00643AF2" w:rsidP="00643AF2">
                  <w:pPr>
                    <w:tabs>
                      <w:tab w:val="left" w:pos="165"/>
                      <w:tab w:val="decimal" w:pos="465"/>
                    </w:tabs>
                  </w:pPr>
                  <w:r w:rsidRPr="00332D0E">
                    <w:tab/>
                    <w:t>(</w:t>
                  </w:r>
                  <w:r w:rsidR="00332D0E">
                    <w:rPr>
                      <w:b/>
                      <w:bCs/>
                    </w:rPr>
                    <w:noBreakHyphen/>
                  </w:r>
                  <w:r w:rsidRPr="00332D0E">
                    <w:t>)</w:t>
                  </w:r>
                  <w:r w:rsidRPr="00332D0E">
                    <w:tab/>
                    <w:t>0.7</w:t>
                  </w:r>
                </w:p>
              </w:tc>
            </w:tr>
            <w:tr w:rsidR="00643AF2" w:rsidRPr="007E6F86" w14:paraId="3643B0FF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6F08D9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B34075" w14:textId="3B18486A" w:rsidR="00643AF2" w:rsidRPr="00332D0E" w:rsidRDefault="00643AF2" w:rsidP="00643AF2">
                  <w:pPr>
                    <w:tabs>
                      <w:tab w:val="decimal" w:pos="787"/>
                    </w:tabs>
                  </w:pPr>
                  <w:r w:rsidRPr="00332D0E">
                    <w:t>437,521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BC70E3" w14:textId="43D05A53" w:rsidR="00643AF2" w:rsidRPr="00332D0E" w:rsidRDefault="00643AF2" w:rsidP="00643AF2">
                  <w:pPr>
                    <w:tabs>
                      <w:tab w:val="decimal" w:pos="465"/>
                    </w:tabs>
                  </w:pPr>
                  <w:r w:rsidRPr="00332D0E">
                    <w:t>1.9</w:t>
                  </w:r>
                </w:p>
              </w:tc>
            </w:tr>
            <w:tr w:rsidR="00643AF2" w:rsidRPr="007E6F86" w14:paraId="5FFB02B4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E9FC47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7480213B" w14:textId="68E84BF9" w:rsidR="00643AF2" w:rsidRPr="00332D0E" w:rsidRDefault="00643AF2" w:rsidP="00643AF2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>333,732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87D4C8" w14:textId="43D61D2F" w:rsidR="00643AF2" w:rsidRPr="00332D0E" w:rsidRDefault="00643AF2" w:rsidP="00643AF2">
                  <w:pPr>
                    <w:tabs>
                      <w:tab w:val="decimal" w:pos="465"/>
                    </w:tabs>
                    <w:rPr>
                      <w:b/>
                      <w:bCs/>
                    </w:rPr>
                  </w:pPr>
                  <w:r w:rsidRPr="00332D0E">
                    <w:rPr>
                      <w:b/>
                      <w:bCs/>
                    </w:rPr>
                    <w:t>9.6</w:t>
                  </w:r>
                </w:p>
              </w:tc>
            </w:tr>
          </w:tbl>
          <w:p w14:paraId="3BA38B95" w14:textId="77777777" w:rsidR="0090208B" w:rsidRPr="007E6F86" w:rsidRDefault="0090208B" w:rsidP="0090208B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7AE59A" w14:textId="77777777" w:rsidR="0092682F" w:rsidRPr="007E6F86" w:rsidRDefault="0092682F" w:rsidP="00381D68">
      <w:pPr>
        <w:spacing w:after="0" w:line="180" w:lineRule="exact"/>
        <w:ind w:left="284" w:right="17" w:hanging="15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  <w:position w:val="-2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29C7314B" w14:textId="77777777" w:rsidR="00381D68" w:rsidRPr="007E6F86" w:rsidRDefault="00381D68" w:rsidP="003A2CC9">
      <w:pPr>
        <w:spacing w:after="24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DF71365" w14:textId="77777777" w:rsidTr="000E713A">
        <w:tc>
          <w:tcPr>
            <w:tcW w:w="4844" w:type="dxa"/>
          </w:tcPr>
          <w:p w14:paraId="59BAD6E6" w14:textId="75ED1DC9" w:rsidR="00A96075" w:rsidRPr="007E6F86" w:rsidRDefault="00A96075" w:rsidP="005949A7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lastRenderedPageBreak/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del Personal Ocupado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>en los establecimientos con programa IMMEX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por entidad federativa </w:t>
            </w:r>
            <w:r w:rsidR="00E530A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bre</w:t>
            </w:r>
            <w:r w:rsidR="003E146B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C47376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FD3086C" w14:textId="77777777" w:rsidR="00A96075" w:rsidRPr="007E6F86" w:rsidRDefault="00A96075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22DC2D97" w14:textId="77777777" w:rsidTr="00445738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5AAFBC6B" w14:textId="7193EC9A" w:rsidR="00A96075" w:rsidRPr="007E6F86" w:rsidRDefault="00445738" w:rsidP="008618B8">
            <w:pPr>
              <w:ind w:left="-68"/>
              <w:jc w:val="both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5B21E43" wp14:editId="1B85F390">
                  <wp:extent cx="3042000" cy="2160000"/>
                  <wp:effectExtent l="0" t="0" r="25400" b="12065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3CDAFBA" w14:textId="77777777" w:rsidR="006A463D" w:rsidRPr="007E6F86" w:rsidRDefault="006A463D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="00D01836" w:rsidRPr="007E6F86">
        <w:rPr>
          <w:rFonts w:cstheme="minorHAnsi"/>
          <w:sz w:val="14"/>
          <w:szCs w:val="14"/>
        </w:rPr>
        <w:t>Cifras preliminares.</w:t>
      </w:r>
    </w:p>
    <w:p w14:paraId="34DB636A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B3ACC7E" w14:textId="77777777" w:rsidTr="00BE2D4D">
        <w:trPr>
          <w:jc w:val="right"/>
        </w:trPr>
        <w:tc>
          <w:tcPr>
            <w:tcW w:w="4842" w:type="dxa"/>
          </w:tcPr>
          <w:p w14:paraId="5F81A243" w14:textId="5ABEA8DA" w:rsidR="00E441B8" w:rsidRPr="007E6F86" w:rsidRDefault="00E441B8" w:rsidP="00C50082">
            <w:pPr>
              <w:pStyle w:val="Textoindependiente"/>
              <w:keepNext/>
              <w:keepLines/>
              <w:spacing w:after="40"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y Remuneraciones Medias Reales 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FC07E3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bre</w:t>
            </w:r>
            <w:r w:rsidR="00BB6E77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91413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7D4EA024" w14:textId="77777777" w:rsidTr="00390B63">
        <w:trPr>
          <w:trHeight w:val="4212"/>
          <w:jc w:val="right"/>
        </w:trPr>
        <w:tc>
          <w:tcPr>
            <w:tcW w:w="4842" w:type="dxa"/>
          </w:tcPr>
          <w:tbl>
            <w:tblPr>
              <w:tblStyle w:val="Tablaconcuadrcula"/>
              <w:tblW w:w="4997" w:type="pct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725"/>
              <w:gridCol w:w="713"/>
            </w:tblGrid>
            <w:tr w:rsidR="007E6F86" w:rsidRPr="007E6F86" w14:paraId="0C8EC3BC" w14:textId="77777777" w:rsidTr="00DE78CB"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9C3C3AE" w14:textId="77777777" w:rsidR="00E441B8" w:rsidRPr="007E6F86" w:rsidRDefault="00E441B8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Condición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636D61C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80" w:right="-100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Miles de </w:t>
                  </w:r>
                  <w:r w:rsidR="00D978E3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h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oras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0C0B93A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48" w:right="-43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Variación % </w:t>
                  </w:r>
                  <w:r w:rsidR="0039219B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a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nual</w:t>
                  </w:r>
                </w:p>
              </w:tc>
            </w:tr>
            <w:tr w:rsidR="00643AF2" w:rsidRPr="007E6F86" w14:paraId="6BC0A2BD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BF7B8B8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Horas Trabajadas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76583D" w14:textId="033A54F0" w:rsidR="00643AF2" w:rsidRPr="00643AF2" w:rsidRDefault="00643AF2" w:rsidP="00332D0E">
                  <w:pPr>
                    <w:tabs>
                      <w:tab w:val="decimal" w:pos="562"/>
                    </w:tabs>
                    <w:rPr>
                      <w:b/>
                      <w:bCs/>
                      <w:u w:val="single"/>
                    </w:rPr>
                  </w:pPr>
                  <w:r w:rsidRPr="00643AF2">
                    <w:rPr>
                      <w:b/>
                      <w:bCs/>
                      <w:u w:val="single"/>
                    </w:rPr>
                    <w:t>580,459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C23FD7E" w14:textId="5C87BA95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  <w:u w:val="single"/>
                    </w:rPr>
                  </w:pPr>
                  <w:r w:rsidRPr="001904C0">
                    <w:rPr>
                      <w:b/>
                      <w:bCs/>
                    </w:rPr>
                    <w:tab/>
                  </w:r>
                  <w:r w:rsidRPr="00914138">
                    <w:rPr>
                      <w:b/>
                      <w:bCs/>
                    </w:rPr>
                    <w:t>(</w:t>
                  </w:r>
                  <w:r w:rsidR="00332D0E" w:rsidRPr="00914138">
                    <w:rPr>
                      <w:b/>
                      <w:bCs/>
                    </w:rPr>
                    <w:noBreakHyphen/>
                  </w:r>
                  <w:r w:rsidRPr="00914138">
                    <w:rPr>
                      <w:b/>
                      <w:bCs/>
                    </w:rPr>
                    <w:t>)</w:t>
                  </w:r>
                  <w:r w:rsidRPr="001904C0">
                    <w:rPr>
                      <w:b/>
                      <w:bCs/>
                    </w:rPr>
                    <w:tab/>
                  </w:r>
                  <w:r w:rsidRPr="00643AF2">
                    <w:rPr>
                      <w:b/>
                      <w:bCs/>
                      <w:u w:val="single"/>
                    </w:rPr>
                    <w:t>2.3</w:t>
                  </w:r>
                </w:p>
              </w:tc>
            </w:tr>
            <w:tr w:rsidR="00643AF2" w:rsidRPr="007E6F86" w14:paraId="7D873F89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300FF0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E05DF4" w14:textId="30A48DFA" w:rsidR="00643AF2" w:rsidRPr="00643AF2" w:rsidRDefault="00643AF2" w:rsidP="00332D0E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 w:rsidRPr="00643AF2">
                    <w:rPr>
                      <w:b/>
                      <w:bCs/>
                    </w:rPr>
                    <w:t>515,306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812578" w14:textId="1EA85DB5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</w:t>
                  </w:r>
                  <w:r w:rsidR="00332D0E" w:rsidRPr="00332D0E">
                    <w:rPr>
                      <w:b/>
                      <w:bCs/>
                    </w:rPr>
                    <w:noBreakHyphen/>
                  </w:r>
                  <w:r>
                    <w:rPr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</w:rPr>
                    <w:tab/>
                  </w:r>
                  <w:r w:rsidRPr="00643AF2">
                    <w:rPr>
                      <w:b/>
                      <w:bCs/>
                    </w:rPr>
                    <w:t>3.8</w:t>
                  </w:r>
                </w:p>
              </w:tc>
            </w:tr>
            <w:tr w:rsidR="00643AF2" w:rsidRPr="007E6F86" w14:paraId="713AE626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9D6DE5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contratado directamente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A8DBF3C" w14:textId="690F8198" w:rsidR="00643AF2" w:rsidRPr="00643AF2" w:rsidRDefault="00643AF2" w:rsidP="00332D0E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 w:rsidRPr="00643AF2">
                    <w:rPr>
                      <w:b/>
                      <w:bCs/>
                    </w:rPr>
                    <w:t>409,570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EE40DC" w14:textId="5B5B36B5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</w:t>
                  </w:r>
                  <w:r w:rsidR="00332D0E" w:rsidRPr="00332D0E">
                    <w:rPr>
                      <w:b/>
                      <w:bCs/>
                    </w:rPr>
                    <w:noBreakHyphen/>
                  </w:r>
                  <w:r>
                    <w:rPr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</w:rPr>
                    <w:tab/>
                  </w:r>
                  <w:r w:rsidRPr="00643AF2">
                    <w:rPr>
                      <w:b/>
                      <w:bCs/>
                    </w:rPr>
                    <w:t>3.5</w:t>
                  </w:r>
                </w:p>
              </w:tc>
            </w:tr>
            <w:tr w:rsidR="00643AF2" w:rsidRPr="007E6F86" w14:paraId="25EC8304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B9C42C7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4BAB99D" w14:textId="13E3BD91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346,873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A6F9678" w14:textId="0393FC17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</w:t>
                  </w:r>
                  <w:r w:rsidR="00332D0E" w:rsidRPr="00332D0E">
                    <w:rPr>
                      <w:b/>
                      <w:bCs/>
                    </w:rPr>
                    <w:noBreakHyphen/>
                  </w:r>
                  <w:r>
                    <w:t>)</w:t>
                  </w:r>
                  <w:r>
                    <w:tab/>
                  </w:r>
                  <w:r w:rsidRPr="00643AF2">
                    <w:t>4.1</w:t>
                  </w:r>
                </w:p>
              </w:tc>
            </w:tr>
            <w:tr w:rsidR="00643AF2" w:rsidRPr="007E6F86" w14:paraId="30CAACC7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6AE905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97A6A58" w14:textId="324DC3C5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62,697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4E5975" w14:textId="47202A7B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</w:t>
                  </w:r>
                  <w:r w:rsidR="00332D0E" w:rsidRPr="00332D0E">
                    <w:rPr>
                      <w:b/>
                      <w:bCs/>
                    </w:rPr>
                    <w:noBreakHyphen/>
                  </w:r>
                  <w:r>
                    <w:t>)</w:t>
                  </w:r>
                  <w:r>
                    <w:tab/>
                  </w:r>
                  <w:r w:rsidRPr="00643AF2">
                    <w:t>0.5</w:t>
                  </w:r>
                </w:p>
              </w:tc>
            </w:tr>
            <w:tr w:rsidR="00643AF2" w:rsidRPr="007E6F86" w14:paraId="3601C684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A532EE0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subcontratado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43A2663" w14:textId="1EAE1AB6" w:rsidR="00643AF2" w:rsidRPr="00643AF2" w:rsidRDefault="00643AF2" w:rsidP="00332D0E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 w:rsidRPr="00643AF2">
                    <w:rPr>
                      <w:b/>
                      <w:bCs/>
                    </w:rPr>
                    <w:t>105,736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5DF63BB" w14:textId="2009DBCF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</w:t>
                  </w:r>
                  <w:r w:rsidR="00332D0E" w:rsidRPr="00332D0E">
                    <w:rPr>
                      <w:b/>
                      <w:bCs/>
                    </w:rPr>
                    <w:noBreakHyphen/>
                  </w:r>
                  <w:r>
                    <w:rPr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</w:rPr>
                    <w:tab/>
                  </w:r>
                  <w:r w:rsidRPr="00643AF2">
                    <w:rPr>
                      <w:b/>
                      <w:bCs/>
                    </w:rPr>
                    <w:t>4.7</w:t>
                  </w:r>
                </w:p>
              </w:tc>
            </w:tr>
            <w:tr w:rsidR="00643AF2" w:rsidRPr="007E6F86" w14:paraId="22A7C147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2977A9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AE09A10" w14:textId="40652448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82,703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832177" w14:textId="63AB34F9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</w:t>
                  </w:r>
                  <w:r w:rsidR="00332D0E" w:rsidRPr="00332D0E">
                    <w:rPr>
                      <w:b/>
                      <w:bCs/>
                    </w:rPr>
                    <w:noBreakHyphen/>
                  </w:r>
                  <w:r>
                    <w:t>)</w:t>
                  </w:r>
                  <w:r>
                    <w:tab/>
                  </w:r>
                  <w:r w:rsidRPr="00643AF2">
                    <w:t>6.2</w:t>
                  </w:r>
                </w:p>
              </w:tc>
            </w:tr>
            <w:tr w:rsidR="00643AF2" w:rsidRPr="007E6F86" w14:paraId="70811CE4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AE7B9D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C90010" w14:textId="43AE83C1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23,033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145155" w14:textId="640FF18B" w:rsidR="00643AF2" w:rsidRPr="00643AF2" w:rsidRDefault="00643AF2" w:rsidP="00332D0E">
                  <w:pPr>
                    <w:tabs>
                      <w:tab w:val="decimal" w:pos="340"/>
                    </w:tabs>
                  </w:pPr>
                  <w:r w:rsidRPr="00643AF2">
                    <w:t>1.3</w:t>
                  </w:r>
                </w:p>
              </w:tc>
            </w:tr>
            <w:tr w:rsidR="00643AF2" w:rsidRPr="007E6F86" w14:paraId="04CEDFAF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243E5010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5924BC2" w14:textId="1E7AD74D" w:rsidR="00643AF2" w:rsidRPr="00643AF2" w:rsidRDefault="00643AF2" w:rsidP="00332D0E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 w:rsidRPr="00643AF2">
                    <w:rPr>
                      <w:b/>
                      <w:bCs/>
                    </w:rPr>
                    <w:t>515,306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8711210" w14:textId="3D4BDE33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</w:t>
                  </w:r>
                  <w:r w:rsidR="00332D0E" w:rsidRPr="00332D0E">
                    <w:rPr>
                      <w:b/>
                      <w:bCs/>
                    </w:rPr>
                    <w:noBreakHyphen/>
                  </w:r>
                  <w:r>
                    <w:rPr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</w:rPr>
                    <w:tab/>
                  </w:r>
                  <w:r w:rsidRPr="00643AF2">
                    <w:rPr>
                      <w:b/>
                      <w:bCs/>
                    </w:rPr>
                    <w:t>3.8</w:t>
                  </w:r>
                </w:p>
              </w:tc>
            </w:tr>
            <w:tr w:rsidR="00643AF2" w:rsidRPr="007E6F86" w14:paraId="0D607787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F67F752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287C7DA" w14:textId="0C343659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429,576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E0ABF7A" w14:textId="2B4C264D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</w:t>
                  </w:r>
                  <w:r w:rsidR="00332D0E" w:rsidRPr="00332D0E">
                    <w:rPr>
                      <w:b/>
                      <w:bCs/>
                    </w:rPr>
                    <w:noBreakHyphen/>
                  </w:r>
                  <w:r>
                    <w:t>)</w:t>
                  </w:r>
                  <w:r>
                    <w:tab/>
                  </w:r>
                  <w:r w:rsidRPr="00643AF2">
                    <w:t>4.5</w:t>
                  </w:r>
                </w:p>
              </w:tc>
            </w:tr>
            <w:tr w:rsidR="00643AF2" w:rsidRPr="007E6F86" w14:paraId="3CFB6704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D61F1A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97416F7" w14:textId="6C153DE3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85,730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A1D87F" w14:textId="7EBA8237" w:rsidR="00643AF2" w:rsidRPr="00643AF2" w:rsidRDefault="00643AF2" w:rsidP="00332D0E">
                  <w:pPr>
                    <w:tabs>
                      <w:tab w:val="decimal" w:pos="340"/>
                    </w:tabs>
                  </w:pPr>
                  <w:r w:rsidRPr="00643AF2">
                    <w:t>0.0</w:t>
                  </w:r>
                </w:p>
              </w:tc>
            </w:tr>
            <w:tr w:rsidR="00643AF2" w:rsidRPr="007E6F86" w14:paraId="384EBC01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3ABC6FE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FFDBD23" w14:textId="4A410B32" w:rsidR="00643AF2" w:rsidRPr="00643AF2" w:rsidRDefault="00643AF2" w:rsidP="00332D0E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 w:rsidRPr="00643AF2">
                    <w:rPr>
                      <w:b/>
                      <w:bCs/>
                    </w:rPr>
                    <w:t>65,153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44DD0C5" w14:textId="7F639F81" w:rsidR="00643AF2" w:rsidRPr="00643AF2" w:rsidRDefault="00643AF2" w:rsidP="00332D0E">
                  <w:pPr>
                    <w:tabs>
                      <w:tab w:val="decimal" w:pos="340"/>
                    </w:tabs>
                    <w:rPr>
                      <w:b/>
                      <w:bCs/>
                    </w:rPr>
                  </w:pPr>
                  <w:r w:rsidRPr="00643AF2">
                    <w:rPr>
                      <w:b/>
                      <w:bCs/>
                    </w:rPr>
                    <w:t>10.6</w:t>
                  </w:r>
                </w:p>
              </w:tc>
            </w:tr>
            <w:tr w:rsidR="00643AF2" w:rsidRPr="007E6F86" w14:paraId="79177B9F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F8F532C" w14:textId="77777777" w:rsidR="00643AF2" w:rsidRPr="007E6F86" w:rsidRDefault="00643AF2" w:rsidP="00643AF2">
                  <w:pPr>
                    <w:spacing w:line="200" w:lineRule="exact"/>
                    <w:rPr>
                      <w:rFonts w:cstheme="minorHAnsi"/>
                      <w:b/>
                      <w:u w:val="single"/>
                    </w:rPr>
                  </w:pPr>
                  <w:r w:rsidRPr="007E6F86">
                    <w:rPr>
                      <w:rFonts w:cstheme="minorHAnsi"/>
                      <w:b/>
                      <w:u w:val="single"/>
                    </w:rPr>
                    <w:t>Remuneraciones Medias Reales*</w:t>
                  </w:r>
                  <w:r w:rsidRPr="007E6F86">
                    <w:rPr>
                      <w:rFonts w:cstheme="minorHAnsi"/>
                      <w:b/>
                      <w:u w:val="single"/>
                      <w:vertAlign w:val="superscript"/>
                    </w:rPr>
                    <w:t>/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768C88" w14:textId="6C86ECAB" w:rsidR="00643AF2" w:rsidRPr="00643AF2" w:rsidRDefault="00643AF2" w:rsidP="00332D0E">
                  <w:pPr>
                    <w:tabs>
                      <w:tab w:val="decimal" w:pos="562"/>
                    </w:tabs>
                    <w:rPr>
                      <w:b/>
                      <w:u w:val="single"/>
                    </w:rPr>
                  </w:pPr>
                  <w:r w:rsidRPr="00643AF2">
                    <w:rPr>
                      <w:b/>
                      <w:bCs/>
                      <w:u w:val="single"/>
                    </w:rPr>
                    <w:t>16,761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FA3D88" w14:textId="198E3398" w:rsidR="00643AF2" w:rsidRPr="00643AF2" w:rsidRDefault="00643AF2" w:rsidP="00332D0E">
                  <w:pPr>
                    <w:tabs>
                      <w:tab w:val="decimal" w:pos="340"/>
                    </w:tabs>
                    <w:rPr>
                      <w:b/>
                      <w:u w:val="single"/>
                    </w:rPr>
                  </w:pPr>
                  <w:r w:rsidRPr="00643AF2">
                    <w:rPr>
                      <w:b/>
                      <w:bCs/>
                      <w:u w:val="single"/>
                    </w:rPr>
                    <w:t>1.7</w:t>
                  </w:r>
                </w:p>
              </w:tc>
            </w:tr>
            <w:tr w:rsidR="00643AF2" w:rsidRPr="007E6F86" w14:paraId="7ABBB459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EE6E49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9B32C" w14:textId="53DB8230" w:rsidR="00643AF2" w:rsidRPr="00643AF2" w:rsidRDefault="00643AF2" w:rsidP="00332D0E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 w:rsidRPr="00643AF2">
                    <w:rPr>
                      <w:b/>
                      <w:bCs/>
                    </w:rPr>
                    <w:t>16,865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2B71DC" w14:textId="53429933" w:rsidR="00643AF2" w:rsidRPr="00643AF2" w:rsidRDefault="00643AF2" w:rsidP="00332D0E">
                  <w:pPr>
                    <w:tabs>
                      <w:tab w:val="decimal" w:pos="340"/>
                    </w:tabs>
                    <w:rPr>
                      <w:b/>
                    </w:rPr>
                  </w:pPr>
                  <w:r w:rsidRPr="00643AF2">
                    <w:rPr>
                      <w:b/>
                      <w:bCs/>
                    </w:rPr>
                    <w:t>1.5</w:t>
                  </w:r>
                </w:p>
              </w:tc>
            </w:tr>
            <w:tr w:rsidR="00643AF2" w:rsidRPr="007E6F86" w14:paraId="1AF52936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E02B9B7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Salarios pagados a 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99B5868" w14:textId="2FBEB4F5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9,294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79B46B9" w14:textId="6853B4FD" w:rsidR="00643AF2" w:rsidRPr="00643AF2" w:rsidRDefault="00643AF2" w:rsidP="00332D0E">
                  <w:pPr>
                    <w:tabs>
                      <w:tab w:val="decimal" w:pos="340"/>
                    </w:tabs>
                  </w:pPr>
                  <w:r w:rsidRPr="00643AF2">
                    <w:t>0.9</w:t>
                  </w:r>
                </w:p>
              </w:tc>
            </w:tr>
            <w:tr w:rsidR="00643AF2" w:rsidRPr="007E6F86" w14:paraId="61553B7A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3AB5CA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 w:right="-99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Sueldos pagados a 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5CD090" w14:textId="08BB3052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29,376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8B9F769" w14:textId="05DC9E7C" w:rsidR="00643AF2" w:rsidRPr="00643AF2" w:rsidRDefault="00643AF2" w:rsidP="00332D0E">
                  <w:pPr>
                    <w:tabs>
                      <w:tab w:val="decimal" w:pos="340"/>
                    </w:tabs>
                  </w:pPr>
                  <w:r w:rsidRPr="00643AF2">
                    <w:t>0.1</w:t>
                  </w:r>
                </w:p>
              </w:tc>
            </w:tr>
            <w:tr w:rsidR="00643AF2" w:rsidRPr="007E6F86" w14:paraId="39BF5D9B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D7AA56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 w:right="-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Contribuciones patronales a la seguridad social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5AE781C" w14:textId="748DF90F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2,590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42C654" w14:textId="4D65C747" w:rsidR="00643AF2" w:rsidRPr="00643AF2" w:rsidRDefault="00643AF2" w:rsidP="00332D0E">
                  <w:pPr>
                    <w:tabs>
                      <w:tab w:val="decimal" w:pos="340"/>
                    </w:tabs>
                  </w:pPr>
                  <w:r w:rsidRPr="00643AF2">
                    <w:t>6.0</w:t>
                  </w:r>
                </w:p>
              </w:tc>
            </w:tr>
            <w:tr w:rsidR="00643AF2" w:rsidRPr="007E6F86" w14:paraId="03216A2D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76DC05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Prestaciones sociales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E3AE6A" w14:textId="522C53B8" w:rsidR="00643AF2" w:rsidRPr="00643AF2" w:rsidRDefault="00643AF2" w:rsidP="00332D0E">
                  <w:pPr>
                    <w:tabs>
                      <w:tab w:val="decimal" w:pos="562"/>
                    </w:tabs>
                  </w:pPr>
                  <w:r w:rsidRPr="00643AF2">
                    <w:t>2,007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0A7096C" w14:textId="1D3586D3" w:rsidR="00643AF2" w:rsidRPr="00643AF2" w:rsidRDefault="00643AF2" w:rsidP="00332D0E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</w:t>
                  </w:r>
                  <w:r w:rsidR="00332D0E" w:rsidRPr="00332D0E">
                    <w:rPr>
                      <w:b/>
                      <w:bCs/>
                    </w:rPr>
                    <w:noBreakHyphen/>
                  </w:r>
                  <w:r>
                    <w:t>)</w:t>
                  </w:r>
                  <w:r>
                    <w:tab/>
                  </w:r>
                  <w:r w:rsidRPr="00643AF2">
                    <w:t>1.3</w:t>
                  </w:r>
                </w:p>
              </w:tc>
            </w:tr>
            <w:tr w:rsidR="00643AF2" w:rsidRPr="007E6F86" w14:paraId="61DCA4E1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F2F014" w14:textId="77777777" w:rsidR="00643AF2" w:rsidRPr="007E6F86" w:rsidRDefault="00643AF2" w:rsidP="00643AF2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09F0FDCC" w14:textId="5BA68AB8" w:rsidR="00643AF2" w:rsidRPr="00643AF2" w:rsidRDefault="00643AF2" w:rsidP="00332D0E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 w:rsidRPr="00643AF2">
                    <w:rPr>
                      <w:b/>
                      <w:bCs/>
                    </w:rPr>
                    <w:t>15,658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52D02" w14:textId="589C8015" w:rsidR="00643AF2" w:rsidRPr="00643AF2" w:rsidRDefault="00643AF2" w:rsidP="00332D0E">
                  <w:pPr>
                    <w:tabs>
                      <w:tab w:val="decimal" w:pos="340"/>
                    </w:tabs>
                    <w:rPr>
                      <w:b/>
                      <w:bCs/>
                    </w:rPr>
                  </w:pPr>
                  <w:r w:rsidRPr="00643AF2">
                    <w:rPr>
                      <w:b/>
                      <w:bCs/>
                    </w:rPr>
                    <w:t>5.2</w:t>
                  </w:r>
                </w:p>
              </w:tc>
            </w:tr>
          </w:tbl>
          <w:p w14:paraId="68AE2F04" w14:textId="77777777" w:rsidR="00E441B8" w:rsidRPr="007E6F86" w:rsidRDefault="00E441B8" w:rsidP="004B3CA6">
            <w:pPr>
              <w:spacing w:line="220" w:lineRule="exact"/>
              <w:rPr>
                <w:rFonts w:cstheme="minorHAnsi"/>
              </w:rPr>
            </w:pPr>
          </w:p>
        </w:tc>
      </w:tr>
    </w:tbl>
    <w:p w14:paraId="4C62704D" w14:textId="6F9A2FAE" w:rsidR="00263481" w:rsidRPr="007E6F86" w:rsidRDefault="00E441B8" w:rsidP="008D07A4">
      <w:pPr>
        <w:spacing w:after="0" w:line="140" w:lineRule="exact"/>
        <w:ind w:left="322" w:hanging="210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</w:rPr>
        <w:t>*</w:t>
      </w:r>
      <w:r w:rsidRPr="007E6F86">
        <w:rPr>
          <w:rFonts w:cstheme="minorHAnsi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 xml:space="preserve">Corresponden al personal ocupado que se contrata directamente, no incluye al personal subcontratado. Pesos </w:t>
      </w:r>
      <w:r w:rsidR="003918C5" w:rsidRPr="007E6F86">
        <w:rPr>
          <w:rFonts w:cstheme="minorHAnsi"/>
          <w:sz w:val="14"/>
          <w:szCs w:val="14"/>
        </w:rPr>
        <w:t xml:space="preserve">mensuales </w:t>
      </w:r>
      <w:r w:rsidR="00F1167E" w:rsidRPr="007E6F86">
        <w:rPr>
          <w:rFonts w:cstheme="minorHAnsi"/>
          <w:sz w:val="14"/>
          <w:szCs w:val="14"/>
        </w:rPr>
        <w:t>por persona</w:t>
      </w:r>
      <w:r w:rsidR="00723E0D" w:rsidRPr="007E6F86">
        <w:rPr>
          <w:rFonts w:cstheme="minorHAnsi"/>
          <w:sz w:val="14"/>
          <w:szCs w:val="14"/>
        </w:rPr>
        <w:t xml:space="preserve"> a precios de la segunda quincena de </w:t>
      </w:r>
      <w:r w:rsidR="005B22A6" w:rsidRPr="007E6F86">
        <w:rPr>
          <w:rFonts w:cstheme="minorHAnsi"/>
          <w:sz w:val="14"/>
          <w:szCs w:val="14"/>
        </w:rPr>
        <w:t xml:space="preserve">julio </w:t>
      </w:r>
      <w:r w:rsidR="00723E0D" w:rsidRPr="007E6F86">
        <w:rPr>
          <w:rFonts w:cstheme="minorHAnsi"/>
          <w:sz w:val="14"/>
          <w:szCs w:val="14"/>
        </w:rPr>
        <w:t>de 2018</w:t>
      </w:r>
      <w:r w:rsidR="008E71DB" w:rsidRPr="007E6F86">
        <w:rPr>
          <w:rFonts w:cstheme="minorHAnsi"/>
          <w:sz w:val="14"/>
          <w:szCs w:val="14"/>
        </w:rPr>
        <w:t>.</w:t>
      </w:r>
      <w:r w:rsidR="00263481" w:rsidRPr="007E6F86">
        <w:rPr>
          <w:rFonts w:cstheme="minorHAnsi"/>
          <w:position w:val="-2"/>
          <w:sz w:val="18"/>
          <w:szCs w:val="18"/>
          <w:vertAlign w:val="superscript"/>
        </w:rPr>
        <w:t xml:space="preserve"> </w:t>
      </w:r>
    </w:p>
    <w:p w14:paraId="777B111C" w14:textId="77777777" w:rsidR="00263481" w:rsidRPr="007E6F86" w:rsidRDefault="00263481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74C68E4" w14:textId="77777777" w:rsidR="000B6DF3" w:rsidRPr="007E6F86" w:rsidRDefault="00381D68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0B6B603" w14:textId="77777777" w:rsidTr="000E713A">
        <w:tc>
          <w:tcPr>
            <w:tcW w:w="4844" w:type="dxa"/>
          </w:tcPr>
          <w:p w14:paraId="5960C745" w14:textId="29F118D1" w:rsidR="00CF23F1" w:rsidRPr="007E6F86" w:rsidRDefault="000B6DF3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establecimientos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847A3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por entidad federativa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bre</w:t>
            </w:r>
            <w:r w:rsidR="00AF1A77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70C9971A" w14:textId="77777777" w:rsidR="00CF23F1" w:rsidRPr="007E6F86" w:rsidRDefault="00CF23F1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 w:rsidR="005D5413"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porcentual 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respecto al mismo mes de un año antes)</w:t>
            </w:r>
          </w:p>
        </w:tc>
      </w:tr>
      <w:tr w:rsidR="007E6F86" w:rsidRPr="007E6F86" w14:paraId="205A809C" w14:textId="77777777" w:rsidTr="00445738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C71446A" w14:textId="0B83D7BC" w:rsidR="00CF23F1" w:rsidRPr="007E6F86" w:rsidRDefault="00445738" w:rsidP="00445738">
            <w:pPr>
              <w:keepNext/>
              <w:keepLines/>
              <w:ind w:left="-68" w:right="-42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C3EA342" wp14:editId="36639EC4">
                  <wp:extent cx="3042000" cy="2160000"/>
                  <wp:effectExtent l="0" t="0" r="25400" b="1206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4B04A77B" w14:textId="77777777" w:rsidR="00381D68" w:rsidRPr="007E6F86" w:rsidRDefault="00381D68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0C99E61D" w14:textId="77777777" w:rsidR="003A2CC9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  <w:r w:rsidR="00A33240" w:rsidRPr="007E6F86">
        <w:rPr>
          <w:noProof/>
          <w:lang w:eastAsia="es-MX"/>
        </w:rPr>
        <w:t xml:space="preserve"> </w:t>
      </w:r>
    </w:p>
    <w:tbl>
      <w:tblPr>
        <w:tblStyle w:val="Tablaconcuadrcula"/>
        <w:tblW w:w="4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C8598ED" w14:textId="77777777" w:rsidTr="00BE2D4D">
        <w:tc>
          <w:tcPr>
            <w:tcW w:w="4842" w:type="dxa"/>
          </w:tcPr>
          <w:p w14:paraId="071DA481" w14:textId="183FEABA" w:rsidR="00E441B8" w:rsidRPr="007E6F86" w:rsidRDefault="003A2CC9" w:rsidP="00D3260A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465467" w:rsidRPr="007E6F86">
              <w:br w:type="column"/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Ingresos de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establecimientos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durante </w:t>
            </w:r>
            <w:proofErr w:type="spellStart"/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noviem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proofErr w:type="spellEnd"/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  <w:p w14:paraId="173CA4A9" w14:textId="77777777" w:rsidR="00E441B8" w:rsidRPr="007E6F86" w:rsidRDefault="00E441B8" w:rsidP="00B93F1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asciiTheme="minorHAnsi" w:hAnsiTheme="minorHAnsi" w:cstheme="minorHAnsi"/>
                <w:sz w:val="16"/>
                <w:szCs w:val="16"/>
              </w:rPr>
              <w:t>(Millones de pesos corrientes)</w:t>
            </w:r>
          </w:p>
        </w:tc>
      </w:tr>
      <w:tr w:rsidR="007E6F86" w:rsidRPr="007E6F86" w14:paraId="35570CE7" w14:textId="77777777" w:rsidTr="00BE2D4D">
        <w:tc>
          <w:tcPr>
            <w:tcW w:w="4842" w:type="dxa"/>
          </w:tcPr>
          <w:tbl>
            <w:tblPr>
              <w:tblStyle w:val="Tablaconcuadrcula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810"/>
              <w:gridCol w:w="810"/>
              <w:gridCol w:w="693"/>
              <w:gridCol w:w="693"/>
            </w:tblGrid>
            <w:tr w:rsidR="007E6F86" w:rsidRPr="007E6F86" w14:paraId="093DCEC9" w14:textId="77777777" w:rsidTr="00C55D64">
              <w:trPr>
                <w:trHeight w:val="314"/>
              </w:trPr>
              <w:tc>
                <w:tcPr>
                  <w:tcW w:w="1806" w:type="dxa"/>
                  <w:vMerge w:val="restart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C48720B" w14:textId="77777777" w:rsidR="00847A3D" w:rsidRPr="007E6F86" w:rsidRDefault="00847A3D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Ingresos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24C07CF" w14:textId="77777777" w:rsidR="00847A3D" w:rsidRPr="007E6F86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9D454C2" w14:textId="77777777" w:rsidR="00847A3D" w:rsidRPr="007E6F86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1C4780A" w14:textId="77777777" w:rsidR="00847A3D" w:rsidRPr="007E6F86" w:rsidRDefault="009A5C09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Estructura </w:t>
                  </w:r>
                  <w:r w:rsidR="00847A3D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porcentual</w:t>
                  </w:r>
                </w:p>
              </w:tc>
            </w:tr>
            <w:tr w:rsidR="007E6F86" w:rsidRPr="007E6F86" w14:paraId="2C67658D" w14:textId="77777777" w:rsidTr="00DE78CB">
              <w:trPr>
                <w:trHeight w:val="232"/>
              </w:trPr>
              <w:tc>
                <w:tcPr>
                  <w:tcW w:w="1806" w:type="dxa"/>
                  <w:vMerge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3329C82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67AAF680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24BF6D16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EC89DA3" w14:textId="77777777" w:rsidR="00E441B8" w:rsidRPr="007E6F86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1545C57" w14:textId="77777777" w:rsidR="00E441B8" w:rsidRPr="007E6F86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</w:tr>
            <w:tr w:rsidR="00643AF2" w:rsidRPr="007E6F86" w14:paraId="6599D804" w14:textId="77777777" w:rsidTr="00643AF2">
              <w:trPr>
                <w:trHeight w:val="227"/>
              </w:trPr>
              <w:tc>
                <w:tcPr>
                  <w:tcW w:w="1806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5AF93F0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CB1D21" w14:textId="69F2A07B" w:rsidR="00643AF2" w:rsidRPr="00643AF2" w:rsidRDefault="00643AF2" w:rsidP="00643AF2">
                  <w:pPr>
                    <w:tabs>
                      <w:tab w:val="decimal" w:pos="549"/>
                    </w:tabs>
                    <w:rPr>
                      <w:b/>
                      <w:bCs/>
                    </w:rPr>
                  </w:pPr>
                  <w:r w:rsidRPr="00643AF2">
                    <w:rPr>
                      <w:b/>
                      <w:bCs/>
                    </w:rPr>
                    <w:t>479,839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  <w:vAlign w:val="center"/>
                </w:tcPr>
                <w:p w14:paraId="0A2944A5" w14:textId="4BB3787F" w:rsidR="00643AF2" w:rsidRPr="00643AF2" w:rsidRDefault="00643AF2" w:rsidP="00643AF2">
                  <w:pPr>
                    <w:tabs>
                      <w:tab w:val="decimal" w:pos="551"/>
                    </w:tabs>
                    <w:rPr>
                      <w:b/>
                      <w:bCs/>
                    </w:rPr>
                  </w:pPr>
                  <w:r w:rsidRPr="00643AF2">
                    <w:rPr>
                      <w:b/>
                      <w:bCs/>
                    </w:rPr>
                    <w:t>466,468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C3B369F" w14:textId="0AC8B088" w:rsidR="00643AF2" w:rsidRPr="007E6F86" w:rsidRDefault="00643AF2" w:rsidP="00643AF2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 w:rsidRPr="007E6F86">
                    <w:rPr>
                      <w:b/>
                      <w:bCs/>
                    </w:rPr>
                    <w:t>100.0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nil"/>
                  </w:tcBorders>
                  <w:vAlign w:val="center"/>
                </w:tcPr>
                <w:p w14:paraId="36AB52F2" w14:textId="5298ADA8" w:rsidR="00643AF2" w:rsidRPr="007E6F86" w:rsidRDefault="00643AF2" w:rsidP="00643AF2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 w:rsidRPr="007E6F86">
                    <w:rPr>
                      <w:b/>
                      <w:bCs/>
                    </w:rPr>
                    <w:t>100.0</w:t>
                  </w:r>
                </w:p>
              </w:tc>
            </w:tr>
            <w:tr w:rsidR="00643AF2" w:rsidRPr="007E6F86" w14:paraId="3CF3AD97" w14:textId="77777777" w:rsidTr="00643AF2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A0103F1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401235E" w14:textId="27B9E87D" w:rsidR="00643AF2" w:rsidRPr="00643AF2" w:rsidRDefault="00643AF2" w:rsidP="00643AF2">
                  <w:pPr>
                    <w:tabs>
                      <w:tab w:val="decimal" w:pos="549"/>
                    </w:tabs>
                  </w:pPr>
                  <w:r w:rsidRPr="00643AF2">
                    <w:t>454,301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AB6BFC9" w14:textId="29DC4C40" w:rsidR="00643AF2" w:rsidRPr="00643AF2" w:rsidRDefault="00643AF2" w:rsidP="00643AF2">
                  <w:pPr>
                    <w:tabs>
                      <w:tab w:val="decimal" w:pos="551"/>
                    </w:tabs>
                  </w:pPr>
                  <w:r w:rsidRPr="00643AF2">
                    <w:t>437,834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FE87EEC" w14:textId="4BB14695" w:rsidR="00643AF2" w:rsidRPr="00643AF2" w:rsidRDefault="00643AF2" w:rsidP="00643AF2">
                  <w:pPr>
                    <w:tabs>
                      <w:tab w:val="decimal" w:pos="272"/>
                    </w:tabs>
                  </w:pPr>
                  <w:r w:rsidRPr="00643AF2">
                    <w:t>94.7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155A1C12" w14:textId="3B2043C4" w:rsidR="00643AF2" w:rsidRPr="00643AF2" w:rsidRDefault="00643AF2" w:rsidP="00643AF2">
                  <w:pPr>
                    <w:tabs>
                      <w:tab w:val="decimal" w:pos="272"/>
                    </w:tabs>
                  </w:pPr>
                  <w:r w:rsidRPr="00643AF2">
                    <w:t>93.9</w:t>
                  </w:r>
                </w:p>
              </w:tc>
            </w:tr>
            <w:tr w:rsidR="00643AF2" w:rsidRPr="007E6F86" w14:paraId="037413AF" w14:textId="77777777" w:rsidTr="00643AF2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6B574588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 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E135DC8" w14:textId="79D24266" w:rsidR="00643AF2" w:rsidRPr="00643AF2" w:rsidRDefault="00643AF2" w:rsidP="00643AF2">
                  <w:pPr>
                    <w:tabs>
                      <w:tab w:val="decimal" w:pos="549"/>
                    </w:tabs>
                  </w:pPr>
                  <w:r w:rsidRPr="00643AF2">
                    <w:t>25,538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18018060" w14:textId="4633EA73" w:rsidR="00643AF2" w:rsidRPr="00643AF2" w:rsidRDefault="00643AF2" w:rsidP="00643AF2">
                  <w:pPr>
                    <w:tabs>
                      <w:tab w:val="decimal" w:pos="551"/>
                    </w:tabs>
                  </w:pPr>
                  <w:r w:rsidRPr="00643AF2">
                    <w:t>28,634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A697A1" w14:textId="77AF92C9" w:rsidR="00643AF2" w:rsidRPr="00643AF2" w:rsidRDefault="00643AF2" w:rsidP="00643AF2">
                  <w:pPr>
                    <w:tabs>
                      <w:tab w:val="decimal" w:pos="272"/>
                    </w:tabs>
                  </w:pPr>
                  <w:r w:rsidRPr="00643AF2">
                    <w:t>5.3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E13AA2B" w14:textId="674AB273" w:rsidR="00643AF2" w:rsidRPr="00643AF2" w:rsidRDefault="00643AF2" w:rsidP="00643AF2">
                  <w:pPr>
                    <w:tabs>
                      <w:tab w:val="decimal" w:pos="272"/>
                    </w:tabs>
                  </w:pPr>
                  <w:r w:rsidRPr="00643AF2">
                    <w:t>6.1</w:t>
                  </w:r>
                </w:p>
              </w:tc>
            </w:tr>
            <w:tr w:rsidR="00643AF2" w:rsidRPr="007E6F86" w14:paraId="4BED0B67" w14:textId="77777777" w:rsidTr="00332D0E">
              <w:trPr>
                <w:trHeight w:val="113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1723CEF5" w14:textId="77777777" w:rsidR="00643AF2" w:rsidRPr="007E6F86" w:rsidRDefault="00643AF2" w:rsidP="00643AF2">
                  <w:pPr>
                    <w:pStyle w:val="Textoindependiente"/>
                    <w:widowControl w:val="0"/>
                    <w:jc w:val="left"/>
                    <w:rPr>
                      <w:rFonts w:ascii="Calibri" w:hAnsi="Calibri"/>
                      <w:sz w:val="6"/>
                      <w:szCs w:val="1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C75130" w14:textId="52AB0FA5" w:rsidR="00643AF2" w:rsidRPr="00643AF2" w:rsidRDefault="00643AF2" w:rsidP="00332D0E">
                  <w:pPr>
                    <w:tabs>
                      <w:tab w:val="decimal" w:pos="549"/>
                    </w:tabs>
                    <w:rPr>
                      <w:sz w:val="6"/>
                    </w:rPr>
                  </w:pP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20828385" w14:textId="298207C6" w:rsidR="00643AF2" w:rsidRPr="00643AF2" w:rsidRDefault="00643AF2" w:rsidP="00332D0E">
                  <w:pPr>
                    <w:tabs>
                      <w:tab w:val="decimal" w:pos="551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FC3A11" w14:textId="23DB8FE3" w:rsidR="00643AF2" w:rsidRPr="00643AF2" w:rsidRDefault="00643AF2" w:rsidP="00332D0E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C4C7338" w14:textId="7C70F677" w:rsidR="00643AF2" w:rsidRPr="00643AF2" w:rsidRDefault="00643AF2" w:rsidP="00332D0E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</w:tr>
            <w:tr w:rsidR="00643AF2" w:rsidRPr="007E6F86" w14:paraId="3666F65C" w14:textId="77777777" w:rsidTr="00643AF2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FDB4329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nacional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9AC6670" w14:textId="19F312DB" w:rsidR="00643AF2" w:rsidRPr="00643AF2" w:rsidRDefault="00643AF2" w:rsidP="00643AF2">
                  <w:pPr>
                    <w:tabs>
                      <w:tab w:val="decimal" w:pos="549"/>
                    </w:tabs>
                  </w:pPr>
                  <w:r w:rsidRPr="00643AF2">
                    <w:t>189,132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5E2E221" w14:textId="0163FC52" w:rsidR="00643AF2" w:rsidRPr="00643AF2" w:rsidRDefault="00643AF2" w:rsidP="00643AF2">
                  <w:pPr>
                    <w:tabs>
                      <w:tab w:val="decimal" w:pos="551"/>
                    </w:tabs>
                  </w:pPr>
                  <w:r w:rsidRPr="00643AF2">
                    <w:t>177,696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C09E72D" w14:textId="00A8CC3E" w:rsidR="00643AF2" w:rsidRPr="00643AF2" w:rsidRDefault="00643AF2" w:rsidP="00643AF2">
                  <w:pPr>
                    <w:tabs>
                      <w:tab w:val="decimal" w:pos="272"/>
                    </w:tabs>
                  </w:pPr>
                  <w:r w:rsidRPr="00643AF2">
                    <w:t>39.4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32F6855C" w14:textId="0E46B3A4" w:rsidR="00643AF2" w:rsidRPr="00643AF2" w:rsidRDefault="00643AF2" w:rsidP="00643AF2">
                  <w:pPr>
                    <w:tabs>
                      <w:tab w:val="decimal" w:pos="272"/>
                    </w:tabs>
                  </w:pPr>
                  <w:r w:rsidRPr="00643AF2">
                    <w:t>38.1</w:t>
                  </w:r>
                </w:p>
              </w:tc>
            </w:tr>
            <w:tr w:rsidR="00643AF2" w:rsidRPr="007E6F86" w14:paraId="636B571D" w14:textId="77777777" w:rsidTr="00643AF2">
              <w:trPr>
                <w:trHeight w:val="227"/>
              </w:trPr>
              <w:tc>
                <w:tcPr>
                  <w:tcW w:w="1806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05FC64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extranjero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BB0616B" w14:textId="159C0380" w:rsidR="00643AF2" w:rsidRPr="00643AF2" w:rsidRDefault="00643AF2" w:rsidP="00643AF2">
                  <w:pPr>
                    <w:tabs>
                      <w:tab w:val="decimal" w:pos="549"/>
                    </w:tabs>
                  </w:pPr>
                  <w:r w:rsidRPr="00643AF2">
                    <w:t>290,707</w:t>
                  </w:r>
                </w:p>
              </w:tc>
              <w:tc>
                <w:tcPr>
                  <w:tcW w:w="810" w:type="dxa"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61E97" w14:textId="14441C19" w:rsidR="00643AF2" w:rsidRPr="00643AF2" w:rsidRDefault="00643AF2" w:rsidP="00643AF2">
                  <w:pPr>
                    <w:tabs>
                      <w:tab w:val="decimal" w:pos="551"/>
                    </w:tabs>
                  </w:pPr>
                  <w:r w:rsidRPr="00643AF2">
                    <w:t>288,772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2203CBB" w14:textId="749C62F4" w:rsidR="00643AF2" w:rsidRPr="00643AF2" w:rsidRDefault="00643AF2" w:rsidP="00643AF2">
                  <w:pPr>
                    <w:tabs>
                      <w:tab w:val="decimal" w:pos="272"/>
                    </w:tabs>
                  </w:pPr>
                  <w:r w:rsidRPr="00643AF2">
                    <w:t>60.6</w:t>
                  </w:r>
                </w:p>
              </w:tc>
              <w:tc>
                <w:tcPr>
                  <w:tcW w:w="693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49C69C69" w14:textId="77A05E6C" w:rsidR="00643AF2" w:rsidRPr="00643AF2" w:rsidRDefault="00643AF2" w:rsidP="00643AF2">
                  <w:pPr>
                    <w:tabs>
                      <w:tab w:val="decimal" w:pos="272"/>
                    </w:tabs>
                  </w:pPr>
                  <w:r w:rsidRPr="00643AF2">
                    <w:t>61.9</w:t>
                  </w:r>
                </w:p>
              </w:tc>
            </w:tr>
          </w:tbl>
          <w:p w14:paraId="27F9CDC0" w14:textId="77777777" w:rsidR="00E441B8" w:rsidRPr="007E6F86" w:rsidRDefault="00E441B8" w:rsidP="00634F4A">
            <w:pPr>
              <w:widowControl w:val="0"/>
              <w:spacing w:line="220" w:lineRule="exact"/>
              <w:rPr>
                <w:rFonts w:cstheme="minorHAnsi"/>
                <w:sz w:val="14"/>
                <w:szCs w:val="24"/>
              </w:rPr>
            </w:pPr>
          </w:p>
        </w:tc>
      </w:tr>
    </w:tbl>
    <w:p w14:paraId="6796BEB3" w14:textId="77777777" w:rsidR="00F87F18" w:rsidRPr="007E6F86" w:rsidRDefault="00F87F18" w:rsidP="00634F4A">
      <w:pPr>
        <w:widowControl w:val="0"/>
        <w:spacing w:after="0" w:line="140" w:lineRule="exact"/>
        <w:ind w:left="488" w:hanging="397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suma de los parciales puede no coincidir con el total debido al redondeo.</w:t>
      </w:r>
    </w:p>
    <w:p w14:paraId="1D1ECF7E" w14:textId="77777777" w:rsidR="00F87F18" w:rsidRPr="007E6F86" w:rsidRDefault="00F87F18" w:rsidP="00EA4962">
      <w:pPr>
        <w:widowControl w:val="0"/>
        <w:spacing w:after="0" w:line="140" w:lineRule="exact"/>
        <w:ind w:left="504" w:right="17" w:hanging="40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20ACEEB" w14:textId="77777777" w:rsidR="00381D68" w:rsidRPr="007E6F86" w:rsidRDefault="00381D68" w:rsidP="00EA4962">
      <w:pPr>
        <w:widowControl w:val="0"/>
        <w:spacing w:after="0" w:line="140" w:lineRule="exact"/>
        <w:ind w:left="250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33B0E56A" w14:textId="77777777" w:rsidR="000B5B31" w:rsidRPr="007E6F86" w:rsidRDefault="000B5B31" w:rsidP="00634F4A">
      <w:pPr>
        <w:widowControl w:val="0"/>
        <w:rPr>
          <w:rFonts w:cstheme="minorHAnsi"/>
          <w:sz w:val="20"/>
          <w:szCs w:val="20"/>
        </w:rPr>
      </w:pPr>
      <w:r w:rsidRPr="007E6F86">
        <w:rPr>
          <w:rFonts w:cstheme="minorHAnsi"/>
          <w:sz w:val="20"/>
          <w:szCs w:val="20"/>
        </w:rPr>
        <w:br w:type="page"/>
      </w:r>
    </w:p>
    <w:p w14:paraId="245DD765" w14:textId="77777777" w:rsidR="0053394E" w:rsidRPr="007E6F86" w:rsidRDefault="0053394E" w:rsidP="00B54A1F">
      <w:pPr>
        <w:spacing w:before="120" w:after="0" w:line="200" w:lineRule="exact"/>
        <w:jc w:val="both"/>
        <w:rPr>
          <w:rFonts w:cstheme="minorHAnsi"/>
          <w:sz w:val="20"/>
          <w:szCs w:val="20"/>
        </w:rPr>
      </w:pPr>
    </w:p>
    <w:p w14:paraId="3F1D06E6" w14:textId="77777777" w:rsidR="006A7474" w:rsidRPr="007E6F86" w:rsidRDefault="006A7474" w:rsidP="005C3E39">
      <w:pPr>
        <w:spacing w:before="80" w:after="0" w:line="200" w:lineRule="exact"/>
        <w:jc w:val="both"/>
        <w:rPr>
          <w:rFonts w:cstheme="minorHAnsi"/>
          <w:sz w:val="20"/>
          <w:szCs w:val="20"/>
        </w:rPr>
        <w:sectPr w:rsidR="006A7474" w:rsidRPr="007E6F86" w:rsidSect="00F76EA3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2381" w:right="1134" w:bottom="567" w:left="1134" w:header="567" w:footer="567" w:gutter="0"/>
          <w:cols w:num="2" w:space="284"/>
          <w:docGrid w:linePitch="360"/>
          <w15:footnoteColumns w:val="1"/>
        </w:sectPr>
      </w:pPr>
    </w:p>
    <w:p w14:paraId="579E6ACA" w14:textId="4ECB1C51" w:rsidR="00E91740" w:rsidRPr="0059397A" w:rsidRDefault="00EE66FD" w:rsidP="00B93F1A">
      <w:pPr>
        <w:spacing w:before="240" w:after="40" w:line="200" w:lineRule="exact"/>
        <w:jc w:val="center"/>
        <w:rPr>
          <w:rFonts w:cstheme="minorHAnsi"/>
          <w:b/>
          <w:smallCaps/>
          <w:position w:val="-2"/>
        </w:rPr>
      </w:pP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Composición por Subsector según principales Indicadores de los Establecimientos 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br/>
        <w:t xml:space="preserve">Manufactureros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 durante </w:t>
      </w:r>
      <w:r w:rsidR="00C50082">
        <w:rPr>
          <w:rFonts w:eastAsia="Times New Roman"/>
          <w:b/>
          <w:bCs/>
          <w:smallCaps/>
          <w:sz w:val="20"/>
          <w:szCs w:val="20"/>
          <w:lang w:eastAsia="es-MX"/>
        </w:rPr>
        <w:t>noviem</w:t>
      </w:r>
      <w:r w:rsidR="005B19FD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bre</w:t>
      </w:r>
      <w:r w:rsidR="002327F7" w:rsidRPr="007E6F86">
        <w:rPr>
          <w:rFonts w:cstheme="minorHAnsi"/>
          <w:b/>
          <w:smallCaps/>
          <w:sz w:val="20"/>
        </w:rPr>
        <w:t xml:space="preserve"> 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de </w:t>
      </w:r>
      <w:r w:rsidR="00A7250F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201</w:t>
      </w:r>
      <w:r w:rsidR="00ED6F61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9</w:t>
      </w:r>
      <w:r w:rsidR="00C47376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339"/>
        <w:gridCol w:w="746"/>
        <w:gridCol w:w="776"/>
        <w:gridCol w:w="774"/>
        <w:gridCol w:w="772"/>
        <w:gridCol w:w="746"/>
        <w:gridCol w:w="746"/>
        <w:gridCol w:w="746"/>
        <w:gridCol w:w="746"/>
        <w:gridCol w:w="748"/>
      </w:tblGrid>
      <w:tr w:rsidR="007E6F86" w:rsidRPr="007E6F86" w14:paraId="3E2BB893" w14:textId="77777777" w:rsidTr="002D30FA">
        <w:trPr>
          <w:trHeight w:val="258"/>
          <w:jc w:val="center"/>
        </w:trPr>
        <w:tc>
          <w:tcPr>
            <w:tcW w:w="37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73739AED" w14:textId="77777777" w:rsidR="00BD1EBD" w:rsidRPr="007E6F86" w:rsidRDefault="00BD1EBD" w:rsidP="00B13F58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0B643E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1178F7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5A586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2FF0605" w14:textId="77777777" w:rsidR="00BD1EBD" w:rsidRPr="007E6F86" w:rsidRDefault="00BD1EBD" w:rsidP="0038013E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>-raciones</w:t>
            </w:r>
            <w:r w:rsidR="001D6FD4" w:rsidRPr="007E6F86">
              <w:rPr>
                <w:rFonts w:eastAsia="Times New Roman"/>
                <w:lang w:eastAsia="es-MX"/>
              </w:rPr>
              <w:t xml:space="preserve"> </w:t>
            </w:r>
            <w:r w:rsidR="0038013E" w:rsidRPr="007E6F86">
              <w:rPr>
                <w:rFonts w:eastAsia="Times New Roman"/>
                <w:lang w:eastAsia="es-MX"/>
              </w:rPr>
              <w:t>m</w:t>
            </w:r>
            <w:r w:rsidR="001D6FD4"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7C96BF09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B593039" w14:textId="77777777" w:rsidTr="002D30FA">
        <w:trPr>
          <w:trHeight w:val="464"/>
          <w:jc w:val="center"/>
        </w:trPr>
        <w:tc>
          <w:tcPr>
            <w:tcW w:w="3753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E54C66E" w14:textId="77777777" w:rsidR="00BD1EBD" w:rsidRPr="007E6F86" w:rsidRDefault="00BD1EBD" w:rsidP="00B13F58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54D3A70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EC7914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91E6D7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F5B8D42" w14:textId="77777777" w:rsidR="00BD1EBD" w:rsidRPr="007E6F86" w:rsidRDefault="004570D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</w:t>
            </w:r>
            <w:r w:rsidR="00BD1EBD" w:rsidRPr="007E6F86">
              <w:rPr>
                <w:rFonts w:eastAsia="Times New Roman"/>
                <w:lang w:eastAsia="es-MX"/>
              </w:rPr>
              <w:t>ubcon</w:t>
            </w:r>
            <w:proofErr w:type="spellEnd"/>
            <w:r w:rsidR="00BD1EBD"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46FAE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C159A7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73D463F5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60B90D6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74C02BB2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C50082" w:rsidRPr="007E6F86" w14:paraId="328F0806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BA530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1D2244" w14:textId="77777777" w:rsidR="00C50082" w:rsidRPr="007E6F86" w:rsidRDefault="00C50082" w:rsidP="00C50082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00C" w14:textId="53F344E8" w:rsidR="00C50082" w:rsidRPr="007E6F86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7E6F86">
              <w:rPr>
                <w:rFonts w:cstheme="minorHAnsi"/>
                <w:b/>
                <w:bCs/>
              </w:rPr>
              <w:t>5,1</w:t>
            </w:r>
            <w:r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81EE" w14:textId="2AE20D10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 w:rsidRPr="00C50082">
              <w:rPr>
                <w:rFonts w:cstheme="minorHAnsi"/>
                <w:b/>
                <w:bCs/>
              </w:rPr>
              <w:t>2,705,810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4B91" w14:textId="750C412D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 w:rsidRPr="00C50082">
              <w:rPr>
                <w:rFonts w:cstheme="minorHAnsi"/>
                <w:b/>
                <w:bCs/>
              </w:rPr>
              <w:t>2,170,713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FE26" w14:textId="522F15C2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C50082">
              <w:rPr>
                <w:rFonts w:cstheme="minorHAnsi"/>
                <w:b/>
                <w:bCs/>
              </w:rPr>
              <w:t>535,097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70A" w14:textId="27AEA445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C50082">
              <w:rPr>
                <w:rFonts w:cstheme="minorHAnsi"/>
                <w:b/>
                <w:bCs/>
              </w:rPr>
              <w:t>515,306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F4E" w14:textId="55F1D555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C50082">
              <w:rPr>
                <w:rFonts w:cstheme="minorHAnsi"/>
                <w:b/>
                <w:bCs/>
              </w:rPr>
              <w:t>16,865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C08D" w14:textId="32688208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C50082">
              <w:rPr>
                <w:rFonts w:cstheme="minorHAnsi"/>
                <w:b/>
                <w:bCs/>
              </w:rPr>
              <w:t>437,834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A6C" w14:textId="3C2E406D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C50082">
              <w:rPr>
                <w:rFonts w:cstheme="minorHAnsi"/>
                <w:b/>
                <w:bCs/>
              </w:rPr>
              <w:t>164,331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646BFA" w14:textId="6D8D0104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C50082">
              <w:rPr>
                <w:rFonts w:cstheme="minorHAnsi"/>
                <w:b/>
                <w:bCs/>
              </w:rPr>
              <w:t>273,503</w:t>
            </w:r>
          </w:p>
        </w:tc>
      </w:tr>
      <w:tr w:rsidR="00C50082" w:rsidRPr="007E6F86" w14:paraId="187BD093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4339C7B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B06ED68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Industria alimentaria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3CE76A4" w14:textId="50CA876A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2AA2C78" w14:textId="65F37512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126,051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578EEF5" w14:textId="5721A518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81,738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B73EE1F" w14:textId="3CD8AFE6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44,313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982C8D1" w14:textId="4E372FF0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25,932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95EE48D" w14:textId="7207BB86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17,088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872BAFB" w14:textId="1FB39937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29,495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47C0D25" w14:textId="32E7CC1D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21,655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461115BD" w14:textId="49873FE3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7,840</w:t>
            </w:r>
          </w:p>
        </w:tc>
      </w:tr>
      <w:tr w:rsidR="00C50082" w:rsidRPr="007E6F86" w14:paraId="18C6B9D2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FD53DE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875BE3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Industria de las bebidas y del tabaco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1769" w14:textId="04201D7D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266" w14:textId="33152D97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34,443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CB9D" w14:textId="09D27E6E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26,370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29EB" w14:textId="67FFA6BD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8,073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4B8" w14:textId="5773B4AF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6,868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11A" w14:textId="29B70E55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22,347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D626" w14:textId="1612F42D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19,397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3006" w14:textId="34DF7C1E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10,992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EFCD8" w14:textId="05F2A1B8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8,405</w:t>
            </w:r>
          </w:p>
        </w:tc>
      </w:tr>
      <w:tr w:rsidR="00C50082" w:rsidRPr="007E6F86" w14:paraId="23E1B927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1AD379F1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313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DF9E56C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insumos textiles y acabado de textiles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6E33607" w14:textId="60985A25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59C838F" w14:textId="28640253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33,626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06FD6B3" w14:textId="3AA02255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23,869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D8C4B05" w14:textId="5AE37EAD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9,757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A26EF4A" w14:textId="0C508D18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7,006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B68FBA" w14:textId="34D5BBDA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11,834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B47BA3" w14:textId="03FB7F92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3,461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6F7BE02" w14:textId="290FBB8A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1,947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9412980" w14:textId="4AEDB884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1,514</w:t>
            </w:r>
          </w:p>
        </w:tc>
      </w:tr>
      <w:tr w:rsidR="00C50082" w:rsidRPr="007E6F86" w14:paraId="035FFAD2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588DE5B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314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70857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productos textiles, excepto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A114" w14:textId="6A667E0E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1F38" w14:textId="62CF0250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12,676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8A36" w14:textId="0F26041A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11,533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A21" w14:textId="5BE1A562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1,143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15AB" w14:textId="62C5F7D2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2,402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503" w14:textId="0FDBD1BA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12,112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DEF" w14:textId="2C5F4891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C5A" w14:textId="7AC61D7E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348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4236E" w14:textId="79A7B2A8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415</w:t>
            </w:r>
          </w:p>
        </w:tc>
      </w:tr>
      <w:tr w:rsidR="00C50082" w:rsidRPr="007E6F86" w14:paraId="1E427D7A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hideMark/>
          </w:tcPr>
          <w:p w14:paraId="14260530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315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11A1AD13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27972F2" w14:textId="40ABED84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83B5482" w14:textId="567468D2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94,710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6725A13F" w14:textId="7B7373E7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85,998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9A7CA31" w14:textId="03164B52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8,712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5047BF7" w14:textId="7FCF6BEB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18,514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3814751E" w14:textId="720F9923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8,135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DD732" w14:textId="5F6F4DBC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2,829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0953DBA" w14:textId="1EE2BED4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</w:tcPr>
          <w:p w14:paraId="286DFAFD" w14:textId="7BDD5F85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2,326</w:t>
            </w:r>
          </w:p>
        </w:tc>
      </w:tr>
      <w:tr w:rsidR="00C50082" w:rsidRPr="007E6F86" w14:paraId="577FD9D7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D46252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316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CCDC0D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Curtido y acabado de cuero y piel, y fabricación de productos de cuero, piel y materiales sucedáneos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6BB" w14:textId="6A974A79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CC3" w14:textId="2CFBE904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24,185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53F6" w14:textId="10211AD6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21,294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C628" w14:textId="22D40DD7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2,891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271" w14:textId="42DA46D9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4,571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5E95" w14:textId="11B64A67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12,237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8D" w14:textId="56E1B815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1,754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D85" w14:textId="7646CC54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442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CB31A" w14:textId="14ADDCD2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1,312</w:t>
            </w:r>
          </w:p>
        </w:tc>
      </w:tr>
      <w:tr w:rsidR="00C50082" w:rsidRPr="007E6F86" w14:paraId="72795F06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5ED4EE70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321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9CC16A8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Industria de la madera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58DE7F3" w14:textId="44716CC8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08229C" w14:textId="612880E1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7,956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324592B" w14:textId="14D76152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6,971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47D9DB1" w14:textId="660124ED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21752F6" w14:textId="784864F9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1,556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3D68207" w14:textId="6F6B6201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11,329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7473E81" w14:textId="43E0E4DE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335AD49" w14:textId="434F962D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7D459BDD" w14:textId="6058D176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371</w:t>
            </w:r>
          </w:p>
        </w:tc>
      </w:tr>
      <w:tr w:rsidR="00C50082" w:rsidRPr="007E6F86" w14:paraId="13835A60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53F5F31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322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B33B7EF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Industria del papel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4438F" w14:textId="246A1313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8D5" w14:textId="55DE5F1F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36,359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ABBA" w14:textId="02888B0B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30,395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C8D3" w14:textId="11064FA5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5,964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20B8" w14:textId="7CB1BFF9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7,660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9F30F" w14:textId="13FF4D40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17,803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537A" w14:textId="6763FBE2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6,740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3EAB" w14:textId="2DF453C9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4,608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5720DAC" w14:textId="38CDFC1D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2,132</w:t>
            </w:r>
          </w:p>
        </w:tc>
      </w:tr>
      <w:tr w:rsidR="00C50082" w:rsidRPr="007E6F86" w14:paraId="51299092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12ED504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323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6CAEC082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Impresión e industrias conexas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1C3510" w14:textId="2CCCCEB9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02C67C6" w14:textId="100C13D9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14,553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960347" w14:textId="6112EE79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12,009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008874B" w14:textId="55830B47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2,544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3B338C" w14:textId="064CAF64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2,709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353989" w14:textId="30ADE9BC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13,523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8ECEEAD" w14:textId="00A85AD8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660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8D1547" w14:textId="202FA728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292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37601A3" w14:textId="486E140E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368</w:t>
            </w:r>
          </w:p>
        </w:tc>
      </w:tr>
      <w:tr w:rsidR="00C50082" w:rsidRPr="007E6F86" w14:paraId="12109FDA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29C2062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325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A93264A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Industria química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B27" w14:textId="38B2FD23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2430" w14:textId="0DAD49B7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63,905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A5E" w14:textId="1396970C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36,208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2553" w14:textId="4C730764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27,697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BE70" w14:textId="40F9A598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13,017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E00" w14:textId="30FEC100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22,592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EB46" w14:textId="5E7A16DA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24,907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BBE4" w14:textId="76F2FBFD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15,093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4DD0B" w14:textId="18A73C2E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9,813</w:t>
            </w:r>
          </w:p>
        </w:tc>
      </w:tr>
      <w:tr w:rsidR="00C50082" w:rsidRPr="007E6F86" w14:paraId="41BB6E61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2D13228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326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4E7DF8B4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Industria del plástico y del hule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BAF8DE" w14:textId="73C34FEC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EA3092" w14:textId="2D039DFA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174,917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F56154D" w14:textId="19012619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123,245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47BF0A7" w14:textId="35DFC0EA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51,672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CC3406" w14:textId="561B145D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33,949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1F49FAD" w14:textId="75E72053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16,900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09E6CFD" w14:textId="4D4FD8FB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19,703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8C80825" w14:textId="47CB2FA3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9,278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4CED2BF0" w14:textId="7127FF36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10,425</w:t>
            </w:r>
          </w:p>
        </w:tc>
      </w:tr>
      <w:tr w:rsidR="00C50082" w:rsidRPr="007E6F86" w14:paraId="4E4CDF37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86510F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327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1E093C7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productos a base de minerales no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FF46" w14:textId="3414FA2C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134B" w14:textId="398E7886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50,523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0F9F" w14:textId="4274BBC1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33,057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0568" w14:textId="0C68F0CB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17,466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1490" w14:textId="262503F2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10,737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17B" w14:textId="443A7F79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18,903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7500" w14:textId="12B27A86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7,517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7F7B" w14:textId="4DAB2D83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3,459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CA5C89" w14:textId="35A61ED3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4,058</w:t>
            </w:r>
          </w:p>
        </w:tc>
      </w:tr>
      <w:tr w:rsidR="00C50082" w:rsidRPr="007E6F86" w14:paraId="0152888F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61C2CF3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331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1F55CAA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Industrias metálicas básicas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CF0BF4C" w14:textId="395A5D11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192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AE7A2C6" w14:textId="5A5FBE62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82,306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35C4971" w14:textId="7211A645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56,388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67A40C7" w14:textId="59D6E5F8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25,918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B13EC22" w14:textId="762254C7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16,856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56A606" w14:textId="15A1E833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28,635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2C0D92" w14:textId="15521C3C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33,808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6116843" w14:textId="69C75F15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20,841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14D9C475" w14:textId="73FE5304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12,968</w:t>
            </w:r>
          </w:p>
        </w:tc>
      </w:tr>
      <w:tr w:rsidR="00C50082" w:rsidRPr="007E6F86" w14:paraId="39A937F8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64D976F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332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B77415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productos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517A" w14:textId="346719F0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74EF" w14:textId="22AABE10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136,327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D6D5" w14:textId="3A4AF5C1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95,592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7356" w14:textId="1511FC66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40,735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686F" w14:textId="746DFD97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26,004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3B06" w14:textId="1F2B544E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20,376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0B5" w14:textId="379CDBE0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16,708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9D31" w14:textId="3C7CB836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9,348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B227AE" w14:textId="681BF579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7,359</w:t>
            </w:r>
          </w:p>
        </w:tc>
      </w:tr>
      <w:tr w:rsidR="00C50082" w:rsidRPr="007E6F86" w14:paraId="710F65C8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BD5054E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333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6393D81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maquinaria y equipo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CF9523B" w14:textId="40DE1218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48F82" w14:textId="2F3AFC4E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92,795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921B43" w14:textId="3BF2783D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73,590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C2C932F" w14:textId="4EB11276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19,205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17549B" w14:textId="6E16E30E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17,236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B1592AD" w14:textId="5BFC651E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19,706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5A8E4EA" w14:textId="6EFA610D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14,593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B62DEB2" w14:textId="0369E117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2,711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3B06058A" w14:textId="0C31894A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11,882</w:t>
            </w:r>
          </w:p>
        </w:tc>
      </w:tr>
      <w:tr w:rsidR="00C50082" w:rsidRPr="007E6F86" w14:paraId="2DD5D2E2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6C0A403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334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60F8C1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equipo de computación, comunicación, medición y de otros equipos, componentes y accesorios electrónicos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315" w14:textId="578AE52B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6D7" w14:textId="73B18663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335,603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9A9E" w14:textId="723C45B8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309,364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8A8D" w14:textId="2751CF98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26,239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ECF6" w14:textId="7503CB7E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63,965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5384" w14:textId="5090E4D0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16,559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A0A2" w14:textId="5BE31413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15,898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2ABD" w14:textId="7F9357F0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871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185DDD" w14:textId="188B99E8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15,026</w:t>
            </w:r>
          </w:p>
        </w:tc>
      </w:tr>
      <w:tr w:rsidR="00C50082" w:rsidRPr="007E6F86" w14:paraId="05AB6B35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F07FBA5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335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704DD715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accesorios, aparatos eléctricos y equipo de generación de energía eléctrica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41416D" w14:textId="05DE466B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377FC17" w14:textId="256963BE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171,740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D0EE430" w14:textId="228C3EFD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135,907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54B326" w14:textId="70DC8304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35,833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F6964A3" w14:textId="179891F5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31,692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946A505" w14:textId="2CE1A19F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16,379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35888F" w14:textId="56ED215A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18,199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C4A453" w14:textId="4F1C0842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6,295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18E0DDD8" w14:textId="18D47B32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11,903</w:t>
            </w:r>
          </w:p>
        </w:tc>
      </w:tr>
      <w:tr w:rsidR="00C50082" w:rsidRPr="007E6F86" w14:paraId="1DCE1760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3C8B86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336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9C16127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equipo de transporte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0E53" w14:textId="1613D1D8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1,064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7B57" w14:textId="14F31D7C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982,592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5BF" w14:textId="2D93F69D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785,324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6B65" w14:textId="6CE84F1F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197,268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E593" w14:textId="04F53C99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182,125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F0C0" w14:textId="7887B58E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16,888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C002" w14:textId="6ACFE521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211,435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C06E" w14:textId="4F077E2A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54,058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63FC2D" w14:textId="6133FB30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157,377</w:t>
            </w:r>
          </w:p>
        </w:tc>
      </w:tr>
      <w:tr w:rsidR="00C50082" w:rsidRPr="007E6F86" w14:paraId="34B96D62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right w:val="nil"/>
            </w:tcBorders>
            <w:shd w:val="clear" w:color="000000" w:fill="EEECE1"/>
            <w:hideMark/>
          </w:tcPr>
          <w:p w14:paraId="06638D3A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337</w:t>
            </w:r>
          </w:p>
        </w:tc>
        <w:tc>
          <w:tcPr>
            <w:tcW w:w="3339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hideMark/>
          </w:tcPr>
          <w:p w14:paraId="342DAB42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Fabricación de muebles, colchones y persianas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70FDDDD" w14:textId="675C0B32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16BF4DCA" w14:textId="4C3CD57A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39,782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44180471" w14:textId="439DD723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38,231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686F3685" w14:textId="2791A466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1,551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D8B737F" w14:textId="119426E3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7,536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39DA872F" w14:textId="74FA9A75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13,202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F80EAD2" w14:textId="3DBC5C55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1,600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FBD3E79" w14:textId="6B5A4C18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280</w:t>
            </w:r>
          </w:p>
        </w:tc>
        <w:tc>
          <w:tcPr>
            <w:tcW w:w="748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vAlign w:val="center"/>
          </w:tcPr>
          <w:p w14:paraId="7A128D08" w14:textId="0A9603DA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1,320</w:t>
            </w:r>
          </w:p>
        </w:tc>
      </w:tr>
      <w:tr w:rsidR="00C50082" w:rsidRPr="007E6F86" w14:paraId="3312CC61" w14:textId="77777777" w:rsidTr="00C5008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A61DA5" w14:textId="77777777" w:rsidR="00C50082" w:rsidRPr="007E6F86" w:rsidRDefault="00C50082" w:rsidP="00C50082">
            <w:pPr>
              <w:spacing w:before="20" w:after="20" w:line="200" w:lineRule="exact"/>
              <w:jc w:val="right"/>
            </w:pPr>
            <w:r w:rsidRPr="007E6F86">
              <w:t>339</w:t>
            </w:r>
          </w:p>
        </w:tc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CC2300" w14:textId="77777777" w:rsidR="00C50082" w:rsidRPr="007E6F86" w:rsidRDefault="00C50082" w:rsidP="00C50082">
            <w:pPr>
              <w:spacing w:before="20" w:after="20" w:line="200" w:lineRule="exact"/>
            </w:pPr>
            <w:r w:rsidRPr="007E6F86">
              <w:t>Otras industrias manufactureras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678B98" w14:textId="0591F943" w:rsidR="00C50082" w:rsidRPr="00C50082" w:rsidRDefault="00C50082" w:rsidP="00C5008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282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86322D4" w14:textId="3FE27718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190,761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E3C0C56" w14:textId="066704F8" w:rsidR="00C50082" w:rsidRPr="00C50082" w:rsidRDefault="00C50082" w:rsidP="00C5008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183,630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0B2199C" w14:textId="71F5B5F4" w:rsidR="00C50082" w:rsidRPr="00C50082" w:rsidRDefault="00C50082" w:rsidP="00C5008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7,131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8D2B65" w14:textId="400700A7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34,971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1C6A499" w14:textId="055D0707" w:rsidR="00C50082" w:rsidRPr="00C50082" w:rsidRDefault="00C50082" w:rsidP="00C5008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15,267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A5526E" w14:textId="14F5E52F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7,626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581F6D" w14:textId="3AA67A41" w:rsidR="00C50082" w:rsidRPr="00C50082" w:rsidRDefault="00C50082" w:rsidP="00C5008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939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A6DCA" w14:textId="495C439A" w:rsidR="00C50082" w:rsidRPr="00C50082" w:rsidRDefault="00C50082" w:rsidP="00C5008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C50082">
              <w:rPr>
                <w:rFonts w:cstheme="minorHAnsi"/>
                <w:bCs/>
              </w:rPr>
              <w:t>6,687</w:t>
            </w:r>
          </w:p>
        </w:tc>
      </w:tr>
    </w:tbl>
    <w:p w14:paraId="73377196" w14:textId="77777777" w:rsidR="00BD1EBD" w:rsidRPr="007E6F86" w:rsidRDefault="00BD1EBD" w:rsidP="00B11D96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310D8B38" w14:textId="77777777" w:rsidR="00B11D96" w:rsidRPr="007E6F86" w:rsidRDefault="00E91740" w:rsidP="00BD1EBD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="00B13F58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6FA2A368" w14:textId="19802B4D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 xml:space="preserve">Remuneraciones al personal ocupado que se contrata directamente, no incluye al personal subcontratado. </w:t>
      </w:r>
      <w:r w:rsidR="00723E0D" w:rsidRPr="007E6F86">
        <w:rPr>
          <w:rFonts w:cstheme="minorHAnsi"/>
          <w:spacing w:val="-3"/>
          <w:sz w:val="14"/>
          <w:szCs w:val="14"/>
        </w:rPr>
        <w:t xml:space="preserve">Pesos mensuales por persona 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</w:t>
      </w:r>
      <w:r w:rsidR="0013677B" w:rsidRPr="007E6F86">
        <w:rPr>
          <w:rFonts w:cstheme="minorHAnsi"/>
          <w:spacing w:val="-3"/>
          <w:sz w:val="14"/>
          <w:szCs w:val="14"/>
        </w:rPr>
        <w:t>.</w:t>
      </w:r>
    </w:p>
    <w:p w14:paraId="4D63B23C" w14:textId="77777777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Millones de pesos a precios corrientes.</w:t>
      </w:r>
      <w:r w:rsidR="00B13F58" w:rsidRPr="007E6F86">
        <w:rPr>
          <w:rFonts w:cstheme="minorHAnsi"/>
          <w:sz w:val="14"/>
          <w:szCs w:val="14"/>
        </w:rPr>
        <w:t xml:space="preserve">  </w:t>
      </w:r>
    </w:p>
    <w:p w14:paraId="04B97F8B" w14:textId="77777777" w:rsidR="00B13F58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Incluye al subsector 324 Fabricación de productos derivados de</w:t>
      </w:r>
      <w:r w:rsidR="00C47376" w:rsidRPr="007E6F86">
        <w:rPr>
          <w:rFonts w:cstheme="minorHAnsi"/>
          <w:sz w:val="14"/>
          <w:szCs w:val="14"/>
        </w:rPr>
        <w:t>l</w:t>
      </w:r>
      <w:r w:rsidRPr="007E6F86">
        <w:rPr>
          <w:rFonts w:cstheme="minorHAnsi"/>
          <w:sz w:val="14"/>
          <w:szCs w:val="14"/>
        </w:rPr>
        <w:t xml:space="preserve"> petróleo y del carbón.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5B5E9F82" w14:textId="77777777" w:rsidR="00C47376" w:rsidRPr="007E6F86" w:rsidRDefault="00C47376" w:rsidP="00FE239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581A17EA" w14:textId="77777777" w:rsidR="00091849" w:rsidRPr="007E6F86" w:rsidRDefault="00E91740" w:rsidP="00381D68">
      <w:pPr>
        <w:spacing w:after="0" w:line="140" w:lineRule="exact"/>
        <w:ind w:left="70" w:right="-177" w:hanging="22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C14561A" w14:textId="77777777" w:rsidR="00091849" w:rsidRPr="007E6F86" w:rsidRDefault="00091849">
      <w:pPr>
        <w:rPr>
          <w:rFonts w:cstheme="minorHAnsi"/>
          <w:sz w:val="14"/>
          <w:szCs w:val="14"/>
        </w:rPr>
        <w:sectPr w:rsidR="00091849" w:rsidRPr="007E6F86" w:rsidSect="00E91740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</w:p>
    <w:p w14:paraId="33382B71" w14:textId="77777777" w:rsidR="00D06399" w:rsidRPr="007E6F86" w:rsidRDefault="00091849" w:rsidP="00236A0F">
      <w:pPr>
        <w:rPr>
          <w:rFonts w:cstheme="minorHAnsi"/>
          <w:sz w:val="20"/>
          <w:szCs w:val="20"/>
        </w:rPr>
      </w:pPr>
      <w:r w:rsidRPr="007E6F86">
        <w:rPr>
          <w:rFonts w:cstheme="minorHAnsi"/>
          <w:sz w:val="14"/>
          <w:szCs w:val="14"/>
        </w:rPr>
        <w:br w:type="page"/>
      </w:r>
    </w:p>
    <w:p w14:paraId="0CE75B9B" w14:textId="5C541917" w:rsidR="00581A2F" w:rsidRPr="007E6F86" w:rsidRDefault="00EE66FD" w:rsidP="00C32297">
      <w:pPr>
        <w:spacing w:before="480" w:after="40" w:line="200" w:lineRule="exact"/>
        <w:jc w:val="center"/>
        <w:rPr>
          <w:rFonts w:cstheme="minorHAnsi"/>
          <w:sz w:val="20"/>
          <w:szCs w:val="20"/>
        </w:rPr>
      </w:pP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lastRenderedPageBreak/>
        <w:t xml:space="preserve">Composición por Subsector según principales Indicadores de los </w:t>
      </w:r>
      <w:r w:rsidRPr="007E6F86">
        <w:rPr>
          <w:rFonts w:eastAsia="Times New Roman"/>
          <w:b/>
          <w:bCs/>
          <w:smallCaps/>
          <w:sz w:val="20"/>
          <w:lang w:eastAsia="es-MX"/>
        </w:rPr>
        <w:t>E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stablecimientos 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br/>
      </w:r>
      <w:r w:rsidRPr="007E6F86">
        <w:rPr>
          <w:rFonts w:eastAsia="Times New Roman"/>
          <w:b/>
          <w:bCs/>
          <w:smallCaps/>
          <w:sz w:val="20"/>
          <w:lang w:eastAsia="es-MX"/>
        </w:rPr>
        <w:t>N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o </w:t>
      </w:r>
      <w:r w:rsidR="003479D5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m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 durante </w:t>
      </w:r>
      <w:r w:rsidR="00C50082">
        <w:rPr>
          <w:rFonts w:eastAsia="Times New Roman"/>
          <w:b/>
          <w:bCs/>
          <w:smallCaps/>
          <w:sz w:val="20"/>
          <w:szCs w:val="18"/>
          <w:lang w:eastAsia="es-MX"/>
        </w:rPr>
        <w:t>noviem</w:t>
      </w:r>
      <w:r w:rsidR="005B19FD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bre</w:t>
      </w:r>
      <w:r w:rsidR="00AF1A77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 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de </w:t>
      </w:r>
      <w:r w:rsidR="00493BF4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201</w:t>
      </w:r>
      <w:r w:rsidR="00ED6F61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9</w:t>
      </w:r>
      <w:r w:rsidR="00BB1E7D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6"/>
        <w:gridCol w:w="746"/>
        <w:gridCol w:w="773"/>
        <w:gridCol w:w="773"/>
        <w:gridCol w:w="771"/>
        <w:gridCol w:w="746"/>
        <w:gridCol w:w="746"/>
        <w:gridCol w:w="746"/>
        <w:gridCol w:w="746"/>
        <w:gridCol w:w="746"/>
      </w:tblGrid>
      <w:tr w:rsidR="007E6F86" w:rsidRPr="007E6F86" w14:paraId="31F047B9" w14:textId="77777777" w:rsidTr="00D4744A">
        <w:trPr>
          <w:trHeight w:val="260"/>
          <w:jc w:val="center"/>
        </w:trPr>
        <w:tc>
          <w:tcPr>
            <w:tcW w:w="37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22B1FCB6" w14:textId="77777777" w:rsidR="00DB2205" w:rsidRPr="007E6F86" w:rsidRDefault="006352B8" w:rsidP="00D4744A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389CD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1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E501CD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82E35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F57B66D" w14:textId="77777777" w:rsidR="00DB2205" w:rsidRPr="007E6F86" w:rsidRDefault="00DB2205" w:rsidP="00137E8C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 xml:space="preserve">-raciones </w:t>
            </w:r>
            <w:r w:rsidR="00137E8C" w:rsidRPr="007E6F86">
              <w:rPr>
                <w:rFonts w:eastAsia="Times New Roman"/>
                <w:lang w:eastAsia="es-MX"/>
              </w:rPr>
              <w:t>m</w:t>
            </w:r>
            <w:r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42FE542E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3BE43A0" w14:textId="77777777" w:rsidTr="00D4744A">
        <w:trPr>
          <w:trHeight w:val="467"/>
          <w:jc w:val="center"/>
        </w:trPr>
        <w:tc>
          <w:tcPr>
            <w:tcW w:w="3751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FC43F8" w14:textId="77777777" w:rsidR="00DB2205" w:rsidRPr="007E6F86" w:rsidRDefault="00DB2205" w:rsidP="00D4744A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DC8710A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DA54E5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9BB6B4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0F2616" w14:textId="77777777" w:rsidR="00DB2205" w:rsidRPr="007E6F86" w:rsidRDefault="00DB2205" w:rsidP="00D4744A">
            <w:pPr>
              <w:spacing w:before="40" w:after="40" w:line="180" w:lineRule="exact"/>
              <w:ind w:left="-60" w:right="-42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Subcon</w:t>
            </w:r>
            <w:proofErr w:type="spellEnd"/>
            <w:r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34E2AC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E8C1AB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555A872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FFA855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46E96B1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ED77A6" w:rsidRPr="007E6F86" w14:paraId="3B26BCCC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AD" w14:textId="77777777" w:rsidR="00ED77A6" w:rsidRPr="007E6F86" w:rsidRDefault="00ED77A6" w:rsidP="00ED77A6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1397D" w14:textId="77777777" w:rsidR="00ED77A6" w:rsidRPr="007E6F86" w:rsidRDefault="00ED77A6" w:rsidP="00ED77A6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45AE" w14:textId="51610CA6" w:rsidR="00ED77A6" w:rsidRPr="00332D0E" w:rsidRDefault="00ED77A6" w:rsidP="00913A6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332D0E">
              <w:rPr>
                <w:rFonts w:cstheme="minorHAnsi"/>
                <w:b/>
                <w:bCs/>
              </w:rPr>
              <w:t>1,16</w:t>
            </w:r>
            <w:r w:rsidR="00913A69" w:rsidRPr="00332D0E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F2CF" w14:textId="13A49642" w:rsidR="00ED77A6" w:rsidRPr="00332D0E" w:rsidRDefault="00ED77A6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332D0E">
              <w:rPr>
                <w:b/>
                <w:bCs/>
              </w:rPr>
              <w:t>333,</w:t>
            </w:r>
            <w:r w:rsidR="00913A69" w:rsidRPr="00332D0E">
              <w:rPr>
                <w:b/>
                <w:bCs/>
              </w:rPr>
              <w:t>732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DCB" w14:textId="0498CC66" w:rsidR="00ED77A6" w:rsidRPr="00332D0E" w:rsidRDefault="00ED77A6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332D0E">
              <w:rPr>
                <w:b/>
                <w:bCs/>
              </w:rPr>
              <w:t>20</w:t>
            </w:r>
            <w:r w:rsidR="00913A69" w:rsidRPr="00332D0E">
              <w:rPr>
                <w:b/>
                <w:bCs/>
              </w:rPr>
              <w:t>4,8</w:t>
            </w:r>
            <w:r w:rsidRPr="00332D0E">
              <w:rPr>
                <w:b/>
                <w:bCs/>
              </w:rPr>
              <w:t>1</w:t>
            </w:r>
            <w:r w:rsidR="00913A69" w:rsidRPr="00332D0E">
              <w:rPr>
                <w:b/>
                <w:bCs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927C" w14:textId="30BB6D22" w:rsidR="00ED77A6" w:rsidRPr="00332D0E" w:rsidRDefault="00913A69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332D0E">
              <w:rPr>
                <w:b/>
                <w:bCs/>
              </w:rPr>
              <w:t>128,916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5B71" w14:textId="0E7A5BBF" w:rsidR="00ED77A6" w:rsidRPr="00332D0E" w:rsidRDefault="00ED77A6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332D0E">
              <w:rPr>
                <w:b/>
                <w:bCs/>
              </w:rPr>
              <w:t>65,</w:t>
            </w:r>
            <w:r w:rsidR="00913A69" w:rsidRPr="00332D0E">
              <w:rPr>
                <w:b/>
                <w:bCs/>
              </w:rPr>
              <w:t>153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C0F6" w14:textId="33948D59" w:rsidR="00ED77A6" w:rsidRPr="00332D0E" w:rsidRDefault="00ED77A6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332D0E">
              <w:rPr>
                <w:b/>
                <w:bCs/>
              </w:rPr>
              <w:t>15,</w:t>
            </w:r>
            <w:r w:rsidR="00913A69" w:rsidRPr="00332D0E">
              <w:rPr>
                <w:b/>
                <w:bCs/>
              </w:rPr>
              <w:t>658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F12" w14:textId="317BDC4F" w:rsidR="00ED77A6" w:rsidRPr="00332D0E" w:rsidRDefault="00ED77A6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332D0E">
              <w:rPr>
                <w:b/>
                <w:bCs/>
              </w:rPr>
              <w:t>28,</w:t>
            </w:r>
            <w:r w:rsidR="00913A69" w:rsidRPr="00332D0E">
              <w:rPr>
                <w:b/>
                <w:bCs/>
              </w:rPr>
              <w:t>634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D059" w14:textId="0C5E11E3" w:rsidR="00ED77A6" w:rsidRPr="00332D0E" w:rsidRDefault="00ED77A6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332D0E">
              <w:rPr>
                <w:b/>
                <w:bCs/>
              </w:rPr>
              <w:t>13,3</w:t>
            </w:r>
            <w:r w:rsidR="00913A69" w:rsidRPr="00332D0E">
              <w:rPr>
                <w:b/>
                <w:bCs/>
              </w:rPr>
              <w:t>6</w:t>
            </w:r>
            <w:r w:rsidRPr="00332D0E">
              <w:rPr>
                <w:b/>
                <w:bCs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3B514" w14:textId="41F540A3" w:rsidR="00ED77A6" w:rsidRPr="00332D0E" w:rsidRDefault="00ED77A6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332D0E">
              <w:rPr>
                <w:b/>
                <w:bCs/>
              </w:rPr>
              <w:t>15,26</w:t>
            </w:r>
            <w:r w:rsidR="00913A69" w:rsidRPr="00332D0E">
              <w:rPr>
                <w:b/>
                <w:bCs/>
              </w:rPr>
              <w:t>9</w:t>
            </w:r>
          </w:p>
        </w:tc>
      </w:tr>
      <w:tr w:rsidR="00913A69" w:rsidRPr="007E6F86" w14:paraId="169478B5" w14:textId="77777777" w:rsidTr="00913A6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825B3C0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96DBE31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Agricultura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2637CA" w14:textId="470BED83" w:rsidR="00913A69" w:rsidRPr="00332D0E" w:rsidRDefault="00913A69" w:rsidP="00913A6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371FFE" w14:textId="2F09AE16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164,872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0D3246D" w14:textId="396A2524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98,864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291236" w14:textId="31AFA76D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66,008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5AC6654" w14:textId="10B0B15A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33,266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1DE6DA6" w14:textId="717565CB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8,177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D213792" w14:textId="06EFAF87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4,626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5DB3B5" w14:textId="531BE27A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488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2BC3EE2A" w14:textId="08FBE4C5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4,138</w:t>
            </w:r>
          </w:p>
        </w:tc>
      </w:tr>
      <w:tr w:rsidR="00913A69" w:rsidRPr="007E6F86" w14:paraId="0E523283" w14:textId="77777777" w:rsidTr="00913A6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B1D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AECB0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Minería de minerales metálicos y no metálicos, excepto petróleo y gas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FE04" w14:textId="5DE6FCD3" w:rsidR="00913A69" w:rsidRPr="00332D0E" w:rsidRDefault="00913A69" w:rsidP="00913A6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D6BD" w14:textId="5AFDA1C1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44,291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F117" w14:textId="7E1D9672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19,550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F6CA" w14:textId="2F9F6ECF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24,741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91C2" w14:textId="267BDDD1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9,889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6205" w14:textId="126952C1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22,027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98B" w14:textId="09F82477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2,009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7729" w14:textId="5E50AF03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14C8A" w14:textId="1B491790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1,984</w:t>
            </w:r>
          </w:p>
        </w:tc>
      </w:tr>
      <w:tr w:rsidR="00913A69" w:rsidRPr="007E6F86" w14:paraId="014F8193" w14:textId="77777777" w:rsidTr="00913A6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268800B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434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E04DF2A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Comercio al por mayor de materias primas agropecuarias y forestales, para la industria, y materiales de desecho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F23ECE" w14:textId="1933694C" w:rsidR="00913A69" w:rsidRPr="00332D0E" w:rsidRDefault="00913A69" w:rsidP="00913A6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6028A6" w14:textId="1E3C05B7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4,285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F042A8A" w14:textId="35E7B066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2,855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DE0DFD9" w14:textId="51F9251A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1,430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6F88172" w14:textId="57954E3D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783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68A9E52" w14:textId="67464D65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14,665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EE89A90" w14:textId="0C65EC95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3,425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C7E59EE" w14:textId="37C57305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2,279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64CF492" w14:textId="4CC14C7C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1,146</w:t>
            </w:r>
          </w:p>
        </w:tc>
      </w:tr>
      <w:tr w:rsidR="00913A69" w:rsidRPr="007E6F86" w14:paraId="58D181C3" w14:textId="77777777" w:rsidTr="00913A6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93AE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493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06BA8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Servicios de almacenamiento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B1E" w14:textId="4CE5771A" w:rsidR="00913A69" w:rsidRPr="00332D0E" w:rsidRDefault="00913A69" w:rsidP="00913A6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BDB" w14:textId="7F4A4BA7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11,569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112" w14:textId="5C00D47B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5,794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871" w14:textId="23B0F04E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5,775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C5EB" w14:textId="4B3AA8B0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1,998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B0E" w14:textId="029459DB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24,361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8B40" w14:textId="2FFA37A5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2,565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F70F" w14:textId="7601D662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1,835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CC801" w14:textId="3C0250D3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729</w:t>
            </w:r>
          </w:p>
        </w:tc>
      </w:tr>
      <w:tr w:rsidR="00913A69" w:rsidRPr="007E6F86" w14:paraId="104E3150" w14:textId="77777777" w:rsidTr="00913A6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86C06E7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561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6351CFCA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Servicios de apoyo a los negocios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9D6C98" w14:textId="18092F29" w:rsidR="00913A69" w:rsidRPr="00332D0E" w:rsidRDefault="00913A69" w:rsidP="00913A6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65BF8DB" w14:textId="796D1952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45,076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166CA25" w14:textId="3CD4ADEA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37,996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65A616" w14:textId="73174137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7,080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9A1801F" w14:textId="1EFF5A1B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7,820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BCFA4F" w14:textId="6DF57502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22,333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3DB6265" w14:textId="3F6160E7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4,319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25A9149" w14:textId="4D0D8EAB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2,125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14:paraId="57847A21" w14:textId="20E9EA0F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2,194</w:t>
            </w:r>
          </w:p>
        </w:tc>
      </w:tr>
      <w:tr w:rsidR="00913A69" w:rsidRPr="007E6F86" w14:paraId="720CD26C" w14:textId="77777777" w:rsidTr="00913A6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67E11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562</w:t>
            </w:r>
          </w:p>
        </w:tc>
        <w:tc>
          <w:tcPr>
            <w:tcW w:w="333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F07E7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Manejo de residuos y desechos, y servicios de remediación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3EE577" w14:textId="4AAF4ED5" w:rsidR="00913A69" w:rsidRPr="00332D0E" w:rsidRDefault="00913A69" w:rsidP="00913A6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116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F5B0B8" w14:textId="63AE2F8C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7,318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935F1" w14:textId="6A45855A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6,343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E75A1C" w14:textId="5D81AA51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975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8ABE0" w14:textId="25B2D23D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1,419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6AA0F" w14:textId="7CF375EF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12,912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vAlign w:val="center"/>
          </w:tcPr>
          <w:p w14:paraId="3A96DAB1" w14:textId="5E9CA52F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1,118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07897" w14:textId="72773C7E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618</w:t>
            </w:r>
          </w:p>
        </w:tc>
        <w:tc>
          <w:tcPr>
            <w:tcW w:w="74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F0CD9" w14:textId="58DE269C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499</w:t>
            </w:r>
          </w:p>
        </w:tc>
      </w:tr>
      <w:tr w:rsidR="00913A69" w:rsidRPr="007E6F86" w14:paraId="5A141401" w14:textId="77777777" w:rsidTr="00913A6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0F16128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7293955" w14:textId="77777777" w:rsidR="00913A69" w:rsidRPr="007E6F86" w:rsidRDefault="00913A69" w:rsidP="00913A69">
            <w:pPr>
              <w:spacing w:before="20" w:after="20" w:line="200" w:lineRule="exact"/>
            </w:pPr>
            <w:r w:rsidRPr="007E6F86">
              <w:t>Resto de los subsectores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03897130" w14:textId="79540749" w:rsidR="00913A69" w:rsidRPr="00332D0E" w:rsidRDefault="00913A69" w:rsidP="00913A6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244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AC7E2ED" w14:textId="057F9B4E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56,321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159898B" w14:textId="3E53BBFC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33,414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2FE8579" w14:textId="438B7B4E" w:rsidR="00913A69" w:rsidRPr="00332D0E" w:rsidRDefault="00913A69" w:rsidP="00913A6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22,907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9531CB1" w14:textId="5CC3FC6D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9,978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48092D0" w14:textId="5719CCC7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25,572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</w:tcPr>
          <w:p w14:paraId="238CE73E" w14:textId="7364A199" w:rsidR="00913A69" w:rsidRPr="00332D0E" w:rsidRDefault="00913A69" w:rsidP="00913A6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10,573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6F8FF968" w14:textId="4C827E04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5,995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15FFA5B" w14:textId="59654578" w:rsidR="00913A69" w:rsidRPr="00332D0E" w:rsidRDefault="00913A69" w:rsidP="00913A6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</w:rPr>
            </w:pPr>
            <w:r w:rsidRPr="00332D0E">
              <w:rPr>
                <w:rFonts w:asciiTheme="minorHAnsi" w:hAnsiTheme="minorHAnsi" w:cstheme="minorHAnsi"/>
                <w:bCs/>
              </w:rPr>
              <w:t>4,579</w:t>
            </w:r>
          </w:p>
        </w:tc>
      </w:tr>
    </w:tbl>
    <w:p w14:paraId="4F5044E1" w14:textId="77777777" w:rsidR="00581A2F" w:rsidRPr="007E6F86" w:rsidRDefault="00581A2F" w:rsidP="00581A2F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556F3ADD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 </w:t>
      </w:r>
    </w:p>
    <w:p w14:paraId="273202EF" w14:textId="3050B802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>Remuneraciones al personal ocupado que se contrata directamente, no incluye al personal subcontratado. Pesos mensuales por</w:t>
      </w:r>
      <w:r w:rsidR="0013677B" w:rsidRPr="007E6F86">
        <w:rPr>
          <w:rFonts w:cstheme="minorHAnsi"/>
          <w:spacing w:val="-3"/>
          <w:sz w:val="14"/>
          <w:szCs w:val="14"/>
        </w:rPr>
        <w:t xml:space="preserve"> persona</w:t>
      </w:r>
      <w:r w:rsidR="0065007D" w:rsidRPr="007E6F86">
        <w:rPr>
          <w:rFonts w:cstheme="minorHAnsi"/>
          <w:spacing w:val="-3"/>
          <w:sz w:val="14"/>
          <w:szCs w:val="14"/>
        </w:rPr>
        <w:t xml:space="preserve"> </w:t>
      </w:r>
      <w:r w:rsidR="00723E0D" w:rsidRPr="007E6F86">
        <w:rPr>
          <w:rFonts w:cstheme="minorHAnsi"/>
          <w:spacing w:val="-3"/>
          <w:sz w:val="14"/>
          <w:szCs w:val="14"/>
        </w:rPr>
        <w:t xml:space="preserve">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2018.</w:t>
      </w:r>
    </w:p>
    <w:p w14:paraId="44A74BB6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Millones de pesos a precios corrientes.  </w:t>
      </w:r>
    </w:p>
    <w:p w14:paraId="61106A7E" w14:textId="0D4296D5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="002E358F" w:rsidRPr="007E6F86">
        <w:rPr>
          <w:rFonts w:cstheme="minorHAnsi"/>
          <w:sz w:val="14"/>
          <w:szCs w:val="14"/>
        </w:rPr>
        <w:t xml:space="preserve">Incluye los subsectores de actividad </w:t>
      </w:r>
      <w:r w:rsidR="005B22A6" w:rsidRPr="007E6F86">
        <w:rPr>
          <w:rFonts w:cstheme="minorHAnsi"/>
          <w:sz w:val="14"/>
          <w:szCs w:val="14"/>
        </w:rPr>
        <w:t>de acuerdo con el</w:t>
      </w:r>
      <w:r w:rsidR="002E358F" w:rsidRPr="007E6F86">
        <w:rPr>
          <w:rFonts w:cstheme="minorHAnsi"/>
          <w:sz w:val="14"/>
          <w:szCs w:val="14"/>
        </w:rPr>
        <w:t xml:space="preserve"> Sistema de Clasificación Industrial de América del Norte (SCIAN 2007)</w:t>
      </w:r>
      <w:r w:rsidR="00736058" w:rsidRPr="007E6F86">
        <w:rPr>
          <w:rFonts w:cstheme="minorHAnsi"/>
          <w:sz w:val="14"/>
          <w:szCs w:val="14"/>
        </w:rPr>
        <w:t>:</w:t>
      </w:r>
      <w:r w:rsidR="002E358F" w:rsidRPr="007E6F86">
        <w:rPr>
          <w:rFonts w:cstheme="minorHAnsi"/>
          <w:sz w:val="14"/>
          <w:szCs w:val="14"/>
        </w:rPr>
        <w:t xml:space="preserve"> 112, 114, 115, 221, 431, 432, 433, 435, 436, 437, 484, 488, 511, 512, 517, 518, 519, 531, 532, 541, 811 y 812.</w:t>
      </w:r>
    </w:p>
    <w:p w14:paraId="4DD25AC2" w14:textId="77777777" w:rsidR="00581A2F" w:rsidRPr="007E6F86" w:rsidRDefault="00581A2F" w:rsidP="000267E6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19F0AF67" w14:textId="77777777" w:rsidR="003A2CC9" w:rsidRPr="007E6F86" w:rsidRDefault="002E358F" w:rsidP="00091849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4185BD9D" w14:textId="77777777" w:rsidR="003A2CC9" w:rsidRPr="007E6F86" w:rsidRDefault="00091849" w:rsidP="00091849">
      <w:pPr>
        <w:spacing w:after="0" w:line="140" w:lineRule="exact"/>
        <w:ind w:left="39" w:right="-176" w:hanging="181"/>
        <w:jc w:val="both"/>
        <w:rPr>
          <w:rFonts w:cstheme="minorHAnsi"/>
          <w:sz w:val="20"/>
          <w:szCs w:val="20"/>
        </w:rPr>
        <w:sectPr w:rsidR="003A2CC9" w:rsidRPr="007E6F86" w:rsidSect="00FE7FF4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  <w:r w:rsidRPr="007E6F86">
        <w:rPr>
          <w:rFonts w:cstheme="minorHAnsi"/>
          <w:sz w:val="20"/>
          <w:szCs w:val="20"/>
        </w:rPr>
        <w:t xml:space="preserve"> </w:t>
      </w:r>
    </w:p>
    <w:p w14:paraId="42C7F68B" w14:textId="77777777" w:rsidR="00793261" w:rsidRPr="007E6F86" w:rsidRDefault="00793261" w:rsidP="00CD0952">
      <w:pPr>
        <w:spacing w:before="360" w:after="0" w:line="200" w:lineRule="exact"/>
        <w:jc w:val="both"/>
        <w:rPr>
          <w:rStyle w:val="Hipervnculo"/>
          <w:rFonts w:cstheme="minorHAnsi"/>
          <w:color w:val="auto"/>
          <w:sz w:val="20"/>
          <w:szCs w:val="20"/>
        </w:rPr>
      </w:pPr>
      <w:r w:rsidRPr="007E6F86">
        <w:rPr>
          <w:rFonts w:cstheme="minorHAnsi"/>
          <w:sz w:val="20"/>
          <w:szCs w:val="20"/>
        </w:rPr>
        <w:t xml:space="preserve">Información más amplia sobre los resultados publicados en esta nota puede obtenerse en el Banco de Información Económica (BIE) </w:t>
      </w:r>
      <w:r w:rsidRPr="007E6F86">
        <w:rPr>
          <w:sz w:val="20"/>
          <w:szCs w:val="20"/>
        </w:rPr>
        <w:t>de la página del Instituto en Internet</w:t>
      </w:r>
      <w:r w:rsidRPr="007E6F86">
        <w:t xml:space="preserve"> </w:t>
      </w:r>
      <w:hyperlink r:id="rId19" w:history="1">
        <w:r w:rsidRPr="007E6F86">
          <w:rPr>
            <w:rStyle w:val="Hipervnculo"/>
            <w:rFonts w:cstheme="minorHAnsi"/>
            <w:color w:val="auto"/>
            <w:sz w:val="20"/>
            <w:szCs w:val="20"/>
          </w:rPr>
          <w:t>http://www.inegi.org.mx/sistemas/bie/default.aspx</w:t>
        </w:r>
      </w:hyperlink>
    </w:p>
    <w:sectPr w:rsidR="00793261" w:rsidRPr="007E6F86" w:rsidSect="003A2CC9"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D55D2" w14:textId="77777777" w:rsidR="00BF48D2" w:rsidRDefault="00BF48D2" w:rsidP="0045458E">
      <w:pPr>
        <w:spacing w:after="0" w:line="240" w:lineRule="auto"/>
      </w:pPr>
      <w:r>
        <w:separator/>
      </w:r>
    </w:p>
  </w:endnote>
  <w:endnote w:type="continuationSeparator" w:id="0">
    <w:p w14:paraId="08785731" w14:textId="77777777" w:rsidR="00BF48D2" w:rsidRDefault="00BF48D2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0E2E1C9" w14:textId="77777777" w:rsidR="00845B10" w:rsidRDefault="00845B1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1BD321" w14:textId="77777777" w:rsidR="00845B10" w:rsidRDefault="00845B10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B97B89">
          <w:rPr>
            <w:noProof/>
            <w:sz w:val="20"/>
            <w:szCs w:val="20"/>
          </w:rPr>
          <w:t>3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FB83" w14:textId="77777777" w:rsidR="00845B10" w:rsidRDefault="00845B1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F72E2" w14:textId="77777777" w:rsidR="00BF48D2" w:rsidRDefault="00BF48D2" w:rsidP="0045458E">
      <w:pPr>
        <w:spacing w:after="0" w:line="240" w:lineRule="auto"/>
      </w:pPr>
      <w:r>
        <w:separator/>
      </w:r>
    </w:p>
  </w:footnote>
  <w:footnote w:type="continuationSeparator" w:id="0">
    <w:p w14:paraId="3126A6CB" w14:textId="77777777" w:rsidR="00BF48D2" w:rsidRDefault="00BF48D2" w:rsidP="0045458E">
      <w:pPr>
        <w:spacing w:after="0" w:line="240" w:lineRule="auto"/>
      </w:pPr>
      <w:r>
        <w:continuationSeparator/>
      </w:r>
    </w:p>
  </w:footnote>
  <w:footnote w:id="1">
    <w:p w14:paraId="37863F39" w14:textId="77777777" w:rsidR="00845B10" w:rsidRPr="00F97B95" w:rsidRDefault="00845B10" w:rsidP="00692848">
      <w:pPr>
        <w:pStyle w:val="Textonotapie"/>
        <w:spacing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EB6148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A finales de 2006 la Secretaría de Economía instrumentó el Programa de la Industria Manufacturera, Maquiladora y de Servicios de Exportación (IMMEX), con el cual las unidades económicas que cumplen con los requisitos para aprovechar las prerrogativas que ofrece, obtienen autorización para elaborar, transformar o reparar bienes importados temporalmente con el propósito de realizar una exportación posterior y/o destinarlos al mercado nacional.</w:t>
      </w:r>
    </w:p>
    <w:p w14:paraId="3434314B" w14:textId="77777777" w:rsidR="00845B10" w:rsidRPr="00F97B95" w:rsidRDefault="00845B10" w:rsidP="0069284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Fonts w:cstheme="minorHAnsi"/>
          <w:sz w:val="14"/>
          <w:szCs w:val="14"/>
        </w:rPr>
        <w:tab/>
        <w:t>Es importante señalar que la Estadística Mensual del Programa IMMEX no es comparable con la Estadística de la Industria Maquiladora de Exportación que generó y publicó el INEGI hasta diciembre de 2006, ya que si bien ambas se basan en programas de fomento al comercio exterior de la Secretaría de Economía, la referente a la Industria Maquiladora de Exportación se centraba exclusivamente en la producción por cuenta ajena destinada al extranjero.</w:t>
      </w:r>
    </w:p>
  </w:footnote>
  <w:footnote w:id="2">
    <w:p w14:paraId="5153DDF1" w14:textId="77777777" w:rsidR="00845B10" w:rsidRPr="00F97B95" w:rsidRDefault="00845B10" w:rsidP="00E07C1C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La gran mayoría de las series económicas se ven afectadas por factores estacionales y de calendario. El ajuste de las cifras por dichos factores permite obtener las cifras desestacionalizadas, cuyo análisis ayuda a realizar un mejor diagnóstico de la evolución de las variables.</w:t>
      </w:r>
    </w:p>
  </w:footnote>
  <w:footnote w:id="3">
    <w:p w14:paraId="19763C45" w14:textId="77777777" w:rsidR="00845B10" w:rsidRPr="00F97B95" w:rsidRDefault="00845B10" w:rsidP="008F691F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723E0D">
        <w:rPr>
          <w:rFonts w:cstheme="minorHAnsi"/>
          <w:sz w:val="14"/>
          <w:szCs w:val="14"/>
        </w:rPr>
        <w:t>Pesos mensuales por persona, deflactados con el INPC</w:t>
      </w:r>
      <w:r>
        <w:rPr>
          <w:rFonts w:cstheme="minorHAnsi"/>
          <w:sz w:val="14"/>
          <w:szCs w:val="14"/>
        </w:rPr>
        <w:t xml:space="preserve"> base segunda quincena de julio de 2018 = 100.</w:t>
      </w:r>
    </w:p>
  </w:footnote>
  <w:footnote w:id="4">
    <w:p w14:paraId="67F2F51C" w14:textId="77777777" w:rsidR="00845B10" w:rsidRPr="00C26542" w:rsidRDefault="00845B10" w:rsidP="00C26542">
      <w:pPr>
        <w:pStyle w:val="Textonotapie"/>
        <w:widowControl w:val="0"/>
        <w:spacing w:before="60" w:after="60" w:line="140" w:lineRule="exact"/>
        <w:ind w:left="170" w:hanging="170"/>
        <w:rPr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>
        <w:tab/>
      </w:r>
      <w:r w:rsidRPr="00C26542">
        <w:rPr>
          <w:rFonts w:cs="Arial"/>
          <w:sz w:val="14"/>
          <w:szCs w:val="14"/>
        </w:rPr>
        <w:t>Variación anual de las cifras desestacionalizadas.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845B10" w14:paraId="701CBB87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15DB92D9" w14:textId="77777777" w:rsidR="00845B10" w:rsidRDefault="00845B10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38E07B" wp14:editId="1B08B14B">
                <wp:extent cx="928800" cy="964800"/>
                <wp:effectExtent l="0" t="0" r="5080" b="6985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845B10" w14:paraId="63F157C4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239D4874" w14:textId="17B3663B" w:rsidR="00845B10" w:rsidRPr="00954400" w:rsidRDefault="00845B10" w:rsidP="00C50082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ENERO 31 DE 2020</w:t>
                </w:r>
              </w:p>
            </w:tc>
          </w:tr>
          <w:tr w:rsidR="00845B10" w14:paraId="724A3673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3CC0DAF0" w14:textId="77777777" w:rsidR="00845B10" w:rsidRDefault="00845B10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INDICADORES DE ESTABLECIMIENTOS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br/>
                  <w:t xml:space="preserve">CON </w:t>
                </w:r>
                <w:r w:rsidRPr="00FA647C"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PROGRAMA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IMMEX</w:t>
                </w:r>
              </w:p>
              <w:p w14:paraId="4D9BEFC5" w14:textId="4C93D539" w:rsidR="00845B10" w:rsidRPr="002F7C2D" w:rsidRDefault="00845B10" w:rsidP="00C50082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NOVIEMBRE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9</w:t>
                </w:r>
              </w:p>
            </w:tc>
          </w:tr>
          <w:tr w:rsidR="00845B10" w:rsidRPr="009F3165" w14:paraId="3FBF3EA0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2417CA79" w14:textId="77777777" w:rsidR="00845B10" w:rsidRPr="009F3165" w:rsidRDefault="00845B10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26D26295" w14:textId="77777777" w:rsidR="00845B10" w:rsidRPr="004E148E" w:rsidRDefault="00845B10" w:rsidP="006D6BAB">
          <w:pPr>
            <w:jc w:val="center"/>
            <w:rPr>
              <w:spacing w:val="20"/>
            </w:rPr>
          </w:pPr>
        </w:p>
      </w:tc>
    </w:tr>
  </w:tbl>
  <w:p w14:paraId="19531C3D" w14:textId="77777777" w:rsidR="00845B10" w:rsidRPr="00DD5C92" w:rsidRDefault="00845B10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93D"/>
    <w:rsid w:val="00011D43"/>
    <w:rsid w:val="0001211B"/>
    <w:rsid w:val="000122EE"/>
    <w:rsid w:val="00012428"/>
    <w:rsid w:val="0001285D"/>
    <w:rsid w:val="00012F13"/>
    <w:rsid w:val="00013645"/>
    <w:rsid w:val="00013EF5"/>
    <w:rsid w:val="00015940"/>
    <w:rsid w:val="00016027"/>
    <w:rsid w:val="000165FB"/>
    <w:rsid w:val="00021BF8"/>
    <w:rsid w:val="000223C2"/>
    <w:rsid w:val="00023DE0"/>
    <w:rsid w:val="00026662"/>
    <w:rsid w:val="00026742"/>
    <w:rsid w:val="000267E6"/>
    <w:rsid w:val="00027F63"/>
    <w:rsid w:val="00030F4D"/>
    <w:rsid w:val="000311DF"/>
    <w:rsid w:val="00031E5C"/>
    <w:rsid w:val="000322DC"/>
    <w:rsid w:val="0003319E"/>
    <w:rsid w:val="00034282"/>
    <w:rsid w:val="00035BF7"/>
    <w:rsid w:val="00036B61"/>
    <w:rsid w:val="00037372"/>
    <w:rsid w:val="000377AA"/>
    <w:rsid w:val="00041020"/>
    <w:rsid w:val="00042F60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67E"/>
    <w:rsid w:val="00054BDA"/>
    <w:rsid w:val="000555B8"/>
    <w:rsid w:val="00056346"/>
    <w:rsid w:val="00057A11"/>
    <w:rsid w:val="00060CE8"/>
    <w:rsid w:val="00060EC2"/>
    <w:rsid w:val="00061403"/>
    <w:rsid w:val="00063359"/>
    <w:rsid w:val="0006419E"/>
    <w:rsid w:val="00065299"/>
    <w:rsid w:val="00065EBC"/>
    <w:rsid w:val="0006605A"/>
    <w:rsid w:val="00067189"/>
    <w:rsid w:val="00070980"/>
    <w:rsid w:val="00070ADD"/>
    <w:rsid w:val="00071138"/>
    <w:rsid w:val="0007134E"/>
    <w:rsid w:val="00071578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5D7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D2A"/>
    <w:rsid w:val="000A11F7"/>
    <w:rsid w:val="000A152A"/>
    <w:rsid w:val="000A2BB6"/>
    <w:rsid w:val="000A2BD8"/>
    <w:rsid w:val="000A3AD4"/>
    <w:rsid w:val="000A4EAB"/>
    <w:rsid w:val="000A4F0A"/>
    <w:rsid w:val="000A5BAC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53A5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E7B"/>
    <w:rsid w:val="000E3EC0"/>
    <w:rsid w:val="000E5049"/>
    <w:rsid w:val="000E58DB"/>
    <w:rsid w:val="000E6422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DA8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DAB"/>
    <w:rsid w:val="00113F2F"/>
    <w:rsid w:val="00114695"/>
    <w:rsid w:val="0011521F"/>
    <w:rsid w:val="00115A33"/>
    <w:rsid w:val="00115B36"/>
    <w:rsid w:val="00115E6B"/>
    <w:rsid w:val="00115ED2"/>
    <w:rsid w:val="00116B64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70A"/>
    <w:rsid w:val="0014398F"/>
    <w:rsid w:val="00145893"/>
    <w:rsid w:val="00145DBA"/>
    <w:rsid w:val="00146579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681A"/>
    <w:rsid w:val="00167634"/>
    <w:rsid w:val="00170AE5"/>
    <w:rsid w:val="001712DE"/>
    <w:rsid w:val="001721B8"/>
    <w:rsid w:val="00173F6C"/>
    <w:rsid w:val="001744DD"/>
    <w:rsid w:val="00174A5E"/>
    <w:rsid w:val="00175E15"/>
    <w:rsid w:val="001765F0"/>
    <w:rsid w:val="00177A61"/>
    <w:rsid w:val="001802A6"/>
    <w:rsid w:val="00180C7A"/>
    <w:rsid w:val="00180ECF"/>
    <w:rsid w:val="0018105D"/>
    <w:rsid w:val="00183656"/>
    <w:rsid w:val="00184D50"/>
    <w:rsid w:val="00184D7C"/>
    <w:rsid w:val="001858F0"/>
    <w:rsid w:val="00185FD1"/>
    <w:rsid w:val="00186607"/>
    <w:rsid w:val="001904C0"/>
    <w:rsid w:val="00191EEA"/>
    <w:rsid w:val="00191FE3"/>
    <w:rsid w:val="00192BBD"/>
    <w:rsid w:val="00193935"/>
    <w:rsid w:val="00193CD9"/>
    <w:rsid w:val="00193CE0"/>
    <w:rsid w:val="00194AD9"/>
    <w:rsid w:val="001958CF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F89"/>
    <w:rsid w:val="001B4CCF"/>
    <w:rsid w:val="001B54CC"/>
    <w:rsid w:val="001B5B7D"/>
    <w:rsid w:val="001B5D2B"/>
    <w:rsid w:val="001C0290"/>
    <w:rsid w:val="001C14FC"/>
    <w:rsid w:val="001C151E"/>
    <w:rsid w:val="001C2296"/>
    <w:rsid w:val="001C3652"/>
    <w:rsid w:val="001C4DE7"/>
    <w:rsid w:val="001C5C52"/>
    <w:rsid w:val="001C5D57"/>
    <w:rsid w:val="001C63D6"/>
    <w:rsid w:val="001C6E11"/>
    <w:rsid w:val="001C7059"/>
    <w:rsid w:val="001D10D3"/>
    <w:rsid w:val="001D21B2"/>
    <w:rsid w:val="001D27B5"/>
    <w:rsid w:val="001D27F5"/>
    <w:rsid w:val="001D29A9"/>
    <w:rsid w:val="001D3788"/>
    <w:rsid w:val="001D37DD"/>
    <w:rsid w:val="001D546A"/>
    <w:rsid w:val="001D553A"/>
    <w:rsid w:val="001D6FD4"/>
    <w:rsid w:val="001D7422"/>
    <w:rsid w:val="001D7B76"/>
    <w:rsid w:val="001D7D68"/>
    <w:rsid w:val="001E0B1E"/>
    <w:rsid w:val="001E1FE6"/>
    <w:rsid w:val="001E2FC1"/>
    <w:rsid w:val="001E504C"/>
    <w:rsid w:val="001F384E"/>
    <w:rsid w:val="001F59C4"/>
    <w:rsid w:val="001F7911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2133"/>
    <w:rsid w:val="00212181"/>
    <w:rsid w:val="00212282"/>
    <w:rsid w:val="0021236D"/>
    <w:rsid w:val="00213753"/>
    <w:rsid w:val="002142A0"/>
    <w:rsid w:val="00214A1C"/>
    <w:rsid w:val="00214CAF"/>
    <w:rsid w:val="00214D2E"/>
    <w:rsid w:val="00214E61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9C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40487"/>
    <w:rsid w:val="00242965"/>
    <w:rsid w:val="00242CC2"/>
    <w:rsid w:val="00242E61"/>
    <w:rsid w:val="0024390C"/>
    <w:rsid w:val="00243A42"/>
    <w:rsid w:val="00244B6B"/>
    <w:rsid w:val="00245748"/>
    <w:rsid w:val="00245A67"/>
    <w:rsid w:val="00246251"/>
    <w:rsid w:val="00247432"/>
    <w:rsid w:val="002476CE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16A4"/>
    <w:rsid w:val="00283C38"/>
    <w:rsid w:val="002916D3"/>
    <w:rsid w:val="00293966"/>
    <w:rsid w:val="00294CD1"/>
    <w:rsid w:val="00294DB0"/>
    <w:rsid w:val="00297A69"/>
    <w:rsid w:val="00297AD1"/>
    <w:rsid w:val="00297BA1"/>
    <w:rsid w:val="002A1DE0"/>
    <w:rsid w:val="002A253B"/>
    <w:rsid w:val="002A35BC"/>
    <w:rsid w:val="002A38A4"/>
    <w:rsid w:val="002A578A"/>
    <w:rsid w:val="002A73C5"/>
    <w:rsid w:val="002A7D6D"/>
    <w:rsid w:val="002B17CB"/>
    <w:rsid w:val="002B33CB"/>
    <w:rsid w:val="002B3F29"/>
    <w:rsid w:val="002B4A5D"/>
    <w:rsid w:val="002B4C3C"/>
    <w:rsid w:val="002B5370"/>
    <w:rsid w:val="002C094A"/>
    <w:rsid w:val="002C2529"/>
    <w:rsid w:val="002C5B56"/>
    <w:rsid w:val="002C5BD5"/>
    <w:rsid w:val="002C6066"/>
    <w:rsid w:val="002C6F71"/>
    <w:rsid w:val="002D0083"/>
    <w:rsid w:val="002D29C0"/>
    <w:rsid w:val="002D2AC6"/>
    <w:rsid w:val="002D2E29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12A3"/>
    <w:rsid w:val="002E358F"/>
    <w:rsid w:val="002E44E5"/>
    <w:rsid w:val="002E78C4"/>
    <w:rsid w:val="002F1C94"/>
    <w:rsid w:val="002F2357"/>
    <w:rsid w:val="002F2361"/>
    <w:rsid w:val="002F3178"/>
    <w:rsid w:val="002F67DD"/>
    <w:rsid w:val="002F76D5"/>
    <w:rsid w:val="002F7C2D"/>
    <w:rsid w:val="00300135"/>
    <w:rsid w:val="0030017E"/>
    <w:rsid w:val="003001A1"/>
    <w:rsid w:val="003032C7"/>
    <w:rsid w:val="00304058"/>
    <w:rsid w:val="00305FB6"/>
    <w:rsid w:val="00306818"/>
    <w:rsid w:val="00306FB4"/>
    <w:rsid w:val="0031042A"/>
    <w:rsid w:val="00310E57"/>
    <w:rsid w:val="00311F9E"/>
    <w:rsid w:val="0031547D"/>
    <w:rsid w:val="00316078"/>
    <w:rsid w:val="0031687B"/>
    <w:rsid w:val="00316D34"/>
    <w:rsid w:val="00316E82"/>
    <w:rsid w:val="003209B2"/>
    <w:rsid w:val="00320AD7"/>
    <w:rsid w:val="00324DCF"/>
    <w:rsid w:val="0032592B"/>
    <w:rsid w:val="003261B5"/>
    <w:rsid w:val="003268F0"/>
    <w:rsid w:val="0032732A"/>
    <w:rsid w:val="003273AC"/>
    <w:rsid w:val="00330499"/>
    <w:rsid w:val="003304EE"/>
    <w:rsid w:val="0033141E"/>
    <w:rsid w:val="00332709"/>
    <w:rsid w:val="00332D0E"/>
    <w:rsid w:val="00333BB2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67C2"/>
    <w:rsid w:val="00347161"/>
    <w:rsid w:val="003479D5"/>
    <w:rsid w:val="003511B2"/>
    <w:rsid w:val="00354E39"/>
    <w:rsid w:val="00354FD7"/>
    <w:rsid w:val="00360CAC"/>
    <w:rsid w:val="00360D9A"/>
    <w:rsid w:val="00360DBD"/>
    <w:rsid w:val="003625FE"/>
    <w:rsid w:val="003627BF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A7"/>
    <w:rsid w:val="00385850"/>
    <w:rsid w:val="00385AD5"/>
    <w:rsid w:val="003860ED"/>
    <w:rsid w:val="003862B6"/>
    <w:rsid w:val="00386C51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A1015"/>
    <w:rsid w:val="003A1C81"/>
    <w:rsid w:val="003A2CC9"/>
    <w:rsid w:val="003A45AC"/>
    <w:rsid w:val="003A4B70"/>
    <w:rsid w:val="003A5BEA"/>
    <w:rsid w:val="003A6F43"/>
    <w:rsid w:val="003A79D2"/>
    <w:rsid w:val="003B0E52"/>
    <w:rsid w:val="003B11B2"/>
    <w:rsid w:val="003B1D2B"/>
    <w:rsid w:val="003B345B"/>
    <w:rsid w:val="003B51A0"/>
    <w:rsid w:val="003B541E"/>
    <w:rsid w:val="003B58AD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D04CD"/>
    <w:rsid w:val="003D11D3"/>
    <w:rsid w:val="003D60B2"/>
    <w:rsid w:val="003D6D7E"/>
    <w:rsid w:val="003D741E"/>
    <w:rsid w:val="003D7A6E"/>
    <w:rsid w:val="003E146B"/>
    <w:rsid w:val="003E1800"/>
    <w:rsid w:val="003E20DF"/>
    <w:rsid w:val="003E348B"/>
    <w:rsid w:val="003E369A"/>
    <w:rsid w:val="003E4053"/>
    <w:rsid w:val="003E533B"/>
    <w:rsid w:val="003E5777"/>
    <w:rsid w:val="003E63CA"/>
    <w:rsid w:val="003E6F8F"/>
    <w:rsid w:val="003E7214"/>
    <w:rsid w:val="003F0088"/>
    <w:rsid w:val="003F0135"/>
    <w:rsid w:val="003F240A"/>
    <w:rsid w:val="003F2F6F"/>
    <w:rsid w:val="003F36A5"/>
    <w:rsid w:val="003F3F68"/>
    <w:rsid w:val="00400AD2"/>
    <w:rsid w:val="004012F8"/>
    <w:rsid w:val="00402A0F"/>
    <w:rsid w:val="00402B60"/>
    <w:rsid w:val="00403092"/>
    <w:rsid w:val="00403C1A"/>
    <w:rsid w:val="00406DF4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4510"/>
    <w:rsid w:val="00424FB7"/>
    <w:rsid w:val="004268E0"/>
    <w:rsid w:val="004275FD"/>
    <w:rsid w:val="00427BF7"/>
    <w:rsid w:val="0043061D"/>
    <w:rsid w:val="004312F4"/>
    <w:rsid w:val="004320AC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50CD"/>
    <w:rsid w:val="00445738"/>
    <w:rsid w:val="00445747"/>
    <w:rsid w:val="00445973"/>
    <w:rsid w:val="00446593"/>
    <w:rsid w:val="00446BBD"/>
    <w:rsid w:val="00450972"/>
    <w:rsid w:val="00450E39"/>
    <w:rsid w:val="004528AC"/>
    <w:rsid w:val="004535A2"/>
    <w:rsid w:val="004536D2"/>
    <w:rsid w:val="00453F0C"/>
    <w:rsid w:val="0045458E"/>
    <w:rsid w:val="00455871"/>
    <w:rsid w:val="00455ACC"/>
    <w:rsid w:val="004561C4"/>
    <w:rsid w:val="004570DD"/>
    <w:rsid w:val="004608B9"/>
    <w:rsid w:val="00460964"/>
    <w:rsid w:val="004617CA"/>
    <w:rsid w:val="00462737"/>
    <w:rsid w:val="00462CB4"/>
    <w:rsid w:val="00463A8A"/>
    <w:rsid w:val="00464E0E"/>
    <w:rsid w:val="00464E59"/>
    <w:rsid w:val="00465467"/>
    <w:rsid w:val="004657EE"/>
    <w:rsid w:val="00466405"/>
    <w:rsid w:val="00466892"/>
    <w:rsid w:val="00467C55"/>
    <w:rsid w:val="004704AB"/>
    <w:rsid w:val="0047172B"/>
    <w:rsid w:val="00471F92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1DE6"/>
    <w:rsid w:val="00493BF4"/>
    <w:rsid w:val="004941FA"/>
    <w:rsid w:val="004948C2"/>
    <w:rsid w:val="00495A79"/>
    <w:rsid w:val="0049700D"/>
    <w:rsid w:val="0049724C"/>
    <w:rsid w:val="004973CA"/>
    <w:rsid w:val="0049778E"/>
    <w:rsid w:val="004A070B"/>
    <w:rsid w:val="004A1A86"/>
    <w:rsid w:val="004A1B0C"/>
    <w:rsid w:val="004A3E56"/>
    <w:rsid w:val="004A493F"/>
    <w:rsid w:val="004A6C58"/>
    <w:rsid w:val="004B0B2D"/>
    <w:rsid w:val="004B146D"/>
    <w:rsid w:val="004B19D8"/>
    <w:rsid w:val="004B2B99"/>
    <w:rsid w:val="004B3525"/>
    <w:rsid w:val="004B3CA6"/>
    <w:rsid w:val="004B4AE9"/>
    <w:rsid w:val="004B4E59"/>
    <w:rsid w:val="004B6D2E"/>
    <w:rsid w:val="004B79EA"/>
    <w:rsid w:val="004C0BE1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CD6"/>
    <w:rsid w:val="004F52A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72B"/>
    <w:rsid w:val="00516FD8"/>
    <w:rsid w:val="00517B38"/>
    <w:rsid w:val="005203EE"/>
    <w:rsid w:val="00520443"/>
    <w:rsid w:val="00520576"/>
    <w:rsid w:val="00522D18"/>
    <w:rsid w:val="00524198"/>
    <w:rsid w:val="005247F2"/>
    <w:rsid w:val="005252E2"/>
    <w:rsid w:val="005273A5"/>
    <w:rsid w:val="00527FD3"/>
    <w:rsid w:val="0053091C"/>
    <w:rsid w:val="00530DB8"/>
    <w:rsid w:val="0053168F"/>
    <w:rsid w:val="00533450"/>
    <w:rsid w:val="005338ED"/>
    <w:rsid w:val="0053394E"/>
    <w:rsid w:val="00533B6D"/>
    <w:rsid w:val="005362A6"/>
    <w:rsid w:val="00536D99"/>
    <w:rsid w:val="0053783D"/>
    <w:rsid w:val="005378EA"/>
    <w:rsid w:val="00537ED6"/>
    <w:rsid w:val="005400A5"/>
    <w:rsid w:val="0054136C"/>
    <w:rsid w:val="00541DEC"/>
    <w:rsid w:val="00543DD8"/>
    <w:rsid w:val="0054449D"/>
    <w:rsid w:val="00544948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10F"/>
    <w:rsid w:val="005526C9"/>
    <w:rsid w:val="00552B97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80ECE"/>
    <w:rsid w:val="00581366"/>
    <w:rsid w:val="00581A2F"/>
    <w:rsid w:val="00582C1F"/>
    <w:rsid w:val="0058427B"/>
    <w:rsid w:val="00591C57"/>
    <w:rsid w:val="0059397A"/>
    <w:rsid w:val="00593E97"/>
    <w:rsid w:val="00594790"/>
    <w:rsid w:val="0059495E"/>
    <w:rsid w:val="005949A7"/>
    <w:rsid w:val="00595976"/>
    <w:rsid w:val="00595C74"/>
    <w:rsid w:val="00596816"/>
    <w:rsid w:val="00596E4A"/>
    <w:rsid w:val="005A014F"/>
    <w:rsid w:val="005A06A7"/>
    <w:rsid w:val="005A0F34"/>
    <w:rsid w:val="005A0F99"/>
    <w:rsid w:val="005A1663"/>
    <w:rsid w:val="005A181B"/>
    <w:rsid w:val="005A291E"/>
    <w:rsid w:val="005A36C2"/>
    <w:rsid w:val="005A60A1"/>
    <w:rsid w:val="005A79FE"/>
    <w:rsid w:val="005B19FD"/>
    <w:rsid w:val="005B22A6"/>
    <w:rsid w:val="005B382A"/>
    <w:rsid w:val="005B5EC1"/>
    <w:rsid w:val="005B625C"/>
    <w:rsid w:val="005B6CAF"/>
    <w:rsid w:val="005B72C5"/>
    <w:rsid w:val="005B7CB7"/>
    <w:rsid w:val="005C0117"/>
    <w:rsid w:val="005C1898"/>
    <w:rsid w:val="005C21C8"/>
    <w:rsid w:val="005C3206"/>
    <w:rsid w:val="005C369E"/>
    <w:rsid w:val="005C3E39"/>
    <w:rsid w:val="005C48B8"/>
    <w:rsid w:val="005C681B"/>
    <w:rsid w:val="005D0FE0"/>
    <w:rsid w:val="005D12C6"/>
    <w:rsid w:val="005D18CC"/>
    <w:rsid w:val="005D2DB8"/>
    <w:rsid w:val="005D3509"/>
    <w:rsid w:val="005D3597"/>
    <w:rsid w:val="005D3659"/>
    <w:rsid w:val="005D5413"/>
    <w:rsid w:val="005D6114"/>
    <w:rsid w:val="005D6166"/>
    <w:rsid w:val="005D67A1"/>
    <w:rsid w:val="005D7CEB"/>
    <w:rsid w:val="005E08A0"/>
    <w:rsid w:val="005E0E71"/>
    <w:rsid w:val="005E3897"/>
    <w:rsid w:val="005E48E5"/>
    <w:rsid w:val="005E6A22"/>
    <w:rsid w:val="005E71AF"/>
    <w:rsid w:val="005E78B4"/>
    <w:rsid w:val="005E7C06"/>
    <w:rsid w:val="005F21A8"/>
    <w:rsid w:val="005F22AF"/>
    <w:rsid w:val="005F2B3F"/>
    <w:rsid w:val="005F2FE8"/>
    <w:rsid w:val="005F3878"/>
    <w:rsid w:val="005F5AB8"/>
    <w:rsid w:val="005F67DC"/>
    <w:rsid w:val="005F69A5"/>
    <w:rsid w:val="005F6A76"/>
    <w:rsid w:val="005F762A"/>
    <w:rsid w:val="005F7BD2"/>
    <w:rsid w:val="00600539"/>
    <w:rsid w:val="006014FB"/>
    <w:rsid w:val="00601B0B"/>
    <w:rsid w:val="0060209E"/>
    <w:rsid w:val="00602E58"/>
    <w:rsid w:val="0060421C"/>
    <w:rsid w:val="00610151"/>
    <w:rsid w:val="0061156D"/>
    <w:rsid w:val="00613284"/>
    <w:rsid w:val="00615276"/>
    <w:rsid w:val="00617B82"/>
    <w:rsid w:val="006202E5"/>
    <w:rsid w:val="00620A11"/>
    <w:rsid w:val="00622F65"/>
    <w:rsid w:val="00623DDE"/>
    <w:rsid w:val="00623FBA"/>
    <w:rsid w:val="00625F66"/>
    <w:rsid w:val="006266F2"/>
    <w:rsid w:val="00626B33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294"/>
    <w:rsid w:val="0063638D"/>
    <w:rsid w:val="006418D7"/>
    <w:rsid w:val="00642EC9"/>
    <w:rsid w:val="00643A4F"/>
    <w:rsid w:val="00643AF2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9EA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ECD"/>
    <w:rsid w:val="00677306"/>
    <w:rsid w:val="006773D2"/>
    <w:rsid w:val="00680C4F"/>
    <w:rsid w:val="00680DB7"/>
    <w:rsid w:val="006828AC"/>
    <w:rsid w:val="0068338D"/>
    <w:rsid w:val="0068379E"/>
    <w:rsid w:val="00683B53"/>
    <w:rsid w:val="0068617F"/>
    <w:rsid w:val="006871C6"/>
    <w:rsid w:val="006872C9"/>
    <w:rsid w:val="00690480"/>
    <w:rsid w:val="006912D4"/>
    <w:rsid w:val="00692181"/>
    <w:rsid w:val="00692848"/>
    <w:rsid w:val="0069576A"/>
    <w:rsid w:val="00696955"/>
    <w:rsid w:val="00696DF9"/>
    <w:rsid w:val="006977D2"/>
    <w:rsid w:val="00697856"/>
    <w:rsid w:val="006A0CDD"/>
    <w:rsid w:val="006A1109"/>
    <w:rsid w:val="006A29CE"/>
    <w:rsid w:val="006A2EEE"/>
    <w:rsid w:val="006A463D"/>
    <w:rsid w:val="006A5423"/>
    <w:rsid w:val="006A6D79"/>
    <w:rsid w:val="006A7091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5172"/>
    <w:rsid w:val="006C5DCA"/>
    <w:rsid w:val="006C6931"/>
    <w:rsid w:val="006C7FA5"/>
    <w:rsid w:val="006D0C81"/>
    <w:rsid w:val="006D227D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3B15"/>
    <w:rsid w:val="006F4E61"/>
    <w:rsid w:val="006F5FAC"/>
    <w:rsid w:val="006F63CD"/>
    <w:rsid w:val="006F6783"/>
    <w:rsid w:val="006F6AF4"/>
    <w:rsid w:val="00700DDC"/>
    <w:rsid w:val="00700F0B"/>
    <w:rsid w:val="0070139D"/>
    <w:rsid w:val="00701D40"/>
    <w:rsid w:val="00702D0E"/>
    <w:rsid w:val="007038DA"/>
    <w:rsid w:val="00703D59"/>
    <w:rsid w:val="00703DB5"/>
    <w:rsid w:val="00703F3E"/>
    <w:rsid w:val="00704321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0AF5"/>
    <w:rsid w:val="007217F3"/>
    <w:rsid w:val="007219EB"/>
    <w:rsid w:val="007227E7"/>
    <w:rsid w:val="00723E0D"/>
    <w:rsid w:val="00725408"/>
    <w:rsid w:val="00726788"/>
    <w:rsid w:val="0072693F"/>
    <w:rsid w:val="00727E09"/>
    <w:rsid w:val="00727E8A"/>
    <w:rsid w:val="00727F61"/>
    <w:rsid w:val="00730059"/>
    <w:rsid w:val="00730B49"/>
    <w:rsid w:val="00731417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3DC2"/>
    <w:rsid w:val="0074581B"/>
    <w:rsid w:val="00745C01"/>
    <w:rsid w:val="00746DE3"/>
    <w:rsid w:val="00747119"/>
    <w:rsid w:val="0074739E"/>
    <w:rsid w:val="007541E8"/>
    <w:rsid w:val="00754AE1"/>
    <w:rsid w:val="007551F4"/>
    <w:rsid w:val="0075577C"/>
    <w:rsid w:val="00755BF5"/>
    <w:rsid w:val="00755C0D"/>
    <w:rsid w:val="0075606B"/>
    <w:rsid w:val="007560E8"/>
    <w:rsid w:val="00760219"/>
    <w:rsid w:val="00761810"/>
    <w:rsid w:val="00761AC4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76F94"/>
    <w:rsid w:val="007801DB"/>
    <w:rsid w:val="00780C63"/>
    <w:rsid w:val="00780F1F"/>
    <w:rsid w:val="0078258B"/>
    <w:rsid w:val="007832D2"/>
    <w:rsid w:val="007843B5"/>
    <w:rsid w:val="0078440B"/>
    <w:rsid w:val="00785828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FD3"/>
    <w:rsid w:val="007B29F3"/>
    <w:rsid w:val="007B4AC3"/>
    <w:rsid w:val="007B5EF9"/>
    <w:rsid w:val="007B6D85"/>
    <w:rsid w:val="007C07A3"/>
    <w:rsid w:val="007C0ACB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DC7"/>
    <w:rsid w:val="007D503B"/>
    <w:rsid w:val="007D77B9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6F86"/>
    <w:rsid w:val="007E7337"/>
    <w:rsid w:val="007E79AE"/>
    <w:rsid w:val="007F00D0"/>
    <w:rsid w:val="007F0209"/>
    <w:rsid w:val="007F0EA0"/>
    <w:rsid w:val="007F156F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152E"/>
    <w:rsid w:val="00812015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CFD"/>
    <w:rsid w:val="00827E31"/>
    <w:rsid w:val="00827F31"/>
    <w:rsid w:val="00830610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5B10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18B8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5A77"/>
    <w:rsid w:val="008B7794"/>
    <w:rsid w:val="008B790A"/>
    <w:rsid w:val="008C0471"/>
    <w:rsid w:val="008C1A8D"/>
    <w:rsid w:val="008C2554"/>
    <w:rsid w:val="008C3E8B"/>
    <w:rsid w:val="008C4DA6"/>
    <w:rsid w:val="008C5BAB"/>
    <w:rsid w:val="008C62F1"/>
    <w:rsid w:val="008C7F07"/>
    <w:rsid w:val="008D0429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BD5"/>
    <w:rsid w:val="008E6658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69"/>
    <w:rsid w:val="00913AED"/>
    <w:rsid w:val="00914138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5209"/>
    <w:rsid w:val="0092626B"/>
    <w:rsid w:val="0092682F"/>
    <w:rsid w:val="0093013A"/>
    <w:rsid w:val="009306FF"/>
    <w:rsid w:val="00931B0F"/>
    <w:rsid w:val="00932628"/>
    <w:rsid w:val="0093446C"/>
    <w:rsid w:val="00934517"/>
    <w:rsid w:val="00935E03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B90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56E5"/>
    <w:rsid w:val="00985EB2"/>
    <w:rsid w:val="009905AA"/>
    <w:rsid w:val="009912E9"/>
    <w:rsid w:val="00991B4B"/>
    <w:rsid w:val="00991ED6"/>
    <w:rsid w:val="0099468B"/>
    <w:rsid w:val="009955F6"/>
    <w:rsid w:val="009959BA"/>
    <w:rsid w:val="009960EE"/>
    <w:rsid w:val="009962A3"/>
    <w:rsid w:val="009979CA"/>
    <w:rsid w:val="00997D01"/>
    <w:rsid w:val="009A046A"/>
    <w:rsid w:val="009A1DBA"/>
    <w:rsid w:val="009A200A"/>
    <w:rsid w:val="009A40D3"/>
    <w:rsid w:val="009A43A7"/>
    <w:rsid w:val="009A48B4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527"/>
    <w:rsid w:val="009B4A04"/>
    <w:rsid w:val="009B5E6C"/>
    <w:rsid w:val="009B6A40"/>
    <w:rsid w:val="009B76F8"/>
    <w:rsid w:val="009C1A61"/>
    <w:rsid w:val="009C200B"/>
    <w:rsid w:val="009C2FE0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488"/>
    <w:rsid w:val="009F3C5E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43"/>
    <w:rsid w:val="00A01E89"/>
    <w:rsid w:val="00A02A7B"/>
    <w:rsid w:val="00A030A2"/>
    <w:rsid w:val="00A03701"/>
    <w:rsid w:val="00A04BEA"/>
    <w:rsid w:val="00A04E0D"/>
    <w:rsid w:val="00A0771D"/>
    <w:rsid w:val="00A07B2D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EBF"/>
    <w:rsid w:val="00A21126"/>
    <w:rsid w:val="00A232C2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5AD8"/>
    <w:rsid w:val="00A46E33"/>
    <w:rsid w:val="00A50887"/>
    <w:rsid w:val="00A51E27"/>
    <w:rsid w:val="00A51EF6"/>
    <w:rsid w:val="00A524FD"/>
    <w:rsid w:val="00A53D65"/>
    <w:rsid w:val="00A5403E"/>
    <w:rsid w:val="00A54347"/>
    <w:rsid w:val="00A54DBE"/>
    <w:rsid w:val="00A55855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A2ECF"/>
    <w:rsid w:val="00AA402B"/>
    <w:rsid w:val="00AB048B"/>
    <w:rsid w:val="00AB0B57"/>
    <w:rsid w:val="00AB3673"/>
    <w:rsid w:val="00AB4F9D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439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A5B"/>
    <w:rsid w:val="00B20CA7"/>
    <w:rsid w:val="00B217FD"/>
    <w:rsid w:val="00B231BF"/>
    <w:rsid w:val="00B234A9"/>
    <w:rsid w:val="00B23715"/>
    <w:rsid w:val="00B23D68"/>
    <w:rsid w:val="00B243C9"/>
    <w:rsid w:val="00B2650A"/>
    <w:rsid w:val="00B26848"/>
    <w:rsid w:val="00B27855"/>
    <w:rsid w:val="00B2795B"/>
    <w:rsid w:val="00B3000D"/>
    <w:rsid w:val="00B30C13"/>
    <w:rsid w:val="00B30ED5"/>
    <w:rsid w:val="00B3174F"/>
    <w:rsid w:val="00B3277F"/>
    <w:rsid w:val="00B3302F"/>
    <w:rsid w:val="00B3384C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8CB"/>
    <w:rsid w:val="00B52A23"/>
    <w:rsid w:val="00B52B8F"/>
    <w:rsid w:val="00B53645"/>
    <w:rsid w:val="00B54A1F"/>
    <w:rsid w:val="00B54B71"/>
    <w:rsid w:val="00B55D4E"/>
    <w:rsid w:val="00B57DB9"/>
    <w:rsid w:val="00B60898"/>
    <w:rsid w:val="00B60E68"/>
    <w:rsid w:val="00B6283E"/>
    <w:rsid w:val="00B62D35"/>
    <w:rsid w:val="00B6311F"/>
    <w:rsid w:val="00B64033"/>
    <w:rsid w:val="00B65AF8"/>
    <w:rsid w:val="00B66B49"/>
    <w:rsid w:val="00B66C4C"/>
    <w:rsid w:val="00B67644"/>
    <w:rsid w:val="00B679B4"/>
    <w:rsid w:val="00B67B43"/>
    <w:rsid w:val="00B70972"/>
    <w:rsid w:val="00B7267F"/>
    <w:rsid w:val="00B72C7F"/>
    <w:rsid w:val="00B732CB"/>
    <w:rsid w:val="00B74AC9"/>
    <w:rsid w:val="00B74D30"/>
    <w:rsid w:val="00B77919"/>
    <w:rsid w:val="00B80ED1"/>
    <w:rsid w:val="00B81A7A"/>
    <w:rsid w:val="00B8250D"/>
    <w:rsid w:val="00B82B5A"/>
    <w:rsid w:val="00B830DA"/>
    <w:rsid w:val="00B8343F"/>
    <w:rsid w:val="00B83863"/>
    <w:rsid w:val="00B83B66"/>
    <w:rsid w:val="00B844EF"/>
    <w:rsid w:val="00B84B72"/>
    <w:rsid w:val="00B85441"/>
    <w:rsid w:val="00B8619C"/>
    <w:rsid w:val="00B873BF"/>
    <w:rsid w:val="00B907E9"/>
    <w:rsid w:val="00B90F3B"/>
    <w:rsid w:val="00B91492"/>
    <w:rsid w:val="00B92D6D"/>
    <w:rsid w:val="00B92F3D"/>
    <w:rsid w:val="00B93F1A"/>
    <w:rsid w:val="00B94037"/>
    <w:rsid w:val="00B94959"/>
    <w:rsid w:val="00B95427"/>
    <w:rsid w:val="00B96854"/>
    <w:rsid w:val="00B96B13"/>
    <w:rsid w:val="00B97061"/>
    <w:rsid w:val="00B97828"/>
    <w:rsid w:val="00B97B89"/>
    <w:rsid w:val="00BA0D47"/>
    <w:rsid w:val="00BA2BB1"/>
    <w:rsid w:val="00BA2E0B"/>
    <w:rsid w:val="00BA3A75"/>
    <w:rsid w:val="00BA3C98"/>
    <w:rsid w:val="00BA6043"/>
    <w:rsid w:val="00BA6823"/>
    <w:rsid w:val="00BA78C6"/>
    <w:rsid w:val="00BA7DF0"/>
    <w:rsid w:val="00BA7F4D"/>
    <w:rsid w:val="00BA7FA9"/>
    <w:rsid w:val="00BB1E7D"/>
    <w:rsid w:val="00BB3093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098C"/>
    <w:rsid w:val="00BC1359"/>
    <w:rsid w:val="00BC27E0"/>
    <w:rsid w:val="00BC41C1"/>
    <w:rsid w:val="00BC4931"/>
    <w:rsid w:val="00BC49C1"/>
    <w:rsid w:val="00BC4C76"/>
    <w:rsid w:val="00BC53BE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45FA"/>
    <w:rsid w:val="00BD5A51"/>
    <w:rsid w:val="00BD6A72"/>
    <w:rsid w:val="00BD6A97"/>
    <w:rsid w:val="00BE0F22"/>
    <w:rsid w:val="00BE1353"/>
    <w:rsid w:val="00BE2D4D"/>
    <w:rsid w:val="00BE5080"/>
    <w:rsid w:val="00BE565C"/>
    <w:rsid w:val="00BE5E13"/>
    <w:rsid w:val="00BE6659"/>
    <w:rsid w:val="00BE697F"/>
    <w:rsid w:val="00BF0914"/>
    <w:rsid w:val="00BF0AC5"/>
    <w:rsid w:val="00BF103C"/>
    <w:rsid w:val="00BF23FE"/>
    <w:rsid w:val="00BF3202"/>
    <w:rsid w:val="00BF479F"/>
    <w:rsid w:val="00BF486E"/>
    <w:rsid w:val="00BF48D2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5E06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D5B"/>
    <w:rsid w:val="00C231AE"/>
    <w:rsid w:val="00C2457E"/>
    <w:rsid w:val="00C246F8"/>
    <w:rsid w:val="00C25E58"/>
    <w:rsid w:val="00C26542"/>
    <w:rsid w:val="00C26643"/>
    <w:rsid w:val="00C27F00"/>
    <w:rsid w:val="00C31992"/>
    <w:rsid w:val="00C32297"/>
    <w:rsid w:val="00C367B3"/>
    <w:rsid w:val="00C36DB3"/>
    <w:rsid w:val="00C43EF4"/>
    <w:rsid w:val="00C44404"/>
    <w:rsid w:val="00C46203"/>
    <w:rsid w:val="00C46E4C"/>
    <w:rsid w:val="00C47376"/>
    <w:rsid w:val="00C47D1A"/>
    <w:rsid w:val="00C50082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12F6"/>
    <w:rsid w:val="00C91301"/>
    <w:rsid w:val="00C91370"/>
    <w:rsid w:val="00C92152"/>
    <w:rsid w:val="00C92341"/>
    <w:rsid w:val="00C92650"/>
    <w:rsid w:val="00C9269B"/>
    <w:rsid w:val="00C92E4C"/>
    <w:rsid w:val="00C93621"/>
    <w:rsid w:val="00C95890"/>
    <w:rsid w:val="00C969E9"/>
    <w:rsid w:val="00CA07DB"/>
    <w:rsid w:val="00CA1AB1"/>
    <w:rsid w:val="00CA3715"/>
    <w:rsid w:val="00CA45B4"/>
    <w:rsid w:val="00CA46C7"/>
    <w:rsid w:val="00CA6295"/>
    <w:rsid w:val="00CA72CD"/>
    <w:rsid w:val="00CA778A"/>
    <w:rsid w:val="00CB029D"/>
    <w:rsid w:val="00CB03CC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646B"/>
    <w:rsid w:val="00CD6CCF"/>
    <w:rsid w:val="00CE2036"/>
    <w:rsid w:val="00CE2FF4"/>
    <w:rsid w:val="00CE3CA7"/>
    <w:rsid w:val="00CE4B53"/>
    <w:rsid w:val="00CE50BE"/>
    <w:rsid w:val="00CE5DF4"/>
    <w:rsid w:val="00CE5F60"/>
    <w:rsid w:val="00CE7240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6399"/>
    <w:rsid w:val="00D06F69"/>
    <w:rsid w:val="00D10A85"/>
    <w:rsid w:val="00D133A9"/>
    <w:rsid w:val="00D146DD"/>
    <w:rsid w:val="00D1508F"/>
    <w:rsid w:val="00D1591B"/>
    <w:rsid w:val="00D175E9"/>
    <w:rsid w:val="00D20694"/>
    <w:rsid w:val="00D21A86"/>
    <w:rsid w:val="00D2471D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4040D"/>
    <w:rsid w:val="00D416B3"/>
    <w:rsid w:val="00D41D7A"/>
    <w:rsid w:val="00D43B75"/>
    <w:rsid w:val="00D4468D"/>
    <w:rsid w:val="00D44CA8"/>
    <w:rsid w:val="00D452E1"/>
    <w:rsid w:val="00D45917"/>
    <w:rsid w:val="00D45DD7"/>
    <w:rsid w:val="00D4622C"/>
    <w:rsid w:val="00D47410"/>
    <w:rsid w:val="00D4744A"/>
    <w:rsid w:val="00D47F91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4C8"/>
    <w:rsid w:val="00D65666"/>
    <w:rsid w:val="00D663AE"/>
    <w:rsid w:val="00D67965"/>
    <w:rsid w:val="00D700B7"/>
    <w:rsid w:val="00D708FF"/>
    <w:rsid w:val="00D71E30"/>
    <w:rsid w:val="00D72B6B"/>
    <w:rsid w:val="00D761D5"/>
    <w:rsid w:val="00D818DA"/>
    <w:rsid w:val="00D81B04"/>
    <w:rsid w:val="00D8435A"/>
    <w:rsid w:val="00D8447F"/>
    <w:rsid w:val="00D84ED8"/>
    <w:rsid w:val="00D85795"/>
    <w:rsid w:val="00D864A0"/>
    <w:rsid w:val="00D864EC"/>
    <w:rsid w:val="00D87F67"/>
    <w:rsid w:val="00D924C9"/>
    <w:rsid w:val="00D93EED"/>
    <w:rsid w:val="00D94A74"/>
    <w:rsid w:val="00D978E3"/>
    <w:rsid w:val="00D97E89"/>
    <w:rsid w:val="00DA0522"/>
    <w:rsid w:val="00DA0CCE"/>
    <w:rsid w:val="00DA2736"/>
    <w:rsid w:val="00DA2C15"/>
    <w:rsid w:val="00DA4BDF"/>
    <w:rsid w:val="00DA4DDC"/>
    <w:rsid w:val="00DA5972"/>
    <w:rsid w:val="00DA65F4"/>
    <w:rsid w:val="00DA6619"/>
    <w:rsid w:val="00DA72BA"/>
    <w:rsid w:val="00DA78F2"/>
    <w:rsid w:val="00DB1D0E"/>
    <w:rsid w:val="00DB1FFF"/>
    <w:rsid w:val="00DB20D8"/>
    <w:rsid w:val="00DB2205"/>
    <w:rsid w:val="00DB4709"/>
    <w:rsid w:val="00DC0294"/>
    <w:rsid w:val="00DC1929"/>
    <w:rsid w:val="00DC220F"/>
    <w:rsid w:val="00DC31CC"/>
    <w:rsid w:val="00DC741D"/>
    <w:rsid w:val="00DD159D"/>
    <w:rsid w:val="00DD1CBA"/>
    <w:rsid w:val="00DD5055"/>
    <w:rsid w:val="00DD54D8"/>
    <w:rsid w:val="00DD5C92"/>
    <w:rsid w:val="00DD66F9"/>
    <w:rsid w:val="00DD6965"/>
    <w:rsid w:val="00DD7B0C"/>
    <w:rsid w:val="00DD7BD6"/>
    <w:rsid w:val="00DD7D1F"/>
    <w:rsid w:val="00DE0266"/>
    <w:rsid w:val="00DE03B3"/>
    <w:rsid w:val="00DE0606"/>
    <w:rsid w:val="00DE0A8C"/>
    <w:rsid w:val="00DE17B3"/>
    <w:rsid w:val="00DE2750"/>
    <w:rsid w:val="00DE4177"/>
    <w:rsid w:val="00DE57C7"/>
    <w:rsid w:val="00DE699B"/>
    <w:rsid w:val="00DE6EF5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61D"/>
    <w:rsid w:val="00E078AE"/>
    <w:rsid w:val="00E07C1C"/>
    <w:rsid w:val="00E1056D"/>
    <w:rsid w:val="00E11633"/>
    <w:rsid w:val="00E11AC5"/>
    <w:rsid w:val="00E143D5"/>
    <w:rsid w:val="00E14870"/>
    <w:rsid w:val="00E15133"/>
    <w:rsid w:val="00E171B3"/>
    <w:rsid w:val="00E17C2B"/>
    <w:rsid w:val="00E207F8"/>
    <w:rsid w:val="00E21704"/>
    <w:rsid w:val="00E221B3"/>
    <w:rsid w:val="00E23C67"/>
    <w:rsid w:val="00E24A03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0CF5"/>
    <w:rsid w:val="00E5211E"/>
    <w:rsid w:val="00E52A4B"/>
    <w:rsid w:val="00E530A2"/>
    <w:rsid w:val="00E53ABC"/>
    <w:rsid w:val="00E54CB6"/>
    <w:rsid w:val="00E557D5"/>
    <w:rsid w:val="00E575A2"/>
    <w:rsid w:val="00E63963"/>
    <w:rsid w:val="00E66151"/>
    <w:rsid w:val="00E66C44"/>
    <w:rsid w:val="00E676BE"/>
    <w:rsid w:val="00E67879"/>
    <w:rsid w:val="00E70009"/>
    <w:rsid w:val="00E7069E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06EA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2FC2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36E9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BD2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50A2"/>
    <w:rsid w:val="00ED5358"/>
    <w:rsid w:val="00ED5455"/>
    <w:rsid w:val="00ED57D2"/>
    <w:rsid w:val="00ED59BC"/>
    <w:rsid w:val="00ED6249"/>
    <w:rsid w:val="00ED6571"/>
    <w:rsid w:val="00ED6F61"/>
    <w:rsid w:val="00ED77A6"/>
    <w:rsid w:val="00ED7F1B"/>
    <w:rsid w:val="00EE19AD"/>
    <w:rsid w:val="00EE4919"/>
    <w:rsid w:val="00EE66FD"/>
    <w:rsid w:val="00EE67B5"/>
    <w:rsid w:val="00EE761E"/>
    <w:rsid w:val="00EF0170"/>
    <w:rsid w:val="00EF021B"/>
    <w:rsid w:val="00EF0CF3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778"/>
    <w:rsid w:val="00F018FD"/>
    <w:rsid w:val="00F02D19"/>
    <w:rsid w:val="00F03661"/>
    <w:rsid w:val="00F05762"/>
    <w:rsid w:val="00F060E3"/>
    <w:rsid w:val="00F065CA"/>
    <w:rsid w:val="00F06A6A"/>
    <w:rsid w:val="00F073DB"/>
    <w:rsid w:val="00F10804"/>
    <w:rsid w:val="00F1167E"/>
    <w:rsid w:val="00F11833"/>
    <w:rsid w:val="00F1205C"/>
    <w:rsid w:val="00F132B1"/>
    <w:rsid w:val="00F13ED5"/>
    <w:rsid w:val="00F13F04"/>
    <w:rsid w:val="00F14440"/>
    <w:rsid w:val="00F15AE4"/>
    <w:rsid w:val="00F15CA6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274D"/>
    <w:rsid w:val="00F33924"/>
    <w:rsid w:val="00F33B2B"/>
    <w:rsid w:val="00F34E32"/>
    <w:rsid w:val="00F35045"/>
    <w:rsid w:val="00F3554A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52F6"/>
    <w:rsid w:val="00F655CA"/>
    <w:rsid w:val="00F65876"/>
    <w:rsid w:val="00F70D03"/>
    <w:rsid w:val="00F72114"/>
    <w:rsid w:val="00F730AA"/>
    <w:rsid w:val="00F76EA3"/>
    <w:rsid w:val="00F8317E"/>
    <w:rsid w:val="00F844F6"/>
    <w:rsid w:val="00F84EC8"/>
    <w:rsid w:val="00F85D68"/>
    <w:rsid w:val="00F862DB"/>
    <w:rsid w:val="00F87F18"/>
    <w:rsid w:val="00F90F1E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4A3B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DFD"/>
    <w:rsid w:val="00FB2BF8"/>
    <w:rsid w:val="00FB318C"/>
    <w:rsid w:val="00FB4BBF"/>
    <w:rsid w:val="00FB5B03"/>
    <w:rsid w:val="00FB6027"/>
    <w:rsid w:val="00FC0344"/>
    <w:rsid w:val="00FC0777"/>
    <w:rsid w:val="00FC07E3"/>
    <w:rsid w:val="00FC1022"/>
    <w:rsid w:val="00FC220E"/>
    <w:rsid w:val="00FC268C"/>
    <w:rsid w:val="00FC2873"/>
    <w:rsid w:val="00FC3C84"/>
    <w:rsid w:val="00FC5F15"/>
    <w:rsid w:val="00FC6540"/>
    <w:rsid w:val="00FC6ED2"/>
    <w:rsid w:val="00FC78A0"/>
    <w:rsid w:val="00FD0976"/>
    <w:rsid w:val="00FD1F23"/>
    <w:rsid w:val="00FD3F14"/>
    <w:rsid w:val="00FD406C"/>
    <w:rsid w:val="00FD46BA"/>
    <w:rsid w:val="00FD6BC1"/>
    <w:rsid w:val="00FD7F2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2E40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1070"/>
  <w15:docId w15:val="{EB7BFFE3-7B4E-43A9-A0C1-87CCFCB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16"/>
        <w:szCs w:val="16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://www.inegi.org.mx/sistemas/bie/default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4.8972222222222223E-2"/>
          <c:w val="0.87428239162161536"/>
          <c:h val="0.82689500941619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AC4-4B92-9F84-7336E22C07D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AC4-4B92-9F84-7336E22C07D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AC4-4B92-9F84-7336E22C07D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AC4-4B92-9F84-7336E22C07D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AC4-4B92-9F84-7336E22C07D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AC4-4B92-9F84-7336E22C07D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6AC4-4B92-9F84-7336E22C07D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6AC4-4B92-9F84-7336E22C07D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6AC4-4B92-9F84-7336E22C07D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6AC4-4B92-9F84-7336E22C07D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6AC4-4B92-9F84-7336E22C07D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6AC4-4B92-9F84-7336E22C07D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6AC4-4B92-9F84-7336E22C07D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6AC4-4B92-9F84-7336E22C07D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6AC4-4B92-9F84-7336E22C07D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6AC4-4B92-9F84-7336E22C07D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6AC4-4B92-9F84-7336E22C07D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6AC4-4B92-9F84-7336E22C07D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6AC4-4B92-9F84-7336E22C07D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6AC4-4B92-9F84-7336E22C07D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6AC4-4B92-9F84-7336E22C07D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6AC4-4B92-9F84-7336E22C07D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6AC4-4B92-9F84-7336E22C07D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6AC4-4B92-9F84-7336E22C07D7}"/>
              </c:ext>
            </c:extLst>
          </c:dPt>
          <c:cat>
            <c:multiLvlStrRef>
              <c:f>Datos!$A$66:$B$137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Datos!$E$66:$E$137</c:f>
              <c:numCache>
                <c:formatCode>#,##0</c:formatCode>
                <c:ptCount val="71"/>
                <c:pt idx="0">
                  <c:v>2411.22838028977</c:v>
                </c:pt>
                <c:pt idx="1">
                  <c:v>2420.8278865963002</c:v>
                </c:pt>
                <c:pt idx="2">
                  <c:v>2433.4374597861502</c:v>
                </c:pt>
                <c:pt idx="3">
                  <c:v>2446.7295087924103</c:v>
                </c:pt>
                <c:pt idx="4">
                  <c:v>2457.4032950054002</c:v>
                </c:pt>
                <c:pt idx="5">
                  <c:v>2469.4588767682999</c:v>
                </c:pt>
                <c:pt idx="6">
                  <c:v>2486.6173507170101</c:v>
                </c:pt>
                <c:pt idx="7">
                  <c:v>2504.3252453042001</c:v>
                </c:pt>
                <c:pt idx="8">
                  <c:v>2519.7301989891798</c:v>
                </c:pt>
                <c:pt idx="9">
                  <c:v>2535.9250778980199</c:v>
                </c:pt>
                <c:pt idx="10">
                  <c:v>2550.2902315840502</c:v>
                </c:pt>
                <c:pt idx="11">
                  <c:v>2557.2479257896903</c:v>
                </c:pt>
                <c:pt idx="12">
                  <c:v>2564.2065448806798</c:v>
                </c:pt>
                <c:pt idx="13">
                  <c:v>2562.6693034966602</c:v>
                </c:pt>
                <c:pt idx="14">
                  <c:v>2584.7392969756402</c:v>
                </c:pt>
                <c:pt idx="15">
                  <c:v>2588.9814677352301</c:v>
                </c:pt>
                <c:pt idx="16">
                  <c:v>2583.9513710569099</c:v>
                </c:pt>
                <c:pt idx="17">
                  <c:v>2609.3619689757002</c:v>
                </c:pt>
                <c:pt idx="18">
                  <c:v>2626.7535055282401</c:v>
                </c:pt>
                <c:pt idx="19">
                  <c:v>2618.10765836883</c:v>
                </c:pt>
                <c:pt idx="20">
                  <c:v>2622.8884651010799</c:v>
                </c:pt>
                <c:pt idx="21">
                  <c:v>2638.5112188579596</c:v>
                </c:pt>
                <c:pt idx="22">
                  <c:v>2646.2861775852898</c:v>
                </c:pt>
                <c:pt idx="23">
                  <c:v>2656.50494986998</c:v>
                </c:pt>
                <c:pt idx="24">
                  <c:v>2661.3236854537704</c:v>
                </c:pt>
                <c:pt idx="25">
                  <c:v>2670.44290480883</c:v>
                </c:pt>
                <c:pt idx="26">
                  <c:v>2680.2623163547501</c:v>
                </c:pt>
                <c:pt idx="27">
                  <c:v>2696.6215871854401</c:v>
                </c:pt>
                <c:pt idx="28">
                  <c:v>2701.2473000402501</c:v>
                </c:pt>
                <c:pt idx="29">
                  <c:v>2709.2611994199196</c:v>
                </c:pt>
                <c:pt idx="30">
                  <c:v>2718.1178011632601</c:v>
                </c:pt>
                <c:pt idx="31">
                  <c:v>2731.9376429459603</c:v>
                </c:pt>
                <c:pt idx="32">
                  <c:v>2752.3418104398102</c:v>
                </c:pt>
                <c:pt idx="33">
                  <c:v>2757.9067707694803</c:v>
                </c:pt>
                <c:pt idx="34">
                  <c:v>2771.3106045267</c:v>
                </c:pt>
                <c:pt idx="35">
                  <c:v>2783.3427286912597</c:v>
                </c:pt>
                <c:pt idx="36">
                  <c:v>2785.8371201985101</c:v>
                </c:pt>
                <c:pt idx="37">
                  <c:v>2814.4373580207402</c:v>
                </c:pt>
                <c:pt idx="38">
                  <c:v>2840.9721107384503</c:v>
                </c:pt>
                <c:pt idx="39">
                  <c:v>2834.4593617312898</c:v>
                </c:pt>
                <c:pt idx="40">
                  <c:v>2845.6562618447501</c:v>
                </c:pt>
                <c:pt idx="41">
                  <c:v>2863.2425709263598</c:v>
                </c:pt>
                <c:pt idx="42">
                  <c:v>2877.5595978746601</c:v>
                </c:pt>
                <c:pt idx="43">
                  <c:v>2885.26070806913</c:v>
                </c:pt>
                <c:pt idx="44">
                  <c:v>2889.8932191252898</c:v>
                </c:pt>
                <c:pt idx="45">
                  <c:v>2893.1278489548399</c:v>
                </c:pt>
                <c:pt idx="46">
                  <c:v>2900.4361602131903</c:v>
                </c:pt>
                <c:pt idx="47">
                  <c:v>2901.7194281480602</c:v>
                </c:pt>
                <c:pt idx="48">
                  <c:v>2910.73692697262</c:v>
                </c:pt>
                <c:pt idx="49">
                  <c:v>2916.4069391578901</c:v>
                </c:pt>
                <c:pt idx="50">
                  <c:v>2930.9002572772697</c:v>
                </c:pt>
                <c:pt idx="51">
                  <c:v>2942.95376509177</c:v>
                </c:pt>
                <c:pt idx="52">
                  <c:v>2958.2594620940099</c:v>
                </c:pt>
                <c:pt idx="53">
                  <c:v>2963.84611206402</c:v>
                </c:pt>
                <c:pt idx="54">
                  <c:v>2972.9870505516901</c:v>
                </c:pt>
                <c:pt idx="55">
                  <c:v>2987.6774741487202</c:v>
                </c:pt>
                <c:pt idx="56">
                  <c:v>2998.6339150919202</c:v>
                </c:pt>
                <c:pt idx="57">
                  <c:v>3008.5918775576201</c:v>
                </c:pt>
                <c:pt idx="58">
                  <c:v>3013.3154740896898</c:v>
                </c:pt>
                <c:pt idx="59">
                  <c:v>3038.2411539539603</c:v>
                </c:pt>
                <c:pt idx="60">
                  <c:v>3047.39089383597</c:v>
                </c:pt>
                <c:pt idx="61">
                  <c:v>3057.00497511603</c:v>
                </c:pt>
                <c:pt idx="62">
                  <c:v>3054.50824637404</c:v>
                </c:pt>
                <c:pt idx="63">
                  <c:v>3056.7149164694997</c:v>
                </c:pt>
                <c:pt idx="64">
                  <c:v>3061.6520142115401</c:v>
                </c:pt>
                <c:pt idx="65">
                  <c:v>3064.3962928180699</c:v>
                </c:pt>
                <c:pt idx="66">
                  <c:v>3078.0122415426699</c:v>
                </c:pt>
                <c:pt idx="67">
                  <c:v>3062.0162673445102</c:v>
                </c:pt>
                <c:pt idx="68">
                  <c:v>3054.10466941086</c:v>
                </c:pt>
                <c:pt idx="69">
                  <c:v>3048.21814101583</c:v>
                </c:pt>
                <c:pt idx="70">
                  <c:v>3036.9493080833699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23249216"/>
        <c:axId val="123250392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Datos!$A$66:$B$137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Datos!$F$66:$F$137</c:f>
              <c:numCache>
                <c:formatCode>#,##0</c:formatCode>
                <c:ptCount val="71"/>
                <c:pt idx="0">
                  <c:v>2413.0449392062396</c:v>
                </c:pt>
                <c:pt idx="1">
                  <c:v>2422.2211182593296</c:v>
                </c:pt>
                <c:pt idx="2">
                  <c:v>2432.9991689261196</c:v>
                </c:pt>
                <c:pt idx="3">
                  <c:v>2444.8552649181902</c:v>
                </c:pt>
                <c:pt idx="4">
                  <c:v>2457.6334605871202</c:v>
                </c:pt>
                <c:pt idx="5">
                  <c:v>2471.3899547303699</c:v>
                </c:pt>
                <c:pt idx="6">
                  <c:v>2486.7053788059297</c:v>
                </c:pt>
                <c:pt idx="7">
                  <c:v>2503.5241484435501</c:v>
                </c:pt>
                <c:pt idx="8">
                  <c:v>2520.4911835691801</c:v>
                </c:pt>
                <c:pt idx="9">
                  <c:v>2535.6659486815197</c:v>
                </c:pt>
                <c:pt idx="10">
                  <c:v>2547.7737253292503</c:v>
                </c:pt>
                <c:pt idx="11">
                  <c:v>2557.42908555542</c:v>
                </c:pt>
                <c:pt idx="12">
                  <c:v>2565.6577967604503</c:v>
                </c:pt>
                <c:pt idx="13">
                  <c:v>2573.47597018749</c:v>
                </c:pt>
                <c:pt idx="14">
                  <c:v>2581.9134631734</c:v>
                </c:pt>
                <c:pt idx="15">
                  <c:v>2590.8861778042001</c:v>
                </c:pt>
                <c:pt idx="16">
                  <c:v>2599.4926422143499</c:v>
                </c:pt>
                <c:pt idx="17">
                  <c:v>2606.6874244914802</c:v>
                </c:pt>
                <c:pt idx="18">
                  <c:v>2612.8619674987003</c:v>
                </c:pt>
                <c:pt idx="19">
                  <c:v>2619.1327104188704</c:v>
                </c:pt>
                <c:pt idx="20">
                  <c:v>2626.6955503838699</c:v>
                </c:pt>
                <c:pt idx="21">
                  <c:v>2636.0400283005697</c:v>
                </c:pt>
                <c:pt idx="22">
                  <c:v>2645.9292929442399</c:v>
                </c:pt>
                <c:pt idx="23">
                  <c:v>2654.6123609430597</c:v>
                </c:pt>
                <c:pt idx="24">
                  <c:v>2662.7482989665</c:v>
                </c:pt>
                <c:pt idx="25">
                  <c:v>2671.73362293121</c:v>
                </c:pt>
                <c:pt idx="26">
                  <c:v>2682.0382631935004</c:v>
                </c:pt>
                <c:pt idx="27">
                  <c:v>2692.2217107199399</c:v>
                </c:pt>
                <c:pt idx="28">
                  <c:v>2701.3423639817602</c:v>
                </c:pt>
                <c:pt idx="29">
                  <c:v>2710.1679420518799</c:v>
                </c:pt>
                <c:pt idx="30">
                  <c:v>2720.3040921051802</c:v>
                </c:pt>
                <c:pt idx="31">
                  <c:v>2732.4703140490697</c:v>
                </c:pt>
                <c:pt idx="32">
                  <c:v>2745.8036458167803</c:v>
                </c:pt>
                <c:pt idx="33">
                  <c:v>2758.7293493188399</c:v>
                </c:pt>
                <c:pt idx="34">
                  <c:v>2771.43804183373</c:v>
                </c:pt>
                <c:pt idx="35">
                  <c:v>2784.8516489215599</c:v>
                </c:pt>
                <c:pt idx="36">
                  <c:v>2799.0841198591702</c:v>
                </c:pt>
                <c:pt idx="37">
                  <c:v>2812.6923688484499</c:v>
                </c:pt>
                <c:pt idx="38">
                  <c:v>2824.73058491761</c:v>
                </c:pt>
                <c:pt idx="39">
                  <c:v>2836.3823801287399</c:v>
                </c:pt>
                <c:pt idx="40">
                  <c:v>2848.9295629367102</c:v>
                </c:pt>
                <c:pt idx="41">
                  <c:v>2862.4367221547204</c:v>
                </c:pt>
                <c:pt idx="42">
                  <c:v>2874.8845314331502</c:v>
                </c:pt>
                <c:pt idx="43">
                  <c:v>2884.4060296215403</c:v>
                </c:pt>
                <c:pt idx="44">
                  <c:v>2890.4074829312999</c:v>
                </c:pt>
                <c:pt idx="45">
                  <c:v>2894.5484234289802</c:v>
                </c:pt>
                <c:pt idx="46">
                  <c:v>2898.4846060950204</c:v>
                </c:pt>
                <c:pt idx="47">
                  <c:v>2903.3229300104799</c:v>
                </c:pt>
                <c:pt idx="48">
                  <c:v>2909.7886954360702</c:v>
                </c:pt>
                <c:pt idx="49">
                  <c:v>2918.9259463035801</c:v>
                </c:pt>
                <c:pt idx="50">
                  <c:v>2930.5734903450102</c:v>
                </c:pt>
                <c:pt idx="51">
                  <c:v>2942.9887862174901</c:v>
                </c:pt>
                <c:pt idx="52">
                  <c:v>2954.5346906592299</c:v>
                </c:pt>
                <c:pt idx="53">
                  <c:v>2965.1917748230499</c:v>
                </c:pt>
                <c:pt idx="54">
                  <c:v>2975.36440065938</c:v>
                </c:pt>
                <c:pt idx="55">
                  <c:v>2986.0421694823604</c:v>
                </c:pt>
                <c:pt idx="56">
                  <c:v>2997.8313725500202</c:v>
                </c:pt>
                <c:pt idx="57">
                  <c:v>3010.62744516358</c:v>
                </c:pt>
                <c:pt idx="58">
                  <c:v>3023.9858813322899</c:v>
                </c:pt>
                <c:pt idx="59">
                  <c:v>3036.86051309915</c:v>
                </c:pt>
                <c:pt idx="60">
                  <c:v>3047.16203534838</c:v>
                </c:pt>
                <c:pt idx="61">
                  <c:v>3053.4800214218999</c:v>
                </c:pt>
                <c:pt idx="62">
                  <c:v>3056.73222984925</c:v>
                </c:pt>
                <c:pt idx="63">
                  <c:v>3058.94532879286</c:v>
                </c:pt>
                <c:pt idx="64">
                  <c:v>3061.40982120539</c:v>
                </c:pt>
                <c:pt idx="65">
                  <c:v>3063.4813900461404</c:v>
                </c:pt>
                <c:pt idx="66">
                  <c:v>3063.78655234595</c:v>
                </c:pt>
                <c:pt idx="67">
                  <c:v>3060.7165005974202</c:v>
                </c:pt>
                <c:pt idx="68">
                  <c:v>3054.51241812127</c:v>
                </c:pt>
                <c:pt idx="69">
                  <c:v>3046.609381536</c:v>
                </c:pt>
                <c:pt idx="70">
                  <c:v>3038.8556599476196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249216"/>
        <c:axId val="123250392"/>
      </c:lineChart>
      <c:catAx>
        <c:axId val="12324921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12325039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3250392"/>
        <c:scaling>
          <c:orientation val="minMax"/>
          <c:min val="2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3249216"/>
        <c:crossesAt val="1"/>
        <c:crossBetween val="between"/>
        <c:majorUnit val="25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9.0810198225622071E-2"/>
          <c:y val="0.95026157407407408"/>
          <c:w val="0.81837960354875583"/>
          <c:h val="4.385879629629629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4519491472377883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E6E-4141-A123-B632800B1655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E6E-4141-A123-B632800B1655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E6E-4141-A123-B632800B165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E6E-4141-A123-B632800B165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E6E-4141-A123-B632800B1655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E6E-4141-A123-B632800B1655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E6E-4141-A123-B632800B1655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E6E-4141-A123-B632800B1655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E6E-4141-A123-B632800B1655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E6E-4141-A123-B632800B1655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E6E-4141-A123-B632800B1655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E6E-4141-A123-B632800B1655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EE6E-4141-A123-B632800B1655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E6E-4141-A123-B632800B1655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EE6E-4141-A123-B632800B1655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E6E-4141-A123-B632800B1655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EE6E-4141-A123-B632800B1655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E6E-4141-A123-B632800B1655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EE6E-4141-A123-B632800B1655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E6E-4141-A123-B632800B1655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E6E-4141-A123-B632800B1655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E6E-4141-A123-B632800B1655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E6E-4141-A123-B632800B1655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EE6E-4141-A123-B632800B1655}"/>
              </c:ext>
            </c:extLst>
          </c:dPt>
          <c:cat>
            <c:multiLvlStrRef>
              <c:f>Datos!$A$66:$B$137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Datos!$G$66:$G$137</c:f>
              <c:numCache>
                <c:formatCode>#,##0</c:formatCode>
                <c:ptCount val="71"/>
                <c:pt idx="0">
                  <c:v>465382.52313859097</c:v>
                </c:pt>
                <c:pt idx="1">
                  <c:v>475531.44100444502</c:v>
                </c:pt>
                <c:pt idx="2">
                  <c:v>476309.65021798399</c:v>
                </c:pt>
                <c:pt idx="3">
                  <c:v>479622.24451467302</c:v>
                </c:pt>
                <c:pt idx="4">
                  <c:v>480392.622184398</c:v>
                </c:pt>
                <c:pt idx="5">
                  <c:v>482776.18532952899</c:v>
                </c:pt>
                <c:pt idx="6">
                  <c:v>488957.65871554799</c:v>
                </c:pt>
                <c:pt idx="7">
                  <c:v>492428.29818359797</c:v>
                </c:pt>
                <c:pt idx="8">
                  <c:v>493236.65480664402</c:v>
                </c:pt>
                <c:pt idx="9">
                  <c:v>497103.836390657</c:v>
                </c:pt>
                <c:pt idx="10">
                  <c:v>501335.02753017202</c:v>
                </c:pt>
                <c:pt idx="11">
                  <c:v>500367.01161382598</c:v>
                </c:pt>
                <c:pt idx="12">
                  <c:v>494432.89676216402</c:v>
                </c:pt>
                <c:pt idx="13">
                  <c:v>501154.991635165</c:v>
                </c:pt>
                <c:pt idx="14">
                  <c:v>504378.52600078803</c:v>
                </c:pt>
                <c:pt idx="15">
                  <c:v>506660.54498316598</c:v>
                </c:pt>
                <c:pt idx="16">
                  <c:v>504201.98455993697</c:v>
                </c:pt>
                <c:pt idx="17">
                  <c:v>510271.43340114597</c:v>
                </c:pt>
                <c:pt idx="18">
                  <c:v>512375.28104865499</c:v>
                </c:pt>
                <c:pt idx="19">
                  <c:v>511036.59818100202</c:v>
                </c:pt>
                <c:pt idx="20">
                  <c:v>511642.35474751802</c:v>
                </c:pt>
                <c:pt idx="21">
                  <c:v>515639.47930386901</c:v>
                </c:pt>
                <c:pt idx="22">
                  <c:v>514703.80382029101</c:v>
                </c:pt>
                <c:pt idx="23">
                  <c:v>514292.63755761902</c:v>
                </c:pt>
                <c:pt idx="24">
                  <c:v>518066.958240412</c:v>
                </c:pt>
                <c:pt idx="25">
                  <c:v>521176.33949061</c:v>
                </c:pt>
                <c:pt idx="26">
                  <c:v>523231.19647564599</c:v>
                </c:pt>
                <c:pt idx="27">
                  <c:v>534044.36168885604</c:v>
                </c:pt>
                <c:pt idx="28">
                  <c:v>538195.05617973895</c:v>
                </c:pt>
                <c:pt idx="29">
                  <c:v>528242.010728808</c:v>
                </c:pt>
                <c:pt idx="30">
                  <c:v>528362.93619505398</c:v>
                </c:pt>
                <c:pt idx="31">
                  <c:v>531685.13203741994</c:v>
                </c:pt>
                <c:pt idx="32">
                  <c:v>534493.19335353596</c:v>
                </c:pt>
                <c:pt idx="33">
                  <c:v>537117.10276212904</c:v>
                </c:pt>
                <c:pt idx="34">
                  <c:v>539964.335852116</c:v>
                </c:pt>
                <c:pt idx="35">
                  <c:v>547531.64414247498</c:v>
                </c:pt>
                <c:pt idx="36">
                  <c:v>548973.12670724106</c:v>
                </c:pt>
                <c:pt idx="37">
                  <c:v>548457.17216997198</c:v>
                </c:pt>
                <c:pt idx="38">
                  <c:v>551790.01611654705</c:v>
                </c:pt>
                <c:pt idx="39">
                  <c:v>549874.20508592797</c:v>
                </c:pt>
                <c:pt idx="40">
                  <c:v>557047.14879852301</c:v>
                </c:pt>
                <c:pt idx="41">
                  <c:v>559393.51161113405</c:v>
                </c:pt>
                <c:pt idx="42">
                  <c:v>560250.53755534801</c:v>
                </c:pt>
                <c:pt idx="43">
                  <c:v>560897.14816537604</c:v>
                </c:pt>
                <c:pt idx="44">
                  <c:v>563892.46126945806</c:v>
                </c:pt>
                <c:pt idx="45">
                  <c:v>561447.91574461199</c:v>
                </c:pt>
                <c:pt idx="46">
                  <c:v>565780.07803484495</c:v>
                </c:pt>
                <c:pt idx="47">
                  <c:v>568015.81622650102</c:v>
                </c:pt>
                <c:pt idx="48">
                  <c:v>567249.94603413297</c:v>
                </c:pt>
                <c:pt idx="49">
                  <c:v>568157.27839387802</c:v>
                </c:pt>
                <c:pt idx="50">
                  <c:v>573052.50463737699</c:v>
                </c:pt>
                <c:pt idx="51">
                  <c:v>570827.61329086102</c:v>
                </c:pt>
                <c:pt idx="52">
                  <c:v>576099.888034806</c:v>
                </c:pt>
                <c:pt idx="53">
                  <c:v>579562.95510118897</c:v>
                </c:pt>
                <c:pt idx="54">
                  <c:v>580320.98518734204</c:v>
                </c:pt>
                <c:pt idx="55">
                  <c:v>584349.03833811299</c:v>
                </c:pt>
                <c:pt idx="56">
                  <c:v>585910.83800201595</c:v>
                </c:pt>
                <c:pt idx="57">
                  <c:v>588595.83586414705</c:v>
                </c:pt>
                <c:pt idx="58">
                  <c:v>585415.22784755297</c:v>
                </c:pt>
                <c:pt idx="59">
                  <c:v>585278.90000161901</c:v>
                </c:pt>
                <c:pt idx="60">
                  <c:v>587092.17761195498</c:v>
                </c:pt>
                <c:pt idx="61">
                  <c:v>588661.15120798605</c:v>
                </c:pt>
                <c:pt idx="62">
                  <c:v>586012.07546105096</c:v>
                </c:pt>
                <c:pt idx="63">
                  <c:v>589080.36389087199</c:v>
                </c:pt>
                <c:pt idx="64">
                  <c:v>586781.23908622598</c:v>
                </c:pt>
                <c:pt idx="65">
                  <c:v>587348.21284266503</c:v>
                </c:pt>
                <c:pt idx="66">
                  <c:v>594519.99257822905</c:v>
                </c:pt>
                <c:pt idx="67">
                  <c:v>588297.68804087106</c:v>
                </c:pt>
                <c:pt idx="68">
                  <c:v>586081.49189033196</c:v>
                </c:pt>
                <c:pt idx="69">
                  <c:v>584399.119262113</c:v>
                </c:pt>
                <c:pt idx="70">
                  <c:v>587321.51694249699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23251176"/>
        <c:axId val="123251568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Datos!$A$66:$B$137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Datos!$H$66:$H$137</c:f>
              <c:numCache>
                <c:formatCode>#,##0</c:formatCode>
                <c:ptCount val="71"/>
                <c:pt idx="0">
                  <c:v>472233.09333459497</c:v>
                </c:pt>
                <c:pt idx="1">
                  <c:v>474341.83070143301</c:v>
                </c:pt>
                <c:pt idx="2">
                  <c:v>476628.027102419</c:v>
                </c:pt>
                <c:pt idx="3">
                  <c:v>478701.71940723399</c:v>
                </c:pt>
                <c:pt idx="4">
                  <c:v>481122.98509159603</c:v>
                </c:pt>
                <c:pt idx="5">
                  <c:v>484230.507495058</c:v>
                </c:pt>
                <c:pt idx="6">
                  <c:v>487750.06306539098</c:v>
                </c:pt>
                <c:pt idx="7">
                  <c:v>491358.18243606098</c:v>
                </c:pt>
                <c:pt idx="8">
                  <c:v>494800.15117286</c:v>
                </c:pt>
                <c:pt idx="9">
                  <c:v>497507.54859744001</c:v>
                </c:pt>
                <c:pt idx="10">
                  <c:v>499257.294283606</c:v>
                </c:pt>
                <c:pt idx="11">
                  <c:v>500232.54863573401</c:v>
                </c:pt>
                <c:pt idx="12">
                  <c:v>501005.58145595901</c:v>
                </c:pt>
                <c:pt idx="13">
                  <c:v>501922.84608954599</c:v>
                </c:pt>
                <c:pt idx="14">
                  <c:v>503384.30578996998</c:v>
                </c:pt>
                <c:pt idx="15">
                  <c:v>505400.28733951302</c:v>
                </c:pt>
                <c:pt idx="16">
                  <c:v>507480.14044024498</c:v>
                </c:pt>
                <c:pt idx="17">
                  <c:v>509211.27307455201</c:v>
                </c:pt>
                <c:pt idx="18">
                  <c:v>510718.33060190303</c:v>
                </c:pt>
                <c:pt idx="19">
                  <c:v>512081.37266135099</c:v>
                </c:pt>
                <c:pt idx="20">
                  <c:v>513003.71140222199</c:v>
                </c:pt>
                <c:pt idx="21">
                  <c:v>513621.13049157901</c:v>
                </c:pt>
                <c:pt idx="22">
                  <c:v>514599.22014111798</c:v>
                </c:pt>
                <c:pt idx="23">
                  <c:v>515822.96758572198</c:v>
                </c:pt>
                <c:pt idx="24">
                  <c:v>517783.298843981</c:v>
                </c:pt>
                <c:pt idx="25">
                  <c:v>521013.28130284999</c:v>
                </c:pt>
                <c:pt idx="26">
                  <c:v>524808.57205552096</c:v>
                </c:pt>
                <c:pt idx="27">
                  <c:v>527600.55866741401</c:v>
                </c:pt>
                <c:pt idx="28">
                  <c:v>528882.21812440699</c:v>
                </c:pt>
                <c:pt idx="29">
                  <c:v>529272.14178117795</c:v>
                </c:pt>
                <c:pt idx="30">
                  <c:v>529783.38508324698</c:v>
                </c:pt>
                <c:pt idx="31">
                  <c:v>531149.72762024903</c:v>
                </c:pt>
                <c:pt idx="32">
                  <c:v>533888.57604517497</c:v>
                </c:pt>
                <c:pt idx="33">
                  <c:v>537635.90850347595</c:v>
                </c:pt>
                <c:pt idx="34">
                  <c:v>541630.36649642698</c:v>
                </c:pt>
                <c:pt idx="35">
                  <c:v>545357.07929708005</c:v>
                </c:pt>
                <c:pt idx="36">
                  <c:v>548073.70744359703</c:v>
                </c:pt>
                <c:pt idx="37">
                  <c:v>549714.29931286699</c:v>
                </c:pt>
                <c:pt idx="38">
                  <c:v>551138.42087012006</c:v>
                </c:pt>
                <c:pt idx="39">
                  <c:v>553249.91887010203</c:v>
                </c:pt>
                <c:pt idx="40">
                  <c:v>555968.47401137603</c:v>
                </c:pt>
                <c:pt idx="41">
                  <c:v>558596.75340994005</c:v>
                </c:pt>
                <c:pt idx="42">
                  <c:v>560443.258932914</c:v>
                </c:pt>
                <c:pt idx="43">
                  <c:v>561504.98714776605</c:v>
                </c:pt>
                <c:pt idx="44">
                  <c:v>562380.34297368303</c:v>
                </c:pt>
                <c:pt idx="45">
                  <c:v>563732.11500280397</c:v>
                </c:pt>
                <c:pt idx="46">
                  <c:v>565125.53147851303</c:v>
                </c:pt>
                <c:pt idx="47">
                  <c:v>566620.75401274604</c:v>
                </c:pt>
                <c:pt idx="48">
                  <c:v>568007.52793217194</c:v>
                </c:pt>
                <c:pt idx="49">
                  <c:v>569273.67727017903</c:v>
                </c:pt>
                <c:pt idx="50">
                  <c:v>570813.79370044998</c:v>
                </c:pt>
                <c:pt idx="51">
                  <c:v>573050.01375815901</c:v>
                </c:pt>
                <c:pt idx="52">
                  <c:v>575714.51831939095</c:v>
                </c:pt>
                <c:pt idx="53">
                  <c:v>578472.27554038004</c:v>
                </c:pt>
                <c:pt idx="54">
                  <c:v>581455.36224901502</c:v>
                </c:pt>
                <c:pt idx="55">
                  <c:v>584211.44446308899</c:v>
                </c:pt>
                <c:pt idx="56">
                  <c:v>585909.63118356303</c:v>
                </c:pt>
                <c:pt idx="57">
                  <c:v>586597.97710868402</c:v>
                </c:pt>
                <c:pt idx="58">
                  <c:v>586645.717071914</c:v>
                </c:pt>
                <c:pt idx="59">
                  <c:v>586461.81191775203</c:v>
                </c:pt>
                <c:pt idx="60">
                  <c:v>586726.72772047296</c:v>
                </c:pt>
                <c:pt idx="61">
                  <c:v>587292.50295614498</c:v>
                </c:pt>
                <c:pt idx="62">
                  <c:v>587707.49924556597</c:v>
                </c:pt>
                <c:pt idx="63">
                  <c:v>587615.37168030103</c:v>
                </c:pt>
                <c:pt idx="64">
                  <c:v>587537.31894606003</c:v>
                </c:pt>
                <c:pt idx="65">
                  <c:v>587683.04165556899</c:v>
                </c:pt>
                <c:pt idx="66">
                  <c:v>587545.91867884295</c:v>
                </c:pt>
                <c:pt idx="67">
                  <c:v>586949.56701302202</c:v>
                </c:pt>
                <c:pt idx="68">
                  <c:v>586369.84289474203</c:v>
                </c:pt>
                <c:pt idx="69">
                  <c:v>586042.03393591801</c:v>
                </c:pt>
                <c:pt idx="70">
                  <c:v>586612.39101280598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251176"/>
        <c:axId val="123251568"/>
      </c:lineChart>
      <c:catAx>
        <c:axId val="1232511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12325156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3251568"/>
        <c:scaling>
          <c:orientation val="minMax"/>
          <c:max val="650000"/>
          <c:min val="400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3251176"/>
        <c:crossesAt val="1"/>
        <c:crossBetween val="between"/>
        <c:majorUnit val="50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599700866104637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B18-461A-B7B6-C42695294EC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B18-461A-B7B6-C42695294EC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B18-461A-B7B6-C42695294EC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B18-461A-B7B6-C42695294EC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B18-461A-B7B6-C42695294EC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B18-461A-B7B6-C42695294EC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B18-461A-B7B6-C42695294EC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B18-461A-B7B6-C42695294EC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B18-461A-B7B6-C42695294EC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B18-461A-B7B6-C42695294EC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8B18-461A-B7B6-C42695294EC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8B18-461A-B7B6-C42695294EC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8B18-461A-B7B6-C42695294EC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8B18-461A-B7B6-C42695294EC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8B18-461A-B7B6-C42695294EC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8B18-461A-B7B6-C42695294EC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8B18-461A-B7B6-C42695294EC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8B18-461A-B7B6-C42695294EC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8B18-461A-B7B6-C42695294EC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8B18-461A-B7B6-C42695294EC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8B18-461A-B7B6-C42695294EC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8B18-461A-B7B6-C42695294EC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8B18-461A-B7B6-C42695294EC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8B18-461A-B7B6-C42695294EC7}"/>
              </c:ext>
            </c:extLst>
          </c:dPt>
          <c:cat>
            <c:multiLvlStrRef>
              <c:f>Datos!$A$66:$B$137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Datos!$I$66:$I$137</c:f>
              <c:numCache>
                <c:formatCode>#,##0</c:formatCode>
                <c:ptCount val="71"/>
                <c:pt idx="0">
                  <c:v>15287.440795202299</c:v>
                </c:pt>
                <c:pt idx="1">
                  <c:v>15287.787399772</c:v>
                </c:pt>
                <c:pt idx="2">
                  <c:v>15146.147071860099</c:v>
                </c:pt>
                <c:pt idx="3">
                  <c:v>15472.4916679013</c:v>
                </c:pt>
                <c:pt idx="4">
                  <c:v>15199.956300022301</c:v>
                </c:pt>
                <c:pt idx="5">
                  <c:v>15235.3439219763</c:v>
                </c:pt>
                <c:pt idx="6">
                  <c:v>15358.953540074701</c:v>
                </c:pt>
                <c:pt idx="7">
                  <c:v>15297.885191887401</c:v>
                </c:pt>
                <c:pt idx="8">
                  <c:v>15165.835529584499</c:v>
                </c:pt>
                <c:pt idx="9">
                  <c:v>15289.092593810599</c:v>
                </c:pt>
                <c:pt idx="10">
                  <c:v>15280.8347859731</c:v>
                </c:pt>
                <c:pt idx="11">
                  <c:v>15223.8565152226</c:v>
                </c:pt>
                <c:pt idx="12">
                  <c:v>15287.1519728766</c:v>
                </c:pt>
                <c:pt idx="13">
                  <c:v>15424.498150327199</c:v>
                </c:pt>
                <c:pt idx="14">
                  <c:v>15415.660252228499</c:v>
                </c:pt>
                <c:pt idx="15">
                  <c:v>15411.3343140208</c:v>
                </c:pt>
                <c:pt idx="16">
                  <c:v>15420.3921733602</c:v>
                </c:pt>
                <c:pt idx="17">
                  <c:v>15450.2657024246</c:v>
                </c:pt>
                <c:pt idx="18">
                  <c:v>15515.710410825701</c:v>
                </c:pt>
                <c:pt idx="19">
                  <c:v>15518.0139237569</c:v>
                </c:pt>
                <c:pt idx="20">
                  <c:v>15450.106978988601</c:v>
                </c:pt>
                <c:pt idx="21">
                  <c:v>15657.8553268662</c:v>
                </c:pt>
                <c:pt idx="22">
                  <c:v>15704.0195538606</c:v>
                </c:pt>
                <c:pt idx="23">
                  <c:v>15514.5148077719</c:v>
                </c:pt>
                <c:pt idx="24">
                  <c:v>16125.451889753</c:v>
                </c:pt>
                <c:pt idx="25">
                  <c:v>15955.2161580836</c:v>
                </c:pt>
                <c:pt idx="26">
                  <c:v>15978.5111505522</c:v>
                </c:pt>
                <c:pt idx="27">
                  <c:v>16055.454201970701</c:v>
                </c:pt>
                <c:pt idx="28">
                  <c:v>16134.229990288601</c:v>
                </c:pt>
                <c:pt idx="29">
                  <c:v>16125.050357800499</c:v>
                </c:pt>
                <c:pt idx="30">
                  <c:v>16287.729792121199</c:v>
                </c:pt>
                <c:pt idx="31">
                  <c:v>16284.151150338501</c:v>
                </c:pt>
                <c:pt idx="32">
                  <c:v>16448.309846701701</c:v>
                </c:pt>
                <c:pt idx="33">
                  <c:v>16431.805818298901</c:v>
                </c:pt>
                <c:pt idx="34">
                  <c:v>16396.166641935801</c:v>
                </c:pt>
                <c:pt idx="35">
                  <c:v>15808.586885320099</c:v>
                </c:pt>
                <c:pt idx="36">
                  <c:v>16642.346475780501</c:v>
                </c:pt>
                <c:pt idx="37">
                  <c:v>16327.7602903485</c:v>
                </c:pt>
                <c:pt idx="38">
                  <c:v>16400.0169597202</c:v>
                </c:pt>
                <c:pt idx="39">
                  <c:v>16261.6284188643</c:v>
                </c:pt>
                <c:pt idx="40">
                  <c:v>16444.394016006601</c:v>
                </c:pt>
                <c:pt idx="41">
                  <c:v>16405.7865457226</c:v>
                </c:pt>
                <c:pt idx="42">
                  <c:v>16285.2289716337</c:v>
                </c:pt>
                <c:pt idx="43">
                  <c:v>16299.4366222668</c:v>
                </c:pt>
                <c:pt idx="44">
                  <c:v>16416.279644588099</c:v>
                </c:pt>
                <c:pt idx="45">
                  <c:v>16416.361640750602</c:v>
                </c:pt>
                <c:pt idx="46">
                  <c:v>16418.182041059601</c:v>
                </c:pt>
                <c:pt idx="47">
                  <c:v>16394.659227355402</c:v>
                </c:pt>
                <c:pt idx="48">
                  <c:v>16461.6409500931</c:v>
                </c:pt>
                <c:pt idx="49">
                  <c:v>16527.7319192383</c:v>
                </c:pt>
                <c:pt idx="50">
                  <c:v>16550.0239364884</c:v>
                </c:pt>
                <c:pt idx="51">
                  <c:v>16602.095166182899</c:v>
                </c:pt>
                <c:pt idx="52">
                  <c:v>16582.0194015204</c:v>
                </c:pt>
                <c:pt idx="53">
                  <c:v>16713.0037308346</c:v>
                </c:pt>
                <c:pt idx="54">
                  <c:v>16599.166920625201</c:v>
                </c:pt>
                <c:pt idx="55">
                  <c:v>16582.4703748379</c:v>
                </c:pt>
                <c:pt idx="56">
                  <c:v>16388.9850958879</c:v>
                </c:pt>
                <c:pt idx="57">
                  <c:v>16559.0186316654</c:v>
                </c:pt>
                <c:pt idx="58">
                  <c:v>16676.9087135966</c:v>
                </c:pt>
                <c:pt idx="59">
                  <c:v>17010.6435189929</c:v>
                </c:pt>
                <c:pt idx="60">
                  <c:v>16873.0854647175</c:v>
                </c:pt>
                <c:pt idx="61">
                  <c:v>16909.793725802199</c:v>
                </c:pt>
                <c:pt idx="62">
                  <c:v>16954.3758356982</c:v>
                </c:pt>
                <c:pt idx="63">
                  <c:v>17148.201886588198</c:v>
                </c:pt>
                <c:pt idx="64">
                  <c:v>17076.822110956498</c:v>
                </c:pt>
                <c:pt idx="65">
                  <c:v>17094.671061049801</c:v>
                </c:pt>
                <c:pt idx="66">
                  <c:v>17146.630726879499</c:v>
                </c:pt>
                <c:pt idx="67">
                  <c:v>17293.661315932</c:v>
                </c:pt>
                <c:pt idx="68">
                  <c:v>17289.349845705499</c:v>
                </c:pt>
                <c:pt idx="69">
                  <c:v>17209.649638726201</c:v>
                </c:pt>
                <c:pt idx="70">
                  <c:v>17356.726875444001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23249608"/>
        <c:axId val="123248824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Datos!$A$66:$B$137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Datos!$J$66:$J$137</c:f>
              <c:numCache>
                <c:formatCode>#,##0</c:formatCode>
                <c:ptCount val="71"/>
                <c:pt idx="0">
                  <c:v>15324.606737308201</c:v>
                </c:pt>
                <c:pt idx="1">
                  <c:v>15283.5467621686</c:v>
                </c:pt>
                <c:pt idx="2">
                  <c:v>15258.212850175199</c:v>
                </c:pt>
                <c:pt idx="3">
                  <c:v>15248.7780080268</c:v>
                </c:pt>
                <c:pt idx="4">
                  <c:v>15251.040856159199</c:v>
                </c:pt>
                <c:pt idx="5">
                  <c:v>15257.8671551525</c:v>
                </c:pt>
                <c:pt idx="6">
                  <c:v>15263.4950407097</c:v>
                </c:pt>
                <c:pt idx="7">
                  <c:v>15262.271592781801</c:v>
                </c:pt>
                <c:pt idx="8">
                  <c:v>15256.6824709593</c:v>
                </c:pt>
                <c:pt idx="9">
                  <c:v>15253.621742043701</c:v>
                </c:pt>
                <c:pt idx="10">
                  <c:v>15261.4495700512</c:v>
                </c:pt>
                <c:pt idx="11">
                  <c:v>15283.9768936168</c:v>
                </c:pt>
                <c:pt idx="12">
                  <c:v>15318.7876017251</c:v>
                </c:pt>
                <c:pt idx="13">
                  <c:v>15357.278798453901</c:v>
                </c:pt>
                <c:pt idx="14">
                  <c:v>15392.6439075046</c:v>
                </c:pt>
                <c:pt idx="15">
                  <c:v>15420.323774688701</c:v>
                </c:pt>
                <c:pt idx="16">
                  <c:v>15440.936423684199</c:v>
                </c:pt>
                <c:pt idx="17">
                  <c:v>15456.3743689361</c:v>
                </c:pt>
                <c:pt idx="18">
                  <c:v>15475.843687651901</c:v>
                </c:pt>
                <c:pt idx="19">
                  <c:v>15508.755809694399</c:v>
                </c:pt>
                <c:pt idx="20">
                  <c:v>15558.605934720301</c:v>
                </c:pt>
                <c:pt idx="21">
                  <c:v>15622.9148108645</c:v>
                </c:pt>
                <c:pt idx="22">
                  <c:v>15698.360524088201</c:v>
                </c:pt>
                <c:pt idx="23">
                  <c:v>15780.709442114199</c:v>
                </c:pt>
                <c:pt idx="24">
                  <c:v>15860.8156449939</c:v>
                </c:pt>
                <c:pt idx="25">
                  <c:v>15933.359040560999</c:v>
                </c:pt>
                <c:pt idx="26">
                  <c:v>15995.4514225693</c:v>
                </c:pt>
                <c:pt idx="27">
                  <c:v>16054.0467654846</c:v>
                </c:pt>
                <c:pt idx="28">
                  <c:v>16118.0909466547</c:v>
                </c:pt>
                <c:pt idx="29">
                  <c:v>16188.8120229366</c:v>
                </c:pt>
                <c:pt idx="30">
                  <c:v>16261.4152601885</c:v>
                </c:pt>
                <c:pt idx="31">
                  <c:v>16327.012114573599</c:v>
                </c:pt>
                <c:pt idx="32">
                  <c:v>16373.6874092536</c:v>
                </c:pt>
                <c:pt idx="33">
                  <c:v>16398.3093991106</c:v>
                </c:pt>
                <c:pt idx="34">
                  <c:v>16400.186412982901</c:v>
                </c:pt>
                <c:pt idx="35">
                  <c:v>16385.397604039601</c:v>
                </c:pt>
                <c:pt idx="36">
                  <c:v>16368.3057413478</c:v>
                </c:pt>
                <c:pt idx="37">
                  <c:v>16359.544037600001</c:v>
                </c:pt>
                <c:pt idx="38">
                  <c:v>16356.5340860544</c:v>
                </c:pt>
                <c:pt idx="39">
                  <c:v>16355.9871679356</c:v>
                </c:pt>
                <c:pt idx="40">
                  <c:v>16353.093550878501</c:v>
                </c:pt>
                <c:pt idx="41">
                  <c:v>16350.7580040299</c:v>
                </c:pt>
                <c:pt idx="42">
                  <c:v>16351.855137471101</c:v>
                </c:pt>
                <c:pt idx="43">
                  <c:v>16357.7820648666</c:v>
                </c:pt>
                <c:pt idx="44">
                  <c:v>16368.593303699299</c:v>
                </c:pt>
                <c:pt idx="45">
                  <c:v>16385.915373652399</c:v>
                </c:pt>
                <c:pt idx="46">
                  <c:v>16410.268938864199</c:v>
                </c:pt>
                <c:pt idx="47">
                  <c:v>16440.9741397939</c:v>
                </c:pt>
                <c:pt idx="48">
                  <c:v>16474.1046957088</c:v>
                </c:pt>
                <c:pt idx="49">
                  <c:v>16510.547072775</c:v>
                </c:pt>
                <c:pt idx="50">
                  <c:v>16549.352376927902</c:v>
                </c:pt>
                <c:pt idx="51">
                  <c:v>16584.010412916199</c:v>
                </c:pt>
                <c:pt idx="52">
                  <c:v>16604.082847343801</c:v>
                </c:pt>
                <c:pt idx="53">
                  <c:v>16606.597774222799</c:v>
                </c:pt>
                <c:pt idx="54">
                  <c:v>16597.969408194502</c:v>
                </c:pt>
                <c:pt idx="55">
                  <c:v>16592.058028941101</c:v>
                </c:pt>
                <c:pt idx="56">
                  <c:v>16601.400935626199</c:v>
                </c:pt>
                <c:pt idx="57">
                  <c:v>16632.254454081602</c:v>
                </c:pt>
                <c:pt idx="58">
                  <c:v>16686.778170319601</c:v>
                </c:pt>
                <c:pt idx="59">
                  <c:v>16760.0209890148</c:v>
                </c:pt>
                <c:pt idx="60">
                  <c:v>16841.3160845245</c:v>
                </c:pt>
                <c:pt idx="61">
                  <c:v>16915.4826854233</c:v>
                </c:pt>
                <c:pt idx="62">
                  <c:v>16978.023814345299</c:v>
                </c:pt>
                <c:pt idx="63">
                  <c:v>17030.619437469701</c:v>
                </c:pt>
                <c:pt idx="64">
                  <c:v>17079.7036125948</c:v>
                </c:pt>
                <c:pt idx="65">
                  <c:v>17129.019606074198</c:v>
                </c:pt>
                <c:pt idx="66">
                  <c:v>17179.025848587298</c:v>
                </c:pt>
                <c:pt idx="67">
                  <c:v>17231.433378270402</c:v>
                </c:pt>
                <c:pt idx="68">
                  <c:v>17288.176308547299</c:v>
                </c:pt>
                <c:pt idx="69">
                  <c:v>17348.3774456756</c:v>
                </c:pt>
                <c:pt idx="70">
                  <c:v>17412.418410330101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249608"/>
        <c:axId val="123248824"/>
      </c:lineChart>
      <c:catAx>
        <c:axId val="1232496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12324882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3248824"/>
        <c:scaling>
          <c:orientation val="minMax"/>
          <c:max val="18000"/>
          <c:min val="145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3249608"/>
        <c:crossesAt val="1"/>
        <c:crossBetween val="between"/>
        <c:majorUnit val="5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99384171907758"/>
          <c:y val="6.990555555555554E-2"/>
          <c:w val="0.7519241352201258"/>
          <c:h val="0.85359120370370367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1332066091533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E9-443E-B568-5B4B6D44A6AC}"/>
                </c:ext>
              </c:extLst>
            </c:dLbl>
            <c:dLbl>
              <c:idx val="1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E9-443E-B568-5B4B6D44A6AC}"/>
                </c:ext>
              </c:extLst>
            </c:dLbl>
            <c:dLbl>
              <c:idx val="2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E9-443E-B568-5B4B6D44A6AC}"/>
                </c:ext>
              </c:extLst>
            </c:dLbl>
            <c:dLbl>
              <c:idx val="3"/>
              <c:layout>
                <c:manualLayout>
                  <c:x val="-1.4645177809727151E-3"/>
                  <c:y val="2.0217592592591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E9-443E-B568-5B4B6D44A6AC}"/>
                </c:ext>
              </c:extLst>
            </c:dLbl>
            <c:dLbl>
              <c:idx val="4"/>
              <c:layout>
                <c:manualLayout>
                  <c:x val="-2.9293663768948253E-3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E9-443E-B568-5B4B6D44A6AC}"/>
                </c:ext>
              </c:extLst>
            </c:dLbl>
            <c:dLbl>
              <c:idx val="5"/>
              <c:layout>
                <c:manualLayout>
                  <c:x val="-1.0706629960681146E-2"/>
                  <c:y val="-2.9398148148149228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070429858087179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3E9-443E-B568-5B4B6D44A6AC}"/>
                </c:ext>
              </c:extLst>
            </c:dLbl>
            <c:dLbl>
              <c:idx val="6"/>
              <c:layout>
                <c:manualLayout>
                  <c:x val="-2.9294084188806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E9-443E-B568-5B4B6D44A6AC}"/>
                </c:ext>
              </c:extLst>
            </c:dLbl>
            <c:dLbl>
              <c:idx val="7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E9-443E-B568-5B4B6D44A6AC}"/>
                </c:ext>
              </c:extLst>
            </c:dLbl>
            <c:dLbl>
              <c:idx val="8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E9-443E-B568-5B4B6D44A6AC}"/>
                </c:ext>
              </c:extLst>
            </c:dLbl>
            <c:dLbl>
              <c:idx val="9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E9-443E-B568-5B4B6D44A6AC}"/>
                </c:ext>
              </c:extLst>
            </c:dLbl>
            <c:dLbl>
              <c:idx val="10"/>
              <c:layout>
                <c:manualLayout>
                  <c:x val="-1.4646465461904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E9-443E-B568-5B4B6D44A6AC}"/>
                </c:ext>
              </c:extLst>
            </c:dLbl>
            <c:dLbl>
              <c:idx val="11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E9-443E-B568-5B4B6D44A6AC}"/>
                </c:ext>
              </c:extLst>
            </c:dLbl>
            <c:dLbl>
              <c:idx val="1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E9-443E-B568-5B4B6D44A6AC}"/>
                </c:ext>
              </c:extLst>
            </c:dLbl>
            <c:dLbl>
              <c:idx val="13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E9-443E-B568-5B4B6D44A6AC}"/>
                </c:ext>
              </c:extLst>
            </c:dLbl>
            <c:dLbl>
              <c:idx val="14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E9-443E-B568-5B4B6D44A6AC}"/>
                </c:ext>
              </c:extLst>
            </c:dLbl>
            <c:dLbl>
              <c:idx val="15"/>
              <c:layout>
                <c:manualLayout>
                  <c:x val="-1.4646465461903501E-3"/>
                  <c:y val="2.0217865811636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E9-443E-B568-5B4B6D44A6AC}"/>
                </c:ext>
              </c:extLst>
            </c:dLbl>
            <c:dLbl>
              <c:idx val="16"/>
              <c:layout>
                <c:manualLayout>
                  <c:x val="-1.3851865878970321E-3"/>
                  <c:y val="-1.59195793792419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E9-443E-B568-5B4B6D44A6AC}"/>
                </c:ext>
              </c:extLst>
            </c:dLbl>
            <c:dLbl>
              <c:idx val="17"/>
              <c:layout>
                <c:manualLayout>
                  <c:x val="-1.584701432378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E9-443E-B568-5B4B6D44A6AC}"/>
                </c:ext>
              </c:extLst>
            </c:dLbl>
            <c:dLbl>
              <c:idx val="18"/>
              <c:layout>
                <c:manualLayout>
                  <c:x val="-9.259286856084575E-3"/>
                  <c:y val="2.02175925925924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E9-443E-B568-5B4B6D44A6AC}"/>
                </c:ext>
              </c:extLst>
            </c:dLbl>
            <c:dLbl>
              <c:idx val="19"/>
              <c:layout>
                <c:manualLayout>
                  <c:x val="-1.0160420775805392E-2"/>
                  <c:y val="-2.0217592592592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E9-443E-B568-5B4B6D44A6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6-7'!$C$8:$C$27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Yucatán</c:v>
                </c:pt>
                <c:pt idx="3">
                  <c:v>Veracruz</c:v>
                </c:pt>
                <c:pt idx="4">
                  <c:v>Sinaloa</c:v>
                </c:pt>
                <c:pt idx="5">
                  <c:v>Durango</c:v>
                </c:pt>
                <c:pt idx="6">
                  <c:v>Aguascalientes</c:v>
                </c:pt>
                <c:pt idx="7">
                  <c:v>Ciudad de México</c:v>
                </c:pt>
                <c:pt idx="8">
                  <c:v>San Luis Potosí</c:v>
                </c:pt>
                <c:pt idx="9">
                  <c:v>Puebla</c:v>
                </c:pt>
                <c:pt idx="10">
                  <c:v>Querétaro</c:v>
                </c:pt>
                <c:pt idx="11">
                  <c:v>México</c:v>
                </c:pt>
                <c:pt idx="12">
                  <c:v>Sonora</c:v>
                </c:pt>
                <c:pt idx="13">
                  <c:v>Guanajuato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Chihuahua</c:v>
                </c:pt>
                <c:pt idx="18">
                  <c:v>Nuevo León</c:v>
                </c:pt>
                <c:pt idx="19">
                  <c:v>Baja California</c:v>
                </c:pt>
              </c:strCache>
            </c:strRef>
          </c:cat>
          <c:val>
            <c:numRef>
              <c:f>'Datos Gráfica 4, 6-7'!$F$8:$F$27</c:f>
              <c:numCache>
                <c:formatCode>0.0</c:formatCode>
                <c:ptCount val="20"/>
                <c:pt idx="0">
                  <c:v>7.4</c:v>
                </c:pt>
                <c:pt idx="1">
                  <c:v>0.4</c:v>
                </c:pt>
                <c:pt idx="2">
                  <c:v>0.9</c:v>
                </c:pt>
                <c:pt idx="3">
                  <c:v>0.9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2.1</c:v>
                </c:pt>
                <c:pt idx="8">
                  <c:v>2.8</c:v>
                </c:pt>
                <c:pt idx="9">
                  <c:v>2.8</c:v>
                </c:pt>
                <c:pt idx="10">
                  <c:v>3.7</c:v>
                </c:pt>
                <c:pt idx="11">
                  <c:v>4.4000000000000004</c:v>
                </c:pt>
                <c:pt idx="12">
                  <c:v>5.8</c:v>
                </c:pt>
                <c:pt idx="13">
                  <c:v>6</c:v>
                </c:pt>
                <c:pt idx="14">
                  <c:v>6.2</c:v>
                </c:pt>
                <c:pt idx="15">
                  <c:v>6.5</c:v>
                </c:pt>
                <c:pt idx="16">
                  <c:v>7.1</c:v>
                </c:pt>
                <c:pt idx="17">
                  <c:v>9.4</c:v>
                </c:pt>
                <c:pt idx="18">
                  <c:v>12.3</c:v>
                </c:pt>
                <c:pt idx="19">
                  <c:v>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9-443E-B568-5B4B6D44A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72778912"/>
        <c:axId val="172777344"/>
      </c:barChart>
      <c:catAx>
        <c:axId val="1727789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72777344"/>
        <c:crosses val="autoZero"/>
        <c:auto val="0"/>
        <c:lblAlgn val="ctr"/>
        <c:lblOffset val="0"/>
        <c:tickLblSkip val="1"/>
        <c:noMultiLvlLbl val="0"/>
      </c:catAx>
      <c:valAx>
        <c:axId val="172777344"/>
        <c:scaling>
          <c:orientation val="minMax"/>
          <c:max val="20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72778912"/>
        <c:crosses val="autoZero"/>
        <c:crossBetween val="between"/>
        <c:majorUnit val="5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552777777777776E-2"/>
          <c:w val="0.88879433885808601"/>
          <c:h val="0.827193981481481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F57-4151-B3BF-116CF8A09F9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F57-4151-B3BF-116CF8A09F9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F57-4151-B3BF-116CF8A09F9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F57-4151-B3BF-116CF8A09F9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F57-4151-B3BF-116CF8A09F9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F57-4151-B3BF-116CF8A09F9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F57-4151-B3BF-116CF8A09F9A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F57-4151-B3BF-116CF8A09F9A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F57-4151-B3BF-116CF8A09F9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F57-4151-B3BF-116CF8A09F9A}"/>
              </c:ext>
            </c:extLst>
          </c:dPt>
          <c:dPt>
            <c:idx val="10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0C-3F57-4151-B3BF-116CF8A09F9A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3F57-4151-B3BF-116CF8A09F9A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F57-4151-B3BF-116CF8A09F9A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F57-4151-B3BF-116CF8A09F9A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F57-4151-B3BF-116CF8A09F9A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3F57-4151-B3BF-116CF8A09F9A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F57-4151-B3BF-116CF8A09F9A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F57-4151-B3BF-116CF8A09F9A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F57-4151-B3BF-116CF8A09F9A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F57-4151-B3BF-116CF8A09F9A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F57-4151-B3BF-116CF8A09F9A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3F57-4151-B3BF-116CF8A09F9A}"/>
              </c:ext>
            </c:extLst>
          </c:dPt>
          <c:dPt>
            <c:idx val="22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1B-3F57-4151-B3BF-116CF8A09F9A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3F57-4151-B3BF-116CF8A09F9A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3F57-4151-B3BF-116CF8A09F9A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3F57-4151-B3BF-116CF8A09F9A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3F57-4151-B3BF-116CF8A09F9A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3F57-4151-B3BF-116CF8A09F9A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3F57-4151-B3BF-116CF8A09F9A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3F57-4151-B3BF-116CF8A09F9A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3F57-4151-B3BF-116CF8A09F9A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3F57-4151-B3BF-116CF8A09F9A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3F57-4151-B3BF-116CF8A09F9A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3F57-4151-B3BF-116CF8A09F9A}"/>
              </c:ext>
            </c:extLst>
          </c:dPt>
          <c:dPt>
            <c:idx val="34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A-3F57-4151-B3BF-116CF8A09F9A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3F57-4151-B3BF-116CF8A09F9A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3F57-4151-B3BF-116CF8A09F9A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E-3F57-4151-B3BF-116CF8A09F9A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3F57-4151-B3BF-116CF8A09F9A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0-3F57-4151-B3BF-116CF8A09F9A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3F57-4151-B3BF-116CF8A09F9A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2-3F57-4151-B3BF-116CF8A09F9A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3F57-4151-B3BF-116CF8A09F9A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4-3F57-4151-B3BF-116CF8A09F9A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3F57-4151-B3BF-116CF8A09F9A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3F57-4151-B3BF-116CF8A09F9A}"/>
              </c:ext>
            </c:extLst>
          </c:dPt>
          <c:dPt>
            <c:idx val="46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9-3F57-4151-B3BF-116CF8A09F9A}"/>
              </c:ext>
            </c:extLst>
          </c:dPt>
          <c:dPt>
            <c:idx val="4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0000">
                    <a:srgbClr val="339966"/>
                  </a:gs>
                  <a:gs pos="95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B-3F57-4151-B3BF-116CF8A09F9A}"/>
              </c:ext>
            </c:extLst>
          </c:dPt>
          <c:dPt>
            <c:idx val="4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C-3F57-4151-B3BF-116CF8A09F9A}"/>
              </c:ext>
            </c:extLst>
          </c:dPt>
          <c:dLbls>
            <c:dLbl>
              <c:idx val="0"/>
              <c:layout>
                <c:manualLayout>
                  <c:x val="1.4645312196907543E-3"/>
                  <c:y val="1.5919579381094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57-4151-B3BF-116CF8A09F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lIns="0" tIns="0" rIns="0" bIns="0"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Gráfica 5'!$A$103:$B$151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'Datos Gráfica 5'!$C$103:$C$151</c:f>
              <c:numCache>
                <c:formatCode>0.0</c:formatCode>
                <c:ptCount val="47"/>
                <c:pt idx="0">
                  <c:v>3.6899315734971907</c:v>
                </c:pt>
                <c:pt idx="1">
                  <c:v>4.0131921864528834</c:v>
                </c:pt>
                <c:pt idx="2">
                  <c:v>3.480668544957453</c:v>
                </c:pt>
                <c:pt idx="3">
                  <c:v>3.9389893651187009</c:v>
                </c:pt>
                <c:pt idx="4">
                  <c:v>4.4767204383374519</c:v>
                </c:pt>
                <c:pt idx="5">
                  <c:v>3.8569845219233372</c:v>
                </c:pt>
                <c:pt idx="6">
                  <c:v>3.614424442571277</c:v>
                </c:pt>
                <c:pt idx="7">
                  <c:v>4.6274586012630721</c:v>
                </c:pt>
                <c:pt idx="8">
                  <c:v>5.1433187364809072</c:v>
                </c:pt>
                <c:pt idx="9">
                  <c:v>4.5769417707259237</c:v>
                </c:pt>
                <c:pt idx="10">
                  <c:v>4.7558752636336408</c:v>
                </c:pt>
                <c:pt idx="11">
                  <c:v>4.6899318776407313</c:v>
                </c:pt>
                <c:pt idx="12">
                  <c:v>4.6080297646954733</c:v>
                </c:pt>
                <c:pt idx="13">
                  <c:v>5.2729032623707326</c:v>
                </c:pt>
                <c:pt idx="14">
                  <c:v>5.7830364510686962</c:v>
                </c:pt>
                <c:pt idx="15">
                  <c:v>4.8653887889588958</c:v>
                </c:pt>
                <c:pt idx="16">
                  <c:v>5.372439488867812</c:v>
                </c:pt>
                <c:pt idx="17">
                  <c:v>5.7584760282517635</c:v>
                </c:pt>
                <c:pt idx="18">
                  <c:v>6.0503804611893912</c:v>
                </c:pt>
                <c:pt idx="19">
                  <c:v>5.8971590301859891</c:v>
                </c:pt>
                <c:pt idx="20">
                  <c:v>5.1526541031691124</c:v>
                </c:pt>
                <c:pt idx="21">
                  <c:v>4.913895078539781</c:v>
                </c:pt>
                <c:pt idx="22">
                  <c:v>4.5833186528888632</c:v>
                </c:pt>
                <c:pt idx="23">
                  <c:v>4.1491128527336656</c:v>
                </c:pt>
                <c:pt idx="24">
                  <c:v>4.4229714877742197</c:v>
                </c:pt>
                <c:pt idx="25">
                  <c:v>3.528235874978833</c:v>
                </c:pt>
                <c:pt idx="26">
                  <c:v>2.9874679495808891</c:v>
                </c:pt>
                <c:pt idx="27">
                  <c:v>3.6671309744254188</c:v>
                </c:pt>
                <c:pt idx="28">
                  <c:v>4.0542731151946327</c:v>
                </c:pt>
                <c:pt idx="29">
                  <c:v>3.5641734369604308</c:v>
                </c:pt>
                <c:pt idx="30">
                  <c:v>3.4653742794773308</c:v>
                </c:pt>
                <c:pt idx="31">
                  <c:v>3.7648119212258138</c:v>
                </c:pt>
                <c:pt idx="32">
                  <c:v>3.8684558448453572</c:v>
                </c:pt>
                <c:pt idx="33">
                  <c:v>3.9910213491368296</c:v>
                </c:pt>
                <c:pt idx="34">
                  <c:v>3.7744735063572392</c:v>
                </c:pt>
                <c:pt idx="35">
                  <c:v>4.6285488113652065</c:v>
                </c:pt>
                <c:pt idx="36">
                  <c:v>4.6453903765437872</c:v>
                </c:pt>
                <c:pt idx="37">
                  <c:v>4.7823647541404171</c:v>
                </c:pt>
                <c:pt idx="38">
                  <c:v>4.1071682600622523</c:v>
                </c:pt>
                <c:pt idx="39">
                  <c:v>3.7572118402251107</c:v>
                </c:pt>
                <c:pt idx="40">
                  <c:v>3.5601508871418588</c:v>
                </c:pt>
                <c:pt idx="41">
                  <c:v>3.4410057374282985</c:v>
                </c:pt>
                <c:pt idx="42">
                  <c:v>3.651630236806497</c:v>
                </c:pt>
                <c:pt idx="43">
                  <c:v>2.6035704978983603</c:v>
                </c:pt>
                <c:pt idx="44">
                  <c:v>1.8828697903616529</c:v>
                </c:pt>
                <c:pt idx="45">
                  <c:v>1.3411596399332666</c:v>
                </c:pt>
                <c:pt idx="46">
                  <c:v>0.68842836131391039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3F57-4151-B3BF-116CF8A09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72780088"/>
        <c:axId val="172780872"/>
      </c:barChart>
      <c:catAx>
        <c:axId val="17278008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7278087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72780872"/>
        <c:scaling>
          <c:orientation val="minMax"/>
          <c:max val="8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72780088"/>
        <c:crosses val="autoZero"/>
        <c:crossBetween val="between"/>
        <c:majorUnit val="2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64645915230631"/>
          <c:y val="4.6339351851851847E-2"/>
          <c:w val="0.71024633058900122"/>
          <c:h val="0.8625949074074073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5964595643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68-4EA2-BC81-022F286658DF}"/>
                </c:ext>
              </c:extLst>
            </c:dLbl>
            <c:dLbl>
              <c:idx val="2"/>
              <c:layout>
                <c:manualLayout>
                  <c:x val="-3.8511928799007694E-17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68-4EA2-BC81-022F286658DF}"/>
                </c:ext>
              </c:extLst>
            </c:dLbl>
            <c:dLbl>
              <c:idx val="8"/>
              <c:layout>
                <c:manualLayout>
                  <c:x val="-7.7104639430543796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68-4EA2-BC81-022F286658DF}"/>
                </c:ext>
              </c:extLst>
            </c:dLbl>
            <c:dLbl>
              <c:idx val="11"/>
              <c:layout>
                <c:manualLayout>
                  <c:x val="-8.4026997146391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68-4EA2-BC81-022F286658DF}"/>
                </c:ext>
              </c:extLst>
            </c:dLbl>
            <c:dLbl>
              <c:idx val="18"/>
              <c:layout>
                <c:manualLayout>
                  <c:x val="-8.4026997146390246E-3"/>
                  <c:y val="-1.34739955818211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68-4EA2-BC81-022F286658DF}"/>
                </c:ext>
              </c:extLst>
            </c:dLbl>
            <c:dLbl>
              <c:idx val="19"/>
              <c:layout>
                <c:manualLayout>
                  <c:x val="-8.3346828180950842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68-4EA2-BC81-022F286658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6-7'!$H$8:$H$27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Veracruz</c:v>
                </c:pt>
                <c:pt idx="3">
                  <c:v>Yucatán</c:v>
                </c:pt>
                <c:pt idx="4">
                  <c:v>Ciudad de México</c:v>
                </c:pt>
                <c:pt idx="5">
                  <c:v>Sinaloa</c:v>
                </c:pt>
                <c:pt idx="6">
                  <c:v>Durango</c:v>
                </c:pt>
                <c:pt idx="7">
                  <c:v>Aguascalientes</c:v>
                </c:pt>
                <c:pt idx="8">
                  <c:v>Puebla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México</c:v>
                </c:pt>
                <c:pt idx="12">
                  <c:v>Guanajuato</c:v>
                </c:pt>
                <c:pt idx="13">
                  <c:v>Sonora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Nuevo León</c:v>
                </c:pt>
                <c:pt idx="18">
                  <c:v>Baja California</c:v>
                </c:pt>
                <c:pt idx="19">
                  <c:v>Chihuahua</c:v>
                </c:pt>
              </c:strCache>
            </c:strRef>
          </c:cat>
          <c:val>
            <c:numRef>
              <c:f>'Datos Gráfica 4, 6-7'!$K$8:$K$27</c:f>
              <c:numCache>
                <c:formatCode>0.0</c:formatCode>
                <c:ptCount val="20"/>
                <c:pt idx="0">
                  <c:v>6.7</c:v>
                </c:pt>
                <c:pt idx="1">
                  <c:v>0.2</c:v>
                </c:pt>
                <c:pt idx="2">
                  <c:v>0.7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1.3</c:v>
                </c:pt>
                <c:pt idx="6">
                  <c:v>1.4</c:v>
                </c:pt>
                <c:pt idx="7">
                  <c:v>2</c:v>
                </c:pt>
                <c:pt idx="8">
                  <c:v>2.5</c:v>
                </c:pt>
                <c:pt idx="9">
                  <c:v>2.9</c:v>
                </c:pt>
                <c:pt idx="10">
                  <c:v>3.5</c:v>
                </c:pt>
                <c:pt idx="11">
                  <c:v>4.5</c:v>
                </c:pt>
                <c:pt idx="12">
                  <c:v>5.8</c:v>
                </c:pt>
                <c:pt idx="13">
                  <c:v>6.1</c:v>
                </c:pt>
                <c:pt idx="14">
                  <c:v>6.7</c:v>
                </c:pt>
                <c:pt idx="15">
                  <c:v>8.6</c:v>
                </c:pt>
                <c:pt idx="16">
                  <c:v>9.4</c:v>
                </c:pt>
                <c:pt idx="17">
                  <c:v>9.8000000000000007</c:v>
                </c:pt>
                <c:pt idx="18">
                  <c:v>12.5</c:v>
                </c:pt>
                <c:pt idx="1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68-4EA2-BC81-022F2866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72777736"/>
        <c:axId val="172779304"/>
      </c:barChart>
      <c:catAx>
        <c:axId val="1727777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72779304"/>
        <c:crosses val="autoZero"/>
        <c:auto val="0"/>
        <c:lblAlgn val="ctr"/>
        <c:lblOffset val="0"/>
        <c:tickLblSkip val="1"/>
        <c:noMultiLvlLbl val="0"/>
      </c:catAx>
      <c:valAx>
        <c:axId val="172779304"/>
        <c:scaling>
          <c:orientation val="minMax"/>
          <c:max val="15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72777736"/>
        <c:crosses val="autoZero"/>
        <c:crossBetween val="between"/>
        <c:majorUnit val="5"/>
        <c:minorUnit val="0.5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17315051694609"/>
          <c:y val="6.7510648148148153E-2"/>
          <c:w val="0.7519241352201258"/>
          <c:h val="0.83622546296296285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18"/>
              <c:layout>
                <c:manualLayout>
                  <c:x val="-8.35073068893528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F6-4E6E-9C55-2DC5788BCF6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6-7'!$M$8:$M$27</c:f>
              <c:strCache>
                <c:ptCount val="20"/>
                <c:pt idx="0">
                  <c:v>Otras entidades</c:v>
                </c:pt>
                <c:pt idx="1">
                  <c:v>Ciudad de México</c:v>
                </c:pt>
                <c:pt idx="2">
                  <c:v>Puebla</c:v>
                </c:pt>
                <c:pt idx="3">
                  <c:v>Nuevo León</c:v>
                </c:pt>
                <c:pt idx="4">
                  <c:v>Coahuila</c:v>
                </c:pt>
                <c:pt idx="5">
                  <c:v>México</c:v>
                </c:pt>
                <c:pt idx="6">
                  <c:v>Aguascalientes</c:v>
                </c:pt>
                <c:pt idx="7">
                  <c:v>Tamaulipas</c:v>
                </c:pt>
                <c:pt idx="8">
                  <c:v>Durango</c:v>
                </c:pt>
                <c:pt idx="9">
                  <c:v>Chihuahua</c:v>
                </c:pt>
                <c:pt idx="10">
                  <c:v>Baja California</c:v>
                </c:pt>
                <c:pt idx="11">
                  <c:v>Querétaro</c:v>
                </c:pt>
                <c:pt idx="12">
                  <c:v>Sonora</c:v>
                </c:pt>
                <c:pt idx="13">
                  <c:v>Jalisco</c:v>
                </c:pt>
                <c:pt idx="14">
                  <c:v>Guanajuato</c:v>
                </c:pt>
                <c:pt idx="15">
                  <c:v>Veracruz</c:v>
                </c:pt>
                <c:pt idx="16">
                  <c:v>San Luis Potosí</c:v>
                </c:pt>
                <c:pt idx="17">
                  <c:v>Sinaloa</c:v>
                </c:pt>
                <c:pt idx="18">
                  <c:v>Michoacán</c:v>
                </c:pt>
                <c:pt idx="19">
                  <c:v>Yucatán</c:v>
                </c:pt>
              </c:strCache>
            </c:strRef>
          </c:cat>
          <c:val>
            <c:numRef>
              <c:f>'Datos Gráfica 4, 6-7'!$N$8:$N$27</c:f>
              <c:numCache>
                <c:formatCode>0.0</c:formatCode>
                <c:ptCount val="20"/>
                <c:pt idx="0">
                  <c:v>-1.2908907901358759</c:v>
                </c:pt>
                <c:pt idx="1">
                  <c:v>-19.810733408043831</c:v>
                </c:pt>
                <c:pt idx="2">
                  <c:v>-8.7046178841467281</c:v>
                </c:pt>
                <c:pt idx="3">
                  <c:v>-6.0457567831594901</c:v>
                </c:pt>
                <c:pt idx="4">
                  <c:v>-5.8607113999346723</c:v>
                </c:pt>
                <c:pt idx="5">
                  <c:v>-5.8394160583941641</c:v>
                </c:pt>
                <c:pt idx="6">
                  <c:v>-5.4921773142112045</c:v>
                </c:pt>
                <c:pt idx="7">
                  <c:v>-5.4712800409067626</c:v>
                </c:pt>
                <c:pt idx="8">
                  <c:v>-4.8586022175158803</c:v>
                </c:pt>
                <c:pt idx="9">
                  <c:v>-3.8446730102854616</c:v>
                </c:pt>
                <c:pt idx="10">
                  <c:v>-2.3307691267727506</c:v>
                </c:pt>
                <c:pt idx="11">
                  <c:v>-0.91458917244430893</c:v>
                </c:pt>
                <c:pt idx="12">
                  <c:v>2.4978662873399742</c:v>
                </c:pt>
                <c:pt idx="13">
                  <c:v>2.6350083402835622</c:v>
                </c:pt>
                <c:pt idx="14">
                  <c:v>2.8725528174260262</c:v>
                </c:pt>
                <c:pt idx="15">
                  <c:v>2.9934518241347092</c:v>
                </c:pt>
                <c:pt idx="16">
                  <c:v>3.3234902437612135</c:v>
                </c:pt>
                <c:pt idx="17">
                  <c:v>25.79054250072528</c:v>
                </c:pt>
                <c:pt idx="18">
                  <c:v>29.14937759336101</c:v>
                </c:pt>
                <c:pt idx="19">
                  <c:v>29.289819376026287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A53-4B5B-9756-CBAAF9C840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172778520"/>
        <c:axId val="172780480"/>
      </c:barChart>
      <c:catAx>
        <c:axId val="1727785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72780480"/>
        <c:crosses val="autoZero"/>
        <c:auto val="0"/>
        <c:lblAlgn val="ctr"/>
        <c:lblOffset val="0"/>
        <c:tickLblSkip val="1"/>
        <c:noMultiLvlLbl val="0"/>
      </c:catAx>
      <c:valAx>
        <c:axId val="172780480"/>
        <c:scaling>
          <c:orientation val="minMax"/>
          <c:max val="40"/>
          <c:min val="-30"/>
        </c:scaling>
        <c:delete val="0"/>
        <c:axPos val="b"/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72778520"/>
        <c:crosses val="autoZero"/>
        <c:crossBetween val="between"/>
        <c:majorUnit val="10"/>
        <c:minorUnit val="0.1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B743F-C07F-4694-8010-0CA174BE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1695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Establecimientos con Programa IMMEX</dc:title>
  <dc:subject/>
  <dc:creator>INEGI</dc:creator>
  <cp:keywords/>
  <dc:description/>
  <cp:lastModifiedBy>CHAVEZ JIMENEZ HECTOR MANUEL</cp:lastModifiedBy>
  <cp:revision>4</cp:revision>
  <cp:lastPrinted>2020-01-27T15:18:00Z</cp:lastPrinted>
  <dcterms:created xsi:type="dcterms:W3CDTF">2020-01-27T16:42:00Z</dcterms:created>
  <dcterms:modified xsi:type="dcterms:W3CDTF">2020-01-27T16:50:00Z</dcterms:modified>
</cp:coreProperties>
</file>