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77119A" w14:textId="77777777" w:rsidR="00B41882" w:rsidRDefault="00C334E7" w:rsidP="000D654C">
      <w:pPr>
        <w:pStyle w:val="Textoindependiente"/>
        <w:spacing w:before="360" w:after="120" w:line="220" w:lineRule="exact"/>
        <w:ind w:left="-142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E</w:t>
      </w:r>
      <w:r w:rsidR="001427F6" w:rsidRPr="007854A6">
        <w:rPr>
          <w:rFonts w:asciiTheme="minorHAnsi" w:hAnsiTheme="minorHAnsi" w:cstheme="minorHAnsi"/>
          <w:sz w:val="20"/>
          <w:szCs w:val="20"/>
        </w:rPr>
        <w:t>l Instituto Nacional de Estadística y Geografía (INEGI)</w:t>
      </w:r>
      <w:r w:rsidR="00EE764B" w:rsidRPr="00EE764B">
        <w:rPr>
          <w:rFonts w:asciiTheme="minorHAnsi" w:hAnsiTheme="minorHAnsi" w:cstheme="minorHAnsi"/>
          <w:sz w:val="20"/>
          <w:szCs w:val="20"/>
        </w:rPr>
        <w:t xml:space="preserve"> presenta el Indicador Trimestral del Ahorro Bruto </w:t>
      </w:r>
      <w:r w:rsidR="00EE764B" w:rsidRPr="00B81315">
        <w:rPr>
          <w:rFonts w:asciiTheme="minorHAnsi" w:hAnsiTheme="minorHAnsi" w:cstheme="minorHAnsi"/>
          <w:sz w:val="20"/>
        </w:rPr>
        <w:t>(</w:t>
      </w:r>
      <w:r w:rsidR="008841B8" w:rsidRPr="00B81315">
        <w:rPr>
          <w:rFonts w:asciiTheme="minorHAnsi" w:hAnsiTheme="minorHAnsi" w:cstheme="minorHAnsi"/>
          <w:sz w:val="20"/>
        </w:rPr>
        <w:t>ITAB</w:t>
      </w:r>
      <w:r w:rsidR="00EE764B" w:rsidRPr="00B81315">
        <w:rPr>
          <w:rFonts w:asciiTheme="minorHAnsi" w:hAnsiTheme="minorHAnsi" w:cstheme="minorHAnsi"/>
          <w:sz w:val="20"/>
          <w:szCs w:val="20"/>
        </w:rPr>
        <w:t>)</w:t>
      </w:r>
      <w:r w:rsidR="000724F7">
        <w:rPr>
          <w:rFonts w:asciiTheme="minorHAnsi" w:hAnsiTheme="minorHAnsi" w:cstheme="minorHAnsi"/>
          <w:sz w:val="20"/>
          <w:szCs w:val="20"/>
        </w:rPr>
        <w:t xml:space="preserve"> año base 2013</w:t>
      </w:r>
      <w:r w:rsidR="00EF21F1">
        <w:rPr>
          <w:rFonts w:asciiTheme="minorHAnsi" w:hAnsiTheme="minorHAnsi" w:cstheme="minorHAnsi"/>
          <w:sz w:val="20"/>
          <w:szCs w:val="20"/>
        </w:rPr>
        <w:t>.</w:t>
      </w:r>
      <w:r w:rsidR="00EE764B">
        <w:rPr>
          <w:rFonts w:asciiTheme="minorHAnsi" w:hAnsiTheme="minorHAnsi" w:cstheme="minorHAnsi"/>
          <w:sz w:val="20"/>
          <w:szCs w:val="20"/>
        </w:rPr>
        <w:t xml:space="preserve"> </w:t>
      </w:r>
      <w:r w:rsidR="001427F6">
        <w:rPr>
          <w:rFonts w:asciiTheme="minorHAnsi" w:hAnsiTheme="minorHAnsi" w:cstheme="minorHAnsi"/>
          <w:sz w:val="20"/>
          <w:szCs w:val="20"/>
        </w:rPr>
        <w:t>Ést</w:t>
      </w:r>
      <w:r>
        <w:rPr>
          <w:rFonts w:asciiTheme="minorHAnsi" w:hAnsiTheme="minorHAnsi" w:cstheme="minorHAnsi"/>
          <w:sz w:val="20"/>
          <w:szCs w:val="20"/>
        </w:rPr>
        <w:t>e</w:t>
      </w:r>
      <w:r w:rsidR="00B158DB" w:rsidRPr="00B158DB">
        <w:rPr>
          <w:rFonts w:asciiTheme="minorHAnsi" w:hAnsiTheme="minorHAnsi" w:cstheme="minorHAnsi"/>
          <w:sz w:val="20"/>
          <w:szCs w:val="20"/>
        </w:rPr>
        <w:t xml:space="preserve"> representa la parte del ingreso disponibl</w:t>
      </w:r>
      <w:r w:rsidR="00224DA5">
        <w:rPr>
          <w:rFonts w:asciiTheme="minorHAnsi" w:hAnsiTheme="minorHAnsi" w:cstheme="minorHAnsi"/>
          <w:sz w:val="20"/>
          <w:szCs w:val="20"/>
        </w:rPr>
        <w:t>e que no se gasta ni en bienes</w:t>
      </w:r>
      <w:r w:rsidR="00B158DB" w:rsidRPr="00B158DB">
        <w:rPr>
          <w:rFonts w:asciiTheme="minorHAnsi" w:hAnsiTheme="minorHAnsi" w:cstheme="minorHAnsi"/>
          <w:sz w:val="20"/>
          <w:szCs w:val="20"/>
        </w:rPr>
        <w:t xml:space="preserve"> ni en servicios de consumo final, permitiendo con estos recursos la adquisición de activos por parte de los agentes económicos</w:t>
      </w:r>
      <w:r w:rsidR="00F71841">
        <w:rPr>
          <w:rFonts w:asciiTheme="minorHAnsi" w:hAnsiTheme="minorHAnsi" w:cstheme="minorHAnsi"/>
          <w:sz w:val="20"/>
          <w:szCs w:val="20"/>
        </w:rPr>
        <w:t xml:space="preserve">. </w:t>
      </w:r>
    </w:p>
    <w:p w14:paraId="54EB2D97" w14:textId="77777777" w:rsidR="003B633E" w:rsidRDefault="003B633E" w:rsidP="003B633E">
      <w:pPr>
        <w:pStyle w:val="Textoindependiente"/>
        <w:spacing w:before="240" w:line="220" w:lineRule="exact"/>
        <w:ind w:left="-142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El </w:t>
      </w:r>
      <w:r w:rsidR="008F7F10" w:rsidRPr="00B81315">
        <w:rPr>
          <w:rFonts w:asciiTheme="minorHAnsi" w:hAnsiTheme="minorHAnsi" w:cstheme="minorHAnsi"/>
          <w:sz w:val="20"/>
        </w:rPr>
        <w:t>ITAB</w:t>
      </w:r>
      <w:r w:rsidR="00625B2F">
        <w:rPr>
          <w:rFonts w:asciiTheme="minorHAnsi" w:hAnsiTheme="minorHAnsi" w:cstheme="minorHAnsi"/>
          <w:sz w:val="20"/>
          <w:szCs w:val="20"/>
        </w:rPr>
        <w:t xml:space="preserve"> </w:t>
      </w:r>
      <w:r w:rsidRPr="00B158DB">
        <w:rPr>
          <w:rFonts w:asciiTheme="minorHAnsi" w:hAnsiTheme="minorHAnsi" w:cstheme="minorHAnsi"/>
          <w:sz w:val="20"/>
          <w:szCs w:val="20"/>
        </w:rPr>
        <w:t xml:space="preserve">se </w:t>
      </w:r>
      <w:r>
        <w:rPr>
          <w:rFonts w:asciiTheme="minorHAnsi" w:hAnsiTheme="minorHAnsi" w:cstheme="minorHAnsi"/>
          <w:sz w:val="20"/>
          <w:szCs w:val="20"/>
        </w:rPr>
        <w:t>constituye por dos principales componentes, de acuerdo a su origen: Economía Interna y Resto del Mundo</w:t>
      </w:r>
      <w:r w:rsidRPr="00B158DB">
        <w:rPr>
          <w:rFonts w:asciiTheme="minorHAnsi" w:hAnsiTheme="minorHAnsi" w:cstheme="minorHAnsi"/>
          <w:sz w:val="20"/>
          <w:szCs w:val="20"/>
        </w:rPr>
        <w:t>.</w:t>
      </w:r>
    </w:p>
    <w:p w14:paraId="5D40E23B" w14:textId="77777777" w:rsidR="00630B5D" w:rsidRDefault="004336E2" w:rsidP="00DB5312">
      <w:pPr>
        <w:pStyle w:val="p0"/>
        <w:keepNext/>
        <w:spacing w:before="240"/>
        <w:ind w:left="-142"/>
        <w:rPr>
          <w:rFonts w:asciiTheme="minorHAnsi" w:hAnsiTheme="minorHAnsi" w:cstheme="minorHAnsi"/>
          <w:sz w:val="20"/>
        </w:rPr>
      </w:pPr>
      <w:r>
        <w:rPr>
          <w:b/>
          <w:i/>
          <w:color w:val="auto"/>
          <w:sz w:val="18"/>
          <w:szCs w:val="18"/>
        </w:rPr>
        <w:t>Cifras</w:t>
      </w:r>
      <w:r w:rsidR="00630B5D" w:rsidRPr="00630B5D">
        <w:rPr>
          <w:b/>
          <w:i/>
          <w:color w:val="auto"/>
          <w:sz w:val="18"/>
          <w:szCs w:val="18"/>
        </w:rPr>
        <w:t xml:space="preserve"> Desestacionalizadas</w:t>
      </w:r>
    </w:p>
    <w:p w14:paraId="1D33CC40" w14:textId="0A469065" w:rsidR="00DA6498" w:rsidRDefault="00B41882" w:rsidP="00772AF0">
      <w:pPr>
        <w:pStyle w:val="Textoindependiente"/>
        <w:spacing w:before="240" w:after="120" w:line="220" w:lineRule="exact"/>
        <w:ind w:left="-142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El </w:t>
      </w:r>
      <w:r w:rsidR="00C7713F" w:rsidRPr="00EE764B">
        <w:rPr>
          <w:rFonts w:asciiTheme="minorHAnsi" w:hAnsiTheme="minorHAnsi" w:cstheme="minorHAnsi"/>
          <w:sz w:val="20"/>
          <w:szCs w:val="20"/>
        </w:rPr>
        <w:t xml:space="preserve">Indicador Trimestral del </w:t>
      </w:r>
      <w:r>
        <w:rPr>
          <w:rFonts w:asciiTheme="minorHAnsi" w:hAnsiTheme="minorHAnsi" w:cstheme="minorHAnsi"/>
          <w:sz w:val="20"/>
          <w:szCs w:val="20"/>
        </w:rPr>
        <w:t xml:space="preserve">Ahorro Bruto </w:t>
      </w:r>
      <w:r w:rsidR="004978E7">
        <w:rPr>
          <w:rFonts w:asciiTheme="minorHAnsi" w:hAnsiTheme="minorHAnsi" w:cstheme="minorHAnsi"/>
          <w:sz w:val="20"/>
          <w:szCs w:val="20"/>
        </w:rPr>
        <w:t>disminuy</w:t>
      </w:r>
      <w:r w:rsidR="003420F5">
        <w:rPr>
          <w:rFonts w:asciiTheme="minorHAnsi" w:hAnsiTheme="minorHAnsi" w:cstheme="minorHAnsi"/>
          <w:sz w:val="20"/>
          <w:szCs w:val="20"/>
        </w:rPr>
        <w:t>ó</w:t>
      </w:r>
      <w:r w:rsidR="00B822A1">
        <w:rPr>
          <w:rFonts w:asciiTheme="minorHAnsi" w:hAnsiTheme="minorHAnsi" w:cstheme="minorHAnsi"/>
          <w:sz w:val="20"/>
          <w:szCs w:val="20"/>
        </w:rPr>
        <w:t xml:space="preserve"> </w:t>
      </w:r>
      <w:r w:rsidR="009B0BA1">
        <w:rPr>
          <w:rFonts w:asciiTheme="minorHAnsi" w:hAnsiTheme="minorHAnsi" w:cstheme="minorHAnsi"/>
          <w:sz w:val="20"/>
          <w:szCs w:val="20"/>
        </w:rPr>
        <w:t>(-)1.8</w:t>
      </w:r>
      <w:r w:rsidR="00FA3CB0">
        <w:rPr>
          <w:rFonts w:asciiTheme="minorHAnsi" w:hAnsiTheme="minorHAnsi" w:cstheme="minorHAnsi"/>
          <w:sz w:val="20"/>
          <w:szCs w:val="20"/>
        </w:rPr>
        <w:t>%</w:t>
      </w:r>
      <w:r>
        <w:rPr>
          <w:rFonts w:asciiTheme="minorHAnsi" w:hAnsiTheme="minorHAnsi" w:cstheme="minorHAnsi"/>
          <w:sz w:val="20"/>
          <w:szCs w:val="20"/>
        </w:rPr>
        <w:t xml:space="preserve"> en el </w:t>
      </w:r>
      <w:r w:rsidR="00754080">
        <w:rPr>
          <w:rFonts w:asciiTheme="minorHAnsi" w:hAnsiTheme="minorHAnsi" w:cstheme="minorHAnsi"/>
          <w:sz w:val="20"/>
          <w:szCs w:val="20"/>
        </w:rPr>
        <w:t>cuarto</w:t>
      </w:r>
      <w:r>
        <w:rPr>
          <w:rFonts w:asciiTheme="minorHAnsi" w:hAnsiTheme="minorHAnsi" w:cstheme="minorHAnsi"/>
          <w:sz w:val="20"/>
          <w:szCs w:val="20"/>
        </w:rPr>
        <w:t xml:space="preserve"> trimestre de</w:t>
      </w:r>
      <w:r w:rsidR="006E0FF2">
        <w:rPr>
          <w:rFonts w:asciiTheme="minorHAnsi" w:hAnsiTheme="minorHAnsi" w:cstheme="minorHAnsi"/>
          <w:sz w:val="20"/>
          <w:szCs w:val="20"/>
        </w:rPr>
        <w:t xml:space="preserve"> 201</w:t>
      </w:r>
      <w:r w:rsidR="00B00F3E">
        <w:rPr>
          <w:rFonts w:asciiTheme="minorHAnsi" w:hAnsiTheme="minorHAnsi" w:cstheme="minorHAnsi"/>
          <w:sz w:val="20"/>
          <w:szCs w:val="20"/>
        </w:rPr>
        <w:t>9</w:t>
      </w:r>
      <w:r>
        <w:rPr>
          <w:rFonts w:asciiTheme="minorHAnsi" w:hAnsiTheme="minorHAnsi" w:cstheme="minorHAnsi"/>
          <w:sz w:val="20"/>
          <w:szCs w:val="20"/>
        </w:rPr>
        <w:t xml:space="preserve"> frente al trimestre previo</w:t>
      </w:r>
      <w:r w:rsidR="004336E2">
        <w:rPr>
          <w:rFonts w:asciiTheme="minorHAnsi" w:hAnsiTheme="minorHAnsi" w:cstheme="minorHAnsi"/>
          <w:sz w:val="20"/>
          <w:szCs w:val="20"/>
        </w:rPr>
        <w:t>,</w:t>
      </w:r>
      <w:r>
        <w:rPr>
          <w:rFonts w:asciiTheme="minorHAnsi" w:hAnsiTheme="minorHAnsi" w:cstheme="minorHAnsi"/>
          <w:sz w:val="20"/>
          <w:szCs w:val="20"/>
        </w:rPr>
        <w:t xml:space="preserve"> con datos desestacionalizados.</w:t>
      </w:r>
      <w:r w:rsidR="0099212D">
        <w:rPr>
          <w:rFonts w:asciiTheme="minorHAnsi" w:hAnsiTheme="minorHAnsi" w:cstheme="minorHAnsi"/>
          <w:sz w:val="20"/>
          <w:szCs w:val="20"/>
        </w:rPr>
        <w:t xml:space="preserve"> Por componentes</w:t>
      </w:r>
      <w:r w:rsidR="00A03A0D">
        <w:rPr>
          <w:rFonts w:asciiTheme="minorHAnsi" w:hAnsiTheme="minorHAnsi" w:cstheme="minorHAnsi"/>
          <w:sz w:val="20"/>
          <w:szCs w:val="20"/>
        </w:rPr>
        <w:t xml:space="preserve">, </w:t>
      </w:r>
      <w:r w:rsidR="004336E2">
        <w:rPr>
          <w:rFonts w:asciiTheme="minorHAnsi" w:hAnsiTheme="minorHAnsi" w:cstheme="minorHAnsi"/>
          <w:sz w:val="20"/>
          <w:szCs w:val="20"/>
        </w:rPr>
        <w:t xml:space="preserve">el </w:t>
      </w:r>
      <w:r w:rsidR="00FA3CB0">
        <w:rPr>
          <w:rFonts w:asciiTheme="minorHAnsi" w:hAnsiTheme="minorHAnsi" w:cstheme="minorHAnsi"/>
          <w:sz w:val="20"/>
          <w:szCs w:val="20"/>
        </w:rPr>
        <w:t xml:space="preserve">Ahorro </w:t>
      </w:r>
      <w:r w:rsidR="00671F90">
        <w:rPr>
          <w:rFonts w:asciiTheme="minorHAnsi" w:hAnsiTheme="minorHAnsi" w:cstheme="minorHAnsi"/>
          <w:sz w:val="20"/>
          <w:szCs w:val="20"/>
        </w:rPr>
        <w:t xml:space="preserve">de la Economía Interna </w:t>
      </w:r>
      <w:r w:rsidR="009B0BA1">
        <w:rPr>
          <w:rFonts w:asciiTheme="minorHAnsi" w:hAnsiTheme="minorHAnsi" w:cstheme="minorHAnsi"/>
          <w:sz w:val="20"/>
          <w:szCs w:val="20"/>
        </w:rPr>
        <w:t>cay</w:t>
      </w:r>
      <w:r w:rsidR="00671F90">
        <w:rPr>
          <w:rFonts w:asciiTheme="minorHAnsi" w:hAnsiTheme="minorHAnsi" w:cstheme="minorHAnsi"/>
          <w:sz w:val="20"/>
          <w:szCs w:val="20"/>
        </w:rPr>
        <w:t xml:space="preserve">ó </w:t>
      </w:r>
      <w:r w:rsidR="009B0BA1">
        <w:rPr>
          <w:rFonts w:asciiTheme="minorHAnsi" w:hAnsiTheme="minorHAnsi" w:cstheme="minorHAnsi"/>
          <w:sz w:val="20"/>
          <w:szCs w:val="20"/>
        </w:rPr>
        <w:t>(-)1.8</w:t>
      </w:r>
      <w:r w:rsidR="00671F90">
        <w:rPr>
          <w:rFonts w:asciiTheme="minorHAnsi" w:hAnsiTheme="minorHAnsi" w:cstheme="minorHAnsi"/>
          <w:sz w:val="20"/>
          <w:szCs w:val="20"/>
        </w:rPr>
        <w:t>%</w:t>
      </w:r>
      <w:r w:rsidR="00943850">
        <w:rPr>
          <w:rFonts w:asciiTheme="minorHAnsi" w:hAnsiTheme="minorHAnsi" w:cstheme="minorHAnsi"/>
          <w:sz w:val="20"/>
          <w:szCs w:val="20"/>
        </w:rPr>
        <w:t xml:space="preserve"> </w:t>
      </w:r>
      <w:r w:rsidR="00523FE4">
        <w:rPr>
          <w:rFonts w:asciiTheme="minorHAnsi" w:hAnsiTheme="minorHAnsi" w:cstheme="minorHAnsi"/>
          <w:sz w:val="20"/>
          <w:szCs w:val="20"/>
        </w:rPr>
        <w:t>y</w:t>
      </w:r>
      <w:r w:rsidR="004978E7">
        <w:rPr>
          <w:rFonts w:asciiTheme="minorHAnsi" w:hAnsiTheme="minorHAnsi" w:cstheme="minorHAnsi"/>
          <w:sz w:val="20"/>
          <w:szCs w:val="20"/>
        </w:rPr>
        <w:t xml:space="preserve"> </w:t>
      </w:r>
      <w:r w:rsidR="009D4128" w:rsidRPr="00DF2088">
        <w:rPr>
          <w:rFonts w:asciiTheme="minorHAnsi" w:hAnsiTheme="minorHAnsi" w:cstheme="minorHAnsi"/>
          <w:sz w:val="20"/>
          <w:szCs w:val="20"/>
        </w:rPr>
        <w:t xml:space="preserve">los requerimientos </w:t>
      </w:r>
      <w:r w:rsidR="00FB179C" w:rsidRPr="00DF2088">
        <w:rPr>
          <w:rFonts w:asciiTheme="minorHAnsi" w:hAnsiTheme="minorHAnsi" w:cstheme="minorHAnsi"/>
          <w:sz w:val="20"/>
          <w:szCs w:val="20"/>
        </w:rPr>
        <w:t xml:space="preserve">de ahorro procedentes del </w:t>
      </w:r>
      <w:r w:rsidR="00671F90" w:rsidRPr="00DF2088">
        <w:rPr>
          <w:rFonts w:asciiTheme="minorHAnsi" w:hAnsiTheme="minorHAnsi" w:cstheme="minorHAnsi"/>
          <w:sz w:val="20"/>
          <w:szCs w:val="20"/>
        </w:rPr>
        <w:t xml:space="preserve">Resto del Mundo </w:t>
      </w:r>
      <w:r w:rsidR="009D4128" w:rsidRPr="00DF2088">
        <w:rPr>
          <w:rFonts w:asciiTheme="minorHAnsi" w:hAnsiTheme="minorHAnsi" w:cstheme="minorHAnsi"/>
          <w:sz w:val="20"/>
          <w:szCs w:val="20"/>
        </w:rPr>
        <w:t xml:space="preserve">para financiar la economía </w:t>
      </w:r>
      <w:r w:rsidR="00DF2088">
        <w:rPr>
          <w:rFonts w:asciiTheme="minorHAnsi" w:hAnsiTheme="minorHAnsi" w:cstheme="minorHAnsi"/>
          <w:sz w:val="20"/>
          <w:szCs w:val="20"/>
        </w:rPr>
        <w:t xml:space="preserve">fueron </w:t>
      </w:r>
      <w:r w:rsidR="002F1D72">
        <w:rPr>
          <w:rFonts w:asciiTheme="minorHAnsi" w:hAnsiTheme="minorHAnsi" w:cstheme="minorHAnsi"/>
          <w:sz w:val="20"/>
          <w:szCs w:val="20"/>
        </w:rPr>
        <w:t>negativ</w:t>
      </w:r>
      <w:r w:rsidR="00905650">
        <w:rPr>
          <w:rFonts w:asciiTheme="minorHAnsi" w:hAnsiTheme="minorHAnsi" w:cstheme="minorHAnsi"/>
          <w:sz w:val="20"/>
          <w:szCs w:val="20"/>
        </w:rPr>
        <w:t>o</w:t>
      </w:r>
      <w:r w:rsidR="002F1D72">
        <w:rPr>
          <w:rFonts w:asciiTheme="minorHAnsi" w:hAnsiTheme="minorHAnsi" w:cstheme="minorHAnsi"/>
          <w:sz w:val="20"/>
          <w:szCs w:val="20"/>
        </w:rPr>
        <w:t>s</w:t>
      </w:r>
      <w:r w:rsidR="0099212D">
        <w:rPr>
          <w:rFonts w:asciiTheme="minorHAnsi" w:hAnsiTheme="minorHAnsi" w:cstheme="minorHAnsi"/>
          <w:sz w:val="20"/>
          <w:szCs w:val="20"/>
        </w:rPr>
        <w:t>.</w:t>
      </w:r>
      <w:r w:rsidR="00DA6498" w:rsidRPr="00DA6498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672F6C6B" w14:textId="11D75E4D" w:rsidR="00B41882" w:rsidRDefault="00DA6498" w:rsidP="0099212D">
      <w:pPr>
        <w:pStyle w:val="Textoindependiente"/>
        <w:spacing w:before="360" w:after="120" w:line="220" w:lineRule="exact"/>
        <w:ind w:left="-142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En su comparación anual, el </w:t>
      </w:r>
      <w:r w:rsidRPr="0099212D">
        <w:rPr>
          <w:rFonts w:asciiTheme="minorHAnsi" w:hAnsiTheme="minorHAnsi" w:cstheme="minorHAnsi"/>
          <w:sz w:val="20"/>
          <w:szCs w:val="20"/>
        </w:rPr>
        <w:t>ITAB</w:t>
      </w:r>
      <w:r w:rsidR="004336E2">
        <w:rPr>
          <w:rFonts w:asciiTheme="minorHAnsi" w:hAnsiTheme="minorHAnsi" w:cstheme="minorHAnsi"/>
          <w:sz w:val="20"/>
          <w:szCs w:val="20"/>
        </w:rPr>
        <w:t xml:space="preserve"> </w:t>
      </w:r>
      <w:r w:rsidR="004978E7">
        <w:rPr>
          <w:rFonts w:asciiTheme="minorHAnsi" w:hAnsiTheme="minorHAnsi" w:cstheme="minorHAnsi"/>
          <w:sz w:val="20"/>
          <w:szCs w:val="20"/>
        </w:rPr>
        <w:t>descendi</w:t>
      </w:r>
      <w:r w:rsidR="003420F5">
        <w:rPr>
          <w:rFonts w:asciiTheme="minorHAnsi" w:hAnsiTheme="minorHAnsi" w:cstheme="minorHAnsi"/>
          <w:sz w:val="20"/>
          <w:szCs w:val="20"/>
        </w:rPr>
        <w:t>ó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="00BD69F7">
        <w:rPr>
          <w:rFonts w:asciiTheme="minorHAnsi" w:hAnsiTheme="minorHAnsi" w:cstheme="minorHAnsi"/>
          <w:sz w:val="20"/>
          <w:szCs w:val="20"/>
        </w:rPr>
        <w:t>(-)5.2</w:t>
      </w:r>
      <w:r w:rsidR="00FA3CB0">
        <w:rPr>
          <w:rFonts w:asciiTheme="minorHAnsi" w:hAnsiTheme="minorHAnsi" w:cstheme="minorHAnsi"/>
          <w:sz w:val="20"/>
          <w:szCs w:val="20"/>
        </w:rPr>
        <w:t>%</w:t>
      </w:r>
      <w:r w:rsidR="00B46B61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 xml:space="preserve">durante el trimestre </w:t>
      </w:r>
      <w:r w:rsidR="00754080">
        <w:rPr>
          <w:rFonts w:asciiTheme="minorHAnsi" w:hAnsiTheme="minorHAnsi" w:cstheme="minorHAnsi"/>
          <w:sz w:val="20"/>
          <w:szCs w:val="20"/>
        </w:rPr>
        <w:t>octubre-diciembre</w:t>
      </w:r>
      <w:r>
        <w:rPr>
          <w:rFonts w:asciiTheme="minorHAnsi" w:hAnsiTheme="minorHAnsi" w:cstheme="minorHAnsi"/>
          <w:sz w:val="20"/>
          <w:szCs w:val="20"/>
        </w:rPr>
        <w:t xml:space="preserve"> de</w:t>
      </w:r>
      <w:r w:rsidR="00460282">
        <w:rPr>
          <w:rFonts w:asciiTheme="minorHAnsi" w:hAnsiTheme="minorHAnsi" w:cstheme="minorHAnsi"/>
          <w:sz w:val="20"/>
          <w:szCs w:val="20"/>
        </w:rPr>
        <w:t>l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="00B00F3E">
        <w:rPr>
          <w:rFonts w:asciiTheme="minorHAnsi" w:hAnsiTheme="minorHAnsi" w:cstheme="minorHAnsi"/>
          <w:sz w:val="20"/>
          <w:szCs w:val="20"/>
        </w:rPr>
        <w:t>año</w:t>
      </w:r>
      <w:r w:rsidR="00460282">
        <w:rPr>
          <w:rFonts w:asciiTheme="minorHAnsi" w:hAnsiTheme="minorHAnsi" w:cstheme="minorHAnsi"/>
          <w:sz w:val="20"/>
          <w:szCs w:val="20"/>
        </w:rPr>
        <w:t xml:space="preserve"> pasado</w:t>
      </w:r>
      <w:r>
        <w:rPr>
          <w:rFonts w:asciiTheme="minorHAnsi" w:hAnsiTheme="minorHAnsi" w:cstheme="minorHAnsi"/>
          <w:sz w:val="20"/>
          <w:szCs w:val="20"/>
        </w:rPr>
        <w:t xml:space="preserve">. A su interior, </w:t>
      </w:r>
      <w:r w:rsidR="004336E2">
        <w:rPr>
          <w:rFonts w:asciiTheme="minorHAnsi" w:hAnsiTheme="minorHAnsi" w:cstheme="minorHAnsi"/>
          <w:sz w:val="20"/>
          <w:szCs w:val="20"/>
        </w:rPr>
        <w:t xml:space="preserve">el </w:t>
      </w:r>
      <w:r w:rsidR="00671F90">
        <w:rPr>
          <w:rFonts w:asciiTheme="minorHAnsi" w:hAnsiTheme="minorHAnsi" w:cstheme="minorHAnsi"/>
          <w:sz w:val="20"/>
          <w:szCs w:val="20"/>
        </w:rPr>
        <w:t xml:space="preserve">de la Economía Interna se incrementó </w:t>
      </w:r>
      <w:r w:rsidR="00BD69F7">
        <w:rPr>
          <w:rFonts w:asciiTheme="minorHAnsi" w:hAnsiTheme="minorHAnsi" w:cstheme="minorHAnsi"/>
          <w:sz w:val="20"/>
          <w:szCs w:val="20"/>
        </w:rPr>
        <w:t>3.2</w:t>
      </w:r>
      <w:r w:rsidR="00CC3E4B" w:rsidRPr="00754080">
        <w:rPr>
          <w:rFonts w:asciiTheme="minorHAnsi" w:hAnsiTheme="minorHAnsi" w:cstheme="minorHAnsi"/>
          <w:color w:val="FF0000"/>
          <w:sz w:val="20"/>
          <w:szCs w:val="20"/>
        </w:rPr>
        <w:t xml:space="preserve"> </w:t>
      </w:r>
      <w:r w:rsidR="00CC3E4B">
        <w:rPr>
          <w:rFonts w:asciiTheme="minorHAnsi" w:hAnsiTheme="minorHAnsi" w:cstheme="minorHAnsi"/>
          <w:sz w:val="20"/>
          <w:szCs w:val="20"/>
        </w:rPr>
        <w:t>por ciento</w:t>
      </w:r>
      <w:r w:rsidR="00F5735E">
        <w:rPr>
          <w:rFonts w:asciiTheme="minorHAnsi" w:hAnsiTheme="minorHAnsi" w:cstheme="minorHAnsi"/>
          <w:sz w:val="20"/>
          <w:szCs w:val="20"/>
        </w:rPr>
        <w:t>.</w:t>
      </w:r>
      <w:r w:rsidR="004336E2" w:rsidRPr="004336E2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215F356A" w14:textId="5FA6C6E1" w:rsidR="00B41882" w:rsidRDefault="00B41882" w:rsidP="00010649">
      <w:pPr>
        <w:pStyle w:val="p0"/>
        <w:keepNext/>
        <w:widowControl/>
        <w:spacing w:before="240" w:line="180" w:lineRule="exact"/>
        <w:ind w:left="-142"/>
        <w:jc w:val="center"/>
        <w:rPr>
          <w:rFonts w:asciiTheme="minorHAnsi" w:hAnsiTheme="minorHAnsi" w:cstheme="minorHAnsi"/>
          <w:b/>
          <w:smallCaps/>
          <w:snapToGrid/>
          <w:color w:val="auto"/>
          <w:sz w:val="18"/>
          <w:szCs w:val="18"/>
          <w:lang w:eastAsia="es-MX"/>
        </w:rPr>
      </w:pPr>
      <w:r>
        <w:rPr>
          <w:rFonts w:asciiTheme="minorHAnsi" w:hAnsiTheme="minorHAnsi" w:cstheme="minorHAnsi"/>
          <w:b/>
          <w:smallCaps/>
          <w:snapToGrid/>
          <w:color w:val="auto"/>
          <w:sz w:val="18"/>
          <w:szCs w:val="18"/>
          <w:lang w:eastAsia="es-MX"/>
        </w:rPr>
        <w:t xml:space="preserve">Indicador Trimestral del Ahorro Bruto </w:t>
      </w:r>
      <w:r w:rsidRPr="00366112">
        <w:rPr>
          <w:rFonts w:asciiTheme="minorHAnsi" w:hAnsiTheme="minorHAnsi" w:cstheme="minorHAnsi"/>
          <w:b/>
          <w:smallCaps/>
          <w:snapToGrid/>
          <w:color w:val="auto"/>
          <w:sz w:val="18"/>
          <w:szCs w:val="18"/>
          <w:lang w:eastAsia="es-MX"/>
        </w:rPr>
        <w:br/>
      </w:r>
      <w:r>
        <w:rPr>
          <w:rFonts w:asciiTheme="minorHAnsi" w:hAnsiTheme="minorHAnsi" w:cstheme="minorHAnsi"/>
          <w:b/>
          <w:smallCaps/>
          <w:snapToGrid/>
          <w:color w:val="auto"/>
          <w:sz w:val="18"/>
          <w:szCs w:val="18"/>
          <w:lang w:eastAsia="es-MX"/>
        </w:rPr>
        <w:t>al</w:t>
      </w:r>
      <w:r w:rsidRPr="00366112">
        <w:rPr>
          <w:rFonts w:asciiTheme="minorHAnsi" w:hAnsiTheme="minorHAnsi" w:cstheme="minorHAnsi"/>
          <w:b/>
          <w:smallCaps/>
          <w:snapToGrid/>
          <w:color w:val="auto"/>
          <w:sz w:val="18"/>
          <w:szCs w:val="18"/>
          <w:lang w:eastAsia="es-MX"/>
        </w:rPr>
        <w:t xml:space="preserve"> </w:t>
      </w:r>
      <w:r w:rsidR="00754080">
        <w:rPr>
          <w:rFonts w:asciiTheme="minorHAnsi" w:hAnsiTheme="minorHAnsi" w:cstheme="minorHAnsi"/>
          <w:b/>
          <w:smallCaps/>
          <w:snapToGrid/>
          <w:color w:val="auto"/>
          <w:sz w:val="18"/>
          <w:szCs w:val="18"/>
          <w:lang w:eastAsia="es-MX"/>
        </w:rPr>
        <w:t>cuarto</w:t>
      </w:r>
      <w:r>
        <w:rPr>
          <w:rFonts w:asciiTheme="minorHAnsi" w:hAnsiTheme="minorHAnsi" w:cstheme="minorHAnsi"/>
          <w:b/>
          <w:smallCaps/>
          <w:snapToGrid/>
          <w:color w:val="auto"/>
          <w:sz w:val="18"/>
          <w:szCs w:val="18"/>
          <w:lang w:eastAsia="es-MX"/>
        </w:rPr>
        <w:t xml:space="preserve"> trimestre de 201</w:t>
      </w:r>
      <w:r w:rsidR="00B00F3E">
        <w:rPr>
          <w:rFonts w:asciiTheme="minorHAnsi" w:hAnsiTheme="minorHAnsi" w:cstheme="minorHAnsi"/>
          <w:b/>
          <w:smallCaps/>
          <w:snapToGrid/>
          <w:color w:val="auto"/>
          <w:sz w:val="18"/>
          <w:szCs w:val="18"/>
          <w:lang w:eastAsia="es-MX"/>
        </w:rPr>
        <w:t>9</w:t>
      </w:r>
      <w:r w:rsidR="00F71841" w:rsidRPr="00B41882">
        <w:rPr>
          <w:rFonts w:asciiTheme="minorHAnsi" w:hAnsiTheme="minorHAnsi" w:cstheme="minorHAnsi"/>
          <w:b/>
          <w:smallCaps/>
          <w:snapToGrid/>
          <w:color w:val="auto"/>
          <w:sz w:val="18"/>
          <w:szCs w:val="18"/>
          <w:lang w:eastAsia="es-MX"/>
        </w:rPr>
        <w:t xml:space="preserve"> </w:t>
      </w:r>
    </w:p>
    <w:p w14:paraId="5C90F69A" w14:textId="77777777" w:rsidR="00B41882" w:rsidRDefault="00B41882" w:rsidP="00010649">
      <w:pPr>
        <w:pStyle w:val="p0"/>
        <w:keepNext/>
        <w:widowControl/>
        <w:spacing w:before="0" w:line="180" w:lineRule="exact"/>
        <w:ind w:left="-142"/>
        <w:jc w:val="center"/>
        <w:rPr>
          <w:rFonts w:asciiTheme="minorHAnsi" w:hAnsiTheme="minorHAnsi" w:cstheme="minorHAnsi"/>
          <w:b/>
          <w:smallCaps/>
          <w:snapToGrid/>
          <w:color w:val="auto"/>
          <w:sz w:val="18"/>
          <w:szCs w:val="18"/>
          <w:lang w:eastAsia="es-MX"/>
        </w:rPr>
      </w:pPr>
      <w:r>
        <w:rPr>
          <w:rFonts w:asciiTheme="minorHAnsi" w:hAnsiTheme="minorHAnsi" w:cstheme="minorHAnsi"/>
          <w:b/>
          <w:smallCaps/>
          <w:snapToGrid/>
          <w:color w:val="auto"/>
          <w:sz w:val="18"/>
          <w:szCs w:val="18"/>
          <w:lang w:eastAsia="es-MX"/>
        </w:rPr>
        <w:t>Series desestacionalizada y de tendencia-ciclo</w:t>
      </w:r>
    </w:p>
    <w:p w14:paraId="40515CA5" w14:textId="77777777" w:rsidR="007D7AED" w:rsidRPr="001F4676" w:rsidRDefault="007D7AED" w:rsidP="00010649">
      <w:pPr>
        <w:pStyle w:val="p0"/>
        <w:keepNext/>
        <w:widowControl/>
        <w:spacing w:before="0" w:line="180" w:lineRule="exact"/>
        <w:ind w:left="-142"/>
        <w:jc w:val="center"/>
        <w:rPr>
          <w:rFonts w:asciiTheme="minorHAnsi" w:hAnsiTheme="minorHAnsi" w:cstheme="minorHAnsi"/>
          <w:snapToGrid/>
          <w:color w:val="auto"/>
          <w:sz w:val="16"/>
          <w:szCs w:val="18"/>
          <w:lang w:eastAsia="es-MX"/>
        </w:rPr>
      </w:pPr>
      <w:r w:rsidRPr="001F4676">
        <w:rPr>
          <w:rFonts w:asciiTheme="minorHAnsi" w:hAnsiTheme="minorHAnsi" w:cstheme="minorHAnsi"/>
          <w:snapToGrid/>
          <w:color w:val="auto"/>
          <w:sz w:val="16"/>
          <w:szCs w:val="18"/>
          <w:lang w:eastAsia="es-MX"/>
        </w:rPr>
        <w:t>(</w:t>
      </w:r>
      <w:r w:rsidR="00585681">
        <w:rPr>
          <w:rFonts w:asciiTheme="minorHAnsi" w:hAnsiTheme="minorHAnsi" w:cstheme="minorHAnsi"/>
          <w:snapToGrid/>
          <w:color w:val="auto"/>
          <w:sz w:val="16"/>
          <w:szCs w:val="18"/>
          <w:lang w:eastAsia="es-MX"/>
        </w:rPr>
        <w:t>Millones de pesos corrientes</w:t>
      </w:r>
      <w:r w:rsidRPr="001F4676">
        <w:rPr>
          <w:rFonts w:asciiTheme="minorHAnsi" w:hAnsiTheme="minorHAnsi" w:cstheme="minorHAnsi"/>
          <w:snapToGrid/>
          <w:color w:val="auto"/>
          <w:sz w:val="16"/>
          <w:szCs w:val="18"/>
          <w:lang w:eastAsia="es-MX"/>
        </w:rPr>
        <w:t>)</w:t>
      </w:r>
    </w:p>
    <w:p w14:paraId="0C5BF299" w14:textId="1A95977F" w:rsidR="00B41882" w:rsidRDefault="000156CD" w:rsidP="00B41882">
      <w:pPr>
        <w:pStyle w:val="p0"/>
        <w:keepNext/>
        <w:widowControl/>
        <w:spacing w:before="0"/>
        <w:ind w:left="-142"/>
        <w:jc w:val="center"/>
        <w:rPr>
          <w:rFonts w:asciiTheme="minorHAnsi" w:hAnsiTheme="minorHAnsi" w:cstheme="minorHAnsi"/>
          <w:sz w:val="20"/>
        </w:rPr>
      </w:pPr>
      <w:r>
        <w:rPr>
          <w:noProof/>
          <w:lang w:eastAsia="es-MX"/>
        </w:rPr>
        <w:drawing>
          <wp:inline distT="0" distB="0" distL="0" distR="0" wp14:anchorId="77E19DCD" wp14:editId="229681F0">
            <wp:extent cx="2969895" cy="2088000"/>
            <wp:effectExtent l="0" t="0" r="20955" b="26670"/>
            <wp:docPr id="1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300-000006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3E768417" w14:textId="77777777" w:rsidR="00B41882" w:rsidRDefault="00B41882" w:rsidP="0099212D">
      <w:pPr>
        <w:pStyle w:val="Textoindependiente"/>
        <w:spacing w:before="360" w:after="120" w:line="220" w:lineRule="exact"/>
        <w:ind w:left="-142"/>
        <w:rPr>
          <w:b/>
          <w:i/>
          <w:sz w:val="18"/>
          <w:szCs w:val="18"/>
        </w:rPr>
      </w:pPr>
    </w:p>
    <w:p w14:paraId="63B63C26" w14:textId="77777777" w:rsidR="00B02102" w:rsidRDefault="00B02102" w:rsidP="000D654C">
      <w:pPr>
        <w:pStyle w:val="p0"/>
        <w:keepNext/>
        <w:widowControl/>
        <w:spacing w:before="600"/>
        <w:ind w:left="-142"/>
        <w:jc w:val="center"/>
        <w:rPr>
          <w:rFonts w:asciiTheme="minorHAnsi" w:hAnsiTheme="minorHAnsi" w:cstheme="minorHAnsi"/>
          <w:b/>
          <w:smallCaps/>
          <w:snapToGrid/>
          <w:color w:val="auto"/>
          <w:sz w:val="18"/>
          <w:szCs w:val="18"/>
          <w:lang w:eastAsia="es-MX"/>
        </w:rPr>
      </w:pPr>
    </w:p>
    <w:p w14:paraId="612E56D1" w14:textId="4F271030" w:rsidR="0099212D" w:rsidRDefault="0099212D" w:rsidP="00010649">
      <w:pPr>
        <w:pStyle w:val="p0"/>
        <w:keepNext/>
        <w:widowControl/>
        <w:spacing w:before="0" w:line="180" w:lineRule="exact"/>
        <w:ind w:left="-142"/>
        <w:jc w:val="center"/>
        <w:rPr>
          <w:rFonts w:asciiTheme="minorHAnsi" w:hAnsiTheme="minorHAnsi" w:cstheme="minorHAnsi"/>
          <w:b/>
          <w:smallCaps/>
          <w:snapToGrid/>
          <w:color w:val="auto"/>
          <w:sz w:val="18"/>
          <w:szCs w:val="18"/>
          <w:lang w:eastAsia="es-MX"/>
        </w:rPr>
      </w:pPr>
      <w:r>
        <w:rPr>
          <w:rFonts w:asciiTheme="minorHAnsi" w:hAnsiTheme="minorHAnsi" w:cstheme="minorHAnsi"/>
          <w:b/>
          <w:smallCaps/>
          <w:snapToGrid/>
          <w:color w:val="auto"/>
          <w:sz w:val="18"/>
          <w:szCs w:val="18"/>
          <w:lang w:eastAsia="es-MX"/>
        </w:rPr>
        <w:t xml:space="preserve">Indicador Trimestral del Ahorro Bruto de la Economía Interna </w:t>
      </w:r>
      <w:r w:rsidRPr="00366112">
        <w:rPr>
          <w:rFonts w:asciiTheme="minorHAnsi" w:hAnsiTheme="minorHAnsi" w:cstheme="minorHAnsi"/>
          <w:b/>
          <w:smallCaps/>
          <w:snapToGrid/>
          <w:color w:val="auto"/>
          <w:sz w:val="18"/>
          <w:szCs w:val="18"/>
          <w:lang w:eastAsia="es-MX"/>
        </w:rPr>
        <w:br/>
      </w:r>
      <w:r>
        <w:rPr>
          <w:rFonts w:asciiTheme="minorHAnsi" w:hAnsiTheme="minorHAnsi" w:cstheme="minorHAnsi"/>
          <w:b/>
          <w:smallCaps/>
          <w:snapToGrid/>
          <w:color w:val="auto"/>
          <w:sz w:val="18"/>
          <w:szCs w:val="18"/>
          <w:lang w:eastAsia="es-MX"/>
        </w:rPr>
        <w:t>al</w:t>
      </w:r>
      <w:r w:rsidRPr="00366112">
        <w:rPr>
          <w:rFonts w:asciiTheme="minorHAnsi" w:hAnsiTheme="minorHAnsi" w:cstheme="minorHAnsi"/>
          <w:b/>
          <w:smallCaps/>
          <w:snapToGrid/>
          <w:color w:val="auto"/>
          <w:sz w:val="18"/>
          <w:szCs w:val="18"/>
          <w:lang w:eastAsia="es-MX"/>
        </w:rPr>
        <w:t xml:space="preserve"> </w:t>
      </w:r>
      <w:r w:rsidR="00754080">
        <w:rPr>
          <w:rFonts w:asciiTheme="minorHAnsi" w:hAnsiTheme="minorHAnsi" w:cstheme="minorHAnsi"/>
          <w:b/>
          <w:smallCaps/>
          <w:snapToGrid/>
          <w:color w:val="auto"/>
          <w:sz w:val="18"/>
          <w:szCs w:val="18"/>
          <w:lang w:eastAsia="es-MX"/>
        </w:rPr>
        <w:t>cua</w:t>
      </w:r>
      <w:r w:rsidR="006322BD">
        <w:rPr>
          <w:rFonts w:asciiTheme="minorHAnsi" w:hAnsiTheme="minorHAnsi" w:cstheme="minorHAnsi"/>
          <w:b/>
          <w:smallCaps/>
          <w:snapToGrid/>
          <w:color w:val="auto"/>
          <w:sz w:val="18"/>
          <w:szCs w:val="18"/>
          <w:lang w:eastAsia="es-MX"/>
        </w:rPr>
        <w:t>r</w:t>
      </w:r>
      <w:r w:rsidR="00754080">
        <w:rPr>
          <w:rFonts w:asciiTheme="minorHAnsi" w:hAnsiTheme="minorHAnsi" w:cstheme="minorHAnsi"/>
          <w:b/>
          <w:smallCaps/>
          <w:snapToGrid/>
          <w:color w:val="auto"/>
          <w:sz w:val="18"/>
          <w:szCs w:val="18"/>
          <w:lang w:eastAsia="es-MX"/>
        </w:rPr>
        <w:t>to</w:t>
      </w:r>
      <w:r>
        <w:rPr>
          <w:rFonts w:asciiTheme="minorHAnsi" w:hAnsiTheme="minorHAnsi" w:cstheme="minorHAnsi"/>
          <w:b/>
          <w:smallCaps/>
          <w:snapToGrid/>
          <w:color w:val="auto"/>
          <w:sz w:val="18"/>
          <w:szCs w:val="18"/>
          <w:lang w:eastAsia="es-MX"/>
        </w:rPr>
        <w:t xml:space="preserve"> trimestre de 201</w:t>
      </w:r>
      <w:r w:rsidR="00B00F3E">
        <w:rPr>
          <w:rFonts w:asciiTheme="minorHAnsi" w:hAnsiTheme="minorHAnsi" w:cstheme="minorHAnsi"/>
          <w:b/>
          <w:smallCaps/>
          <w:snapToGrid/>
          <w:color w:val="auto"/>
          <w:sz w:val="18"/>
          <w:szCs w:val="18"/>
          <w:lang w:eastAsia="es-MX"/>
        </w:rPr>
        <w:t>9</w:t>
      </w:r>
      <w:r w:rsidRPr="00B41882">
        <w:rPr>
          <w:rFonts w:asciiTheme="minorHAnsi" w:hAnsiTheme="minorHAnsi" w:cstheme="minorHAnsi"/>
          <w:b/>
          <w:smallCaps/>
          <w:snapToGrid/>
          <w:color w:val="auto"/>
          <w:sz w:val="18"/>
          <w:szCs w:val="18"/>
          <w:lang w:eastAsia="es-MX"/>
        </w:rPr>
        <w:t xml:space="preserve"> </w:t>
      </w:r>
    </w:p>
    <w:p w14:paraId="49C58809" w14:textId="77777777" w:rsidR="0099212D" w:rsidRDefault="0099212D" w:rsidP="00010649">
      <w:pPr>
        <w:pStyle w:val="p0"/>
        <w:keepNext/>
        <w:widowControl/>
        <w:spacing w:before="0" w:line="180" w:lineRule="exact"/>
        <w:ind w:left="-142"/>
        <w:jc w:val="center"/>
        <w:rPr>
          <w:rFonts w:asciiTheme="minorHAnsi" w:hAnsiTheme="minorHAnsi" w:cstheme="minorHAnsi"/>
          <w:b/>
          <w:smallCaps/>
          <w:snapToGrid/>
          <w:color w:val="auto"/>
          <w:sz w:val="18"/>
          <w:szCs w:val="18"/>
          <w:lang w:eastAsia="es-MX"/>
        </w:rPr>
      </w:pPr>
      <w:r>
        <w:rPr>
          <w:rFonts w:asciiTheme="minorHAnsi" w:hAnsiTheme="minorHAnsi" w:cstheme="minorHAnsi"/>
          <w:b/>
          <w:smallCaps/>
          <w:snapToGrid/>
          <w:color w:val="auto"/>
          <w:sz w:val="18"/>
          <w:szCs w:val="18"/>
          <w:lang w:eastAsia="es-MX"/>
        </w:rPr>
        <w:t>Series desestacionalizada y de tendencia-ciclo</w:t>
      </w:r>
    </w:p>
    <w:p w14:paraId="3A00A1A1" w14:textId="77777777" w:rsidR="00585681" w:rsidRPr="001F4676" w:rsidRDefault="00585681" w:rsidP="00010649">
      <w:pPr>
        <w:pStyle w:val="p0"/>
        <w:keepNext/>
        <w:widowControl/>
        <w:spacing w:before="0" w:line="180" w:lineRule="exact"/>
        <w:ind w:left="-142"/>
        <w:jc w:val="center"/>
        <w:rPr>
          <w:rFonts w:asciiTheme="minorHAnsi" w:hAnsiTheme="minorHAnsi" w:cstheme="minorHAnsi"/>
          <w:snapToGrid/>
          <w:color w:val="auto"/>
          <w:sz w:val="16"/>
          <w:szCs w:val="18"/>
          <w:lang w:eastAsia="es-MX"/>
        </w:rPr>
      </w:pPr>
      <w:r w:rsidRPr="001F4676">
        <w:rPr>
          <w:rFonts w:asciiTheme="minorHAnsi" w:hAnsiTheme="minorHAnsi" w:cstheme="minorHAnsi"/>
          <w:snapToGrid/>
          <w:color w:val="auto"/>
          <w:sz w:val="16"/>
          <w:szCs w:val="18"/>
          <w:lang w:eastAsia="es-MX"/>
        </w:rPr>
        <w:t>(</w:t>
      </w:r>
      <w:r>
        <w:rPr>
          <w:rFonts w:asciiTheme="minorHAnsi" w:hAnsiTheme="minorHAnsi" w:cstheme="minorHAnsi"/>
          <w:snapToGrid/>
          <w:color w:val="auto"/>
          <w:sz w:val="16"/>
          <w:szCs w:val="18"/>
          <w:lang w:eastAsia="es-MX"/>
        </w:rPr>
        <w:t>Millones de pesos corrientes</w:t>
      </w:r>
      <w:r w:rsidRPr="001F4676">
        <w:rPr>
          <w:rFonts w:asciiTheme="minorHAnsi" w:hAnsiTheme="minorHAnsi" w:cstheme="minorHAnsi"/>
          <w:snapToGrid/>
          <w:color w:val="auto"/>
          <w:sz w:val="16"/>
          <w:szCs w:val="18"/>
          <w:lang w:eastAsia="es-MX"/>
        </w:rPr>
        <w:t>)</w:t>
      </w:r>
    </w:p>
    <w:p w14:paraId="45456798" w14:textId="52BE9F50" w:rsidR="0099212D" w:rsidRDefault="000156CD" w:rsidP="0099212D">
      <w:pPr>
        <w:pStyle w:val="p0"/>
        <w:keepNext/>
        <w:widowControl/>
        <w:spacing w:before="0"/>
        <w:ind w:left="-142"/>
        <w:jc w:val="center"/>
        <w:rPr>
          <w:rFonts w:asciiTheme="minorHAnsi" w:hAnsiTheme="minorHAnsi" w:cstheme="minorHAnsi"/>
          <w:sz w:val="20"/>
        </w:rPr>
      </w:pPr>
      <w:r>
        <w:rPr>
          <w:noProof/>
          <w:lang w:eastAsia="es-MX"/>
        </w:rPr>
        <w:drawing>
          <wp:inline distT="0" distB="0" distL="0" distR="0" wp14:anchorId="75F29554" wp14:editId="3D1FB818">
            <wp:extent cx="2969895" cy="2088000"/>
            <wp:effectExtent l="0" t="0" r="20955" b="26670"/>
            <wp:docPr id="4" name="Gráfico 4">
              <a:extLst xmlns:a="http://schemas.openxmlformats.org/drawingml/2006/main">
                <a:ext uri="{FF2B5EF4-FFF2-40B4-BE49-F238E27FC236}">
                  <a16:creationId xmlns:a16="http://schemas.microsoft.com/office/drawing/2014/main" id="{BCBF99B5-1B86-45D1-A379-545C2CA388A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12A3FE59" w14:textId="77777777" w:rsidR="00345DB4" w:rsidRDefault="00345DB4" w:rsidP="00B41882">
      <w:pPr>
        <w:pStyle w:val="p0"/>
        <w:keepNext/>
        <w:spacing w:before="120"/>
        <w:ind w:left="-142"/>
        <w:rPr>
          <w:b/>
          <w:i/>
          <w:color w:val="auto"/>
          <w:sz w:val="18"/>
          <w:szCs w:val="18"/>
        </w:rPr>
      </w:pPr>
    </w:p>
    <w:p w14:paraId="386164CA" w14:textId="6791C1A1" w:rsidR="0099212D" w:rsidRDefault="0099212D" w:rsidP="00010649">
      <w:pPr>
        <w:pStyle w:val="p0"/>
        <w:keepNext/>
        <w:widowControl/>
        <w:spacing w:before="0" w:line="180" w:lineRule="exact"/>
        <w:ind w:left="-142"/>
        <w:jc w:val="center"/>
        <w:rPr>
          <w:rFonts w:asciiTheme="minorHAnsi" w:hAnsiTheme="minorHAnsi" w:cstheme="minorHAnsi"/>
          <w:b/>
          <w:smallCaps/>
          <w:snapToGrid/>
          <w:color w:val="auto"/>
          <w:sz w:val="18"/>
          <w:szCs w:val="18"/>
          <w:lang w:eastAsia="es-MX"/>
        </w:rPr>
      </w:pPr>
      <w:r>
        <w:rPr>
          <w:rFonts w:asciiTheme="minorHAnsi" w:hAnsiTheme="minorHAnsi" w:cstheme="minorHAnsi"/>
          <w:b/>
          <w:smallCaps/>
          <w:snapToGrid/>
          <w:color w:val="auto"/>
          <w:sz w:val="18"/>
          <w:szCs w:val="18"/>
          <w:lang w:eastAsia="es-MX"/>
        </w:rPr>
        <w:t>Indicador Trimestral del Ahorro Bruto del Resto del Mundo</w:t>
      </w:r>
      <w:r w:rsidRPr="00366112">
        <w:rPr>
          <w:rFonts w:asciiTheme="minorHAnsi" w:hAnsiTheme="minorHAnsi" w:cstheme="minorHAnsi"/>
          <w:b/>
          <w:smallCaps/>
          <w:snapToGrid/>
          <w:color w:val="auto"/>
          <w:sz w:val="18"/>
          <w:szCs w:val="18"/>
          <w:lang w:eastAsia="es-MX"/>
        </w:rPr>
        <w:br/>
      </w:r>
      <w:r>
        <w:rPr>
          <w:rFonts w:asciiTheme="minorHAnsi" w:hAnsiTheme="minorHAnsi" w:cstheme="minorHAnsi"/>
          <w:b/>
          <w:smallCaps/>
          <w:snapToGrid/>
          <w:color w:val="auto"/>
          <w:sz w:val="18"/>
          <w:szCs w:val="18"/>
          <w:lang w:eastAsia="es-MX"/>
        </w:rPr>
        <w:t>al</w:t>
      </w:r>
      <w:r w:rsidRPr="00366112">
        <w:rPr>
          <w:rFonts w:asciiTheme="minorHAnsi" w:hAnsiTheme="minorHAnsi" w:cstheme="minorHAnsi"/>
          <w:b/>
          <w:smallCaps/>
          <w:snapToGrid/>
          <w:color w:val="auto"/>
          <w:sz w:val="18"/>
          <w:szCs w:val="18"/>
          <w:lang w:eastAsia="es-MX"/>
        </w:rPr>
        <w:t xml:space="preserve"> </w:t>
      </w:r>
      <w:r w:rsidR="00754080">
        <w:rPr>
          <w:rFonts w:asciiTheme="minorHAnsi" w:hAnsiTheme="minorHAnsi" w:cstheme="minorHAnsi"/>
          <w:b/>
          <w:smallCaps/>
          <w:snapToGrid/>
          <w:color w:val="auto"/>
          <w:sz w:val="18"/>
          <w:szCs w:val="18"/>
          <w:lang w:eastAsia="es-MX"/>
        </w:rPr>
        <w:t>cuarto</w:t>
      </w:r>
      <w:r>
        <w:rPr>
          <w:rFonts w:asciiTheme="minorHAnsi" w:hAnsiTheme="minorHAnsi" w:cstheme="minorHAnsi"/>
          <w:b/>
          <w:smallCaps/>
          <w:snapToGrid/>
          <w:color w:val="auto"/>
          <w:sz w:val="18"/>
          <w:szCs w:val="18"/>
          <w:lang w:eastAsia="es-MX"/>
        </w:rPr>
        <w:t xml:space="preserve"> trimestre de 201</w:t>
      </w:r>
      <w:r w:rsidR="00284A23">
        <w:rPr>
          <w:rFonts w:asciiTheme="minorHAnsi" w:hAnsiTheme="minorHAnsi" w:cstheme="minorHAnsi"/>
          <w:b/>
          <w:smallCaps/>
          <w:snapToGrid/>
          <w:color w:val="auto"/>
          <w:sz w:val="18"/>
          <w:szCs w:val="18"/>
          <w:lang w:eastAsia="es-MX"/>
        </w:rPr>
        <w:t>9</w:t>
      </w:r>
      <w:r w:rsidRPr="00B41882">
        <w:rPr>
          <w:rFonts w:asciiTheme="minorHAnsi" w:hAnsiTheme="minorHAnsi" w:cstheme="minorHAnsi"/>
          <w:b/>
          <w:smallCaps/>
          <w:snapToGrid/>
          <w:color w:val="auto"/>
          <w:sz w:val="18"/>
          <w:szCs w:val="18"/>
          <w:lang w:eastAsia="es-MX"/>
        </w:rPr>
        <w:t xml:space="preserve"> </w:t>
      </w:r>
    </w:p>
    <w:p w14:paraId="0B6465AA" w14:textId="77777777" w:rsidR="0099212D" w:rsidRDefault="0099212D" w:rsidP="00010649">
      <w:pPr>
        <w:pStyle w:val="p0"/>
        <w:keepNext/>
        <w:widowControl/>
        <w:spacing w:before="0" w:line="180" w:lineRule="exact"/>
        <w:ind w:left="-142"/>
        <w:jc w:val="center"/>
        <w:rPr>
          <w:rFonts w:asciiTheme="minorHAnsi" w:hAnsiTheme="minorHAnsi" w:cstheme="minorHAnsi"/>
          <w:b/>
          <w:smallCaps/>
          <w:snapToGrid/>
          <w:color w:val="auto"/>
          <w:sz w:val="18"/>
          <w:szCs w:val="18"/>
          <w:lang w:eastAsia="es-MX"/>
        </w:rPr>
      </w:pPr>
      <w:r>
        <w:rPr>
          <w:rFonts w:asciiTheme="minorHAnsi" w:hAnsiTheme="minorHAnsi" w:cstheme="minorHAnsi"/>
          <w:b/>
          <w:smallCaps/>
          <w:snapToGrid/>
          <w:color w:val="auto"/>
          <w:sz w:val="18"/>
          <w:szCs w:val="18"/>
          <w:lang w:eastAsia="es-MX"/>
        </w:rPr>
        <w:t>Series desestacionalizada y de tendencia-ciclo</w:t>
      </w:r>
    </w:p>
    <w:p w14:paraId="259CDACA" w14:textId="77777777" w:rsidR="007D7AED" w:rsidRPr="00585681" w:rsidRDefault="00585681" w:rsidP="00010649">
      <w:pPr>
        <w:pStyle w:val="p0"/>
        <w:keepNext/>
        <w:widowControl/>
        <w:spacing w:before="0" w:line="180" w:lineRule="exact"/>
        <w:ind w:left="-142"/>
        <w:jc w:val="center"/>
        <w:rPr>
          <w:rFonts w:asciiTheme="minorHAnsi" w:hAnsiTheme="minorHAnsi" w:cstheme="minorHAnsi"/>
          <w:snapToGrid/>
          <w:color w:val="auto"/>
          <w:sz w:val="16"/>
          <w:szCs w:val="18"/>
          <w:lang w:eastAsia="es-MX"/>
        </w:rPr>
      </w:pPr>
      <w:r w:rsidRPr="001F4676">
        <w:rPr>
          <w:rFonts w:asciiTheme="minorHAnsi" w:hAnsiTheme="minorHAnsi" w:cstheme="minorHAnsi"/>
          <w:snapToGrid/>
          <w:color w:val="auto"/>
          <w:sz w:val="16"/>
          <w:szCs w:val="18"/>
          <w:lang w:eastAsia="es-MX"/>
        </w:rPr>
        <w:t>(</w:t>
      </w:r>
      <w:r>
        <w:rPr>
          <w:rFonts w:asciiTheme="minorHAnsi" w:hAnsiTheme="minorHAnsi" w:cstheme="minorHAnsi"/>
          <w:snapToGrid/>
          <w:color w:val="auto"/>
          <w:sz w:val="16"/>
          <w:szCs w:val="18"/>
          <w:lang w:eastAsia="es-MX"/>
        </w:rPr>
        <w:t>Millones de pesos corrientes</w:t>
      </w:r>
      <w:r w:rsidRPr="001F4676">
        <w:rPr>
          <w:rFonts w:asciiTheme="minorHAnsi" w:hAnsiTheme="minorHAnsi" w:cstheme="minorHAnsi"/>
          <w:snapToGrid/>
          <w:color w:val="auto"/>
          <w:sz w:val="16"/>
          <w:szCs w:val="18"/>
          <w:lang w:eastAsia="es-MX"/>
        </w:rPr>
        <w:t>)</w:t>
      </w:r>
    </w:p>
    <w:p w14:paraId="0D823B6C" w14:textId="4F7F632A" w:rsidR="0099212D" w:rsidRDefault="00EC5826" w:rsidP="0099212D">
      <w:pPr>
        <w:pStyle w:val="p0"/>
        <w:keepNext/>
        <w:widowControl/>
        <w:spacing w:before="0"/>
        <w:ind w:left="-142"/>
        <w:jc w:val="center"/>
        <w:rPr>
          <w:rFonts w:asciiTheme="minorHAnsi" w:hAnsiTheme="minorHAnsi" w:cstheme="minorHAnsi"/>
          <w:sz w:val="20"/>
        </w:rPr>
      </w:pPr>
      <w:r>
        <w:rPr>
          <w:noProof/>
          <w:lang w:eastAsia="es-MX"/>
        </w:rPr>
        <w:drawing>
          <wp:inline distT="0" distB="0" distL="0" distR="0" wp14:anchorId="650C2B75" wp14:editId="00728CC8">
            <wp:extent cx="2969895" cy="2088000"/>
            <wp:effectExtent l="0" t="0" r="20955" b="26670"/>
            <wp:docPr id="5" name="Gráfico 5">
              <a:extLst xmlns:a="http://schemas.openxmlformats.org/drawingml/2006/main">
                <a:ext uri="{FF2B5EF4-FFF2-40B4-BE49-F238E27FC236}">
                  <a16:creationId xmlns:a16="http://schemas.microsoft.com/office/drawing/2014/main" id="{D5D7C813-4E08-4780-98E1-53B304C172A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582E4F03" w14:textId="1DE7BC0E" w:rsidR="00B41882" w:rsidRDefault="001F4676" w:rsidP="00B02102">
      <w:pPr>
        <w:pStyle w:val="p0"/>
        <w:keepNext/>
        <w:spacing w:before="240"/>
        <w:ind w:left="-142"/>
        <w:rPr>
          <w:rFonts w:asciiTheme="minorHAnsi" w:hAnsiTheme="minorHAnsi" w:cstheme="minorHAnsi"/>
          <w:sz w:val="20"/>
        </w:rPr>
      </w:pPr>
      <w:r>
        <w:rPr>
          <w:b/>
          <w:i/>
          <w:color w:val="auto"/>
          <w:sz w:val="18"/>
          <w:szCs w:val="18"/>
        </w:rPr>
        <w:t>C</w:t>
      </w:r>
      <w:r w:rsidR="00B41882" w:rsidRPr="00B41882">
        <w:rPr>
          <w:b/>
          <w:i/>
          <w:color w:val="auto"/>
          <w:sz w:val="18"/>
          <w:szCs w:val="18"/>
        </w:rPr>
        <w:t xml:space="preserve">ifras </w:t>
      </w:r>
      <w:r w:rsidR="00BD1B7A">
        <w:rPr>
          <w:b/>
          <w:i/>
          <w:color w:val="auto"/>
          <w:sz w:val="18"/>
          <w:szCs w:val="18"/>
        </w:rPr>
        <w:t>O</w:t>
      </w:r>
      <w:r w:rsidR="00B41882" w:rsidRPr="00B41882">
        <w:rPr>
          <w:b/>
          <w:i/>
          <w:color w:val="auto"/>
          <w:sz w:val="18"/>
          <w:szCs w:val="18"/>
        </w:rPr>
        <w:t>riginales</w:t>
      </w:r>
    </w:p>
    <w:p w14:paraId="039A0973" w14:textId="1E4B3696" w:rsidR="00F71841" w:rsidRDefault="001F4676" w:rsidP="002139B8">
      <w:pPr>
        <w:pStyle w:val="Textoindependiente"/>
        <w:spacing w:before="240" w:after="120" w:line="220" w:lineRule="exact"/>
        <w:ind w:left="-142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E</w:t>
      </w:r>
      <w:r w:rsidR="00F71841">
        <w:rPr>
          <w:rFonts w:asciiTheme="minorHAnsi" w:hAnsiTheme="minorHAnsi" w:cstheme="minorHAnsi"/>
          <w:sz w:val="20"/>
          <w:szCs w:val="20"/>
        </w:rPr>
        <w:t xml:space="preserve">l ITAB </w:t>
      </w:r>
      <w:r w:rsidR="00C1004A">
        <w:rPr>
          <w:rFonts w:asciiTheme="minorHAnsi" w:hAnsiTheme="minorHAnsi" w:cstheme="minorHAnsi"/>
          <w:sz w:val="20"/>
          <w:szCs w:val="20"/>
        </w:rPr>
        <w:t xml:space="preserve">se </w:t>
      </w:r>
      <w:r w:rsidR="00F71841">
        <w:rPr>
          <w:rFonts w:asciiTheme="minorHAnsi" w:hAnsiTheme="minorHAnsi" w:cstheme="minorHAnsi"/>
          <w:sz w:val="20"/>
          <w:szCs w:val="20"/>
        </w:rPr>
        <w:t xml:space="preserve">situó en </w:t>
      </w:r>
      <w:r w:rsidR="00CA2ECE">
        <w:rPr>
          <w:rFonts w:asciiTheme="minorHAnsi" w:hAnsiTheme="minorHAnsi" w:cstheme="minorHAnsi"/>
          <w:sz w:val="20"/>
          <w:szCs w:val="20"/>
        </w:rPr>
        <w:t>5,081,613</w:t>
      </w:r>
      <w:r w:rsidR="00F71841" w:rsidRPr="00754080">
        <w:rPr>
          <w:rFonts w:asciiTheme="minorHAnsi" w:hAnsiTheme="minorHAnsi" w:cstheme="minorHAnsi"/>
          <w:color w:val="FF0000"/>
          <w:sz w:val="20"/>
          <w:szCs w:val="20"/>
        </w:rPr>
        <w:t xml:space="preserve"> </w:t>
      </w:r>
      <w:r w:rsidR="00F71841" w:rsidRPr="009005C7">
        <w:rPr>
          <w:rFonts w:asciiTheme="minorHAnsi" w:hAnsiTheme="minorHAnsi" w:cstheme="minorHAnsi"/>
          <w:sz w:val="20"/>
          <w:szCs w:val="20"/>
        </w:rPr>
        <w:t>millo</w:t>
      </w:r>
      <w:r w:rsidR="00DE0EEB">
        <w:rPr>
          <w:rFonts w:asciiTheme="minorHAnsi" w:hAnsiTheme="minorHAnsi" w:cstheme="minorHAnsi"/>
          <w:sz w:val="20"/>
          <w:szCs w:val="20"/>
        </w:rPr>
        <w:t>nes de pesos corrientes (</w:t>
      </w:r>
      <w:r w:rsidR="004978E7" w:rsidRPr="00CA2ECE">
        <w:rPr>
          <w:rFonts w:asciiTheme="minorHAnsi" w:hAnsiTheme="minorHAnsi" w:cstheme="minorHAnsi"/>
          <w:sz w:val="20"/>
          <w:szCs w:val="20"/>
        </w:rPr>
        <w:t>5.1</w:t>
      </w:r>
      <w:r w:rsidR="004978E7">
        <w:rPr>
          <w:rFonts w:asciiTheme="minorHAnsi" w:hAnsiTheme="minorHAnsi" w:cstheme="minorHAnsi"/>
          <w:sz w:val="20"/>
          <w:szCs w:val="20"/>
        </w:rPr>
        <w:t xml:space="preserve"> </w:t>
      </w:r>
      <w:r w:rsidR="00F71841" w:rsidRPr="009005C7">
        <w:rPr>
          <w:rFonts w:asciiTheme="minorHAnsi" w:hAnsiTheme="minorHAnsi" w:cstheme="minorHAnsi"/>
          <w:sz w:val="20"/>
          <w:szCs w:val="20"/>
        </w:rPr>
        <w:t xml:space="preserve">billones de pesos) en el </w:t>
      </w:r>
      <w:r w:rsidR="00DE0EEB">
        <w:rPr>
          <w:rFonts w:asciiTheme="minorHAnsi" w:hAnsiTheme="minorHAnsi" w:cstheme="minorHAnsi"/>
          <w:sz w:val="20"/>
          <w:szCs w:val="20"/>
        </w:rPr>
        <w:t xml:space="preserve">trimestre </w:t>
      </w:r>
      <w:r w:rsidR="00754080">
        <w:rPr>
          <w:rFonts w:asciiTheme="minorHAnsi" w:hAnsiTheme="minorHAnsi" w:cstheme="minorHAnsi"/>
          <w:sz w:val="20"/>
          <w:szCs w:val="20"/>
        </w:rPr>
        <w:t>octu</w:t>
      </w:r>
      <w:r w:rsidR="006322BD">
        <w:rPr>
          <w:rFonts w:asciiTheme="minorHAnsi" w:hAnsiTheme="minorHAnsi" w:cstheme="minorHAnsi"/>
          <w:sz w:val="20"/>
          <w:szCs w:val="20"/>
        </w:rPr>
        <w:t>bre</w:t>
      </w:r>
      <w:r w:rsidR="00754080">
        <w:rPr>
          <w:rFonts w:asciiTheme="minorHAnsi" w:hAnsiTheme="minorHAnsi" w:cstheme="minorHAnsi"/>
          <w:sz w:val="20"/>
          <w:szCs w:val="20"/>
        </w:rPr>
        <w:t>-diciembre</w:t>
      </w:r>
      <w:r w:rsidR="003C1694">
        <w:rPr>
          <w:rFonts w:asciiTheme="minorHAnsi" w:hAnsiTheme="minorHAnsi" w:cstheme="minorHAnsi"/>
          <w:sz w:val="20"/>
          <w:szCs w:val="20"/>
        </w:rPr>
        <w:t xml:space="preserve"> </w:t>
      </w:r>
      <w:r w:rsidR="00DE0EEB">
        <w:rPr>
          <w:rFonts w:asciiTheme="minorHAnsi" w:hAnsiTheme="minorHAnsi" w:cstheme="minorHAnsi"/>
          <w:sz w:val="20"/>
          <w:szCs w:val="20"/>
        </w:rPr>
        <w:t>de 201</w:t>
      </w:r>
      <w:r w:rsidR="00284A23">
        <w:rPr>
          <w:rFonts w:asciiTheme="minorHAnsi" w:hAnsiTheme="minorHAnsi" w:cstheme="minorHAnsi"/>
          <w:sz w:val="20"/>
          <w:szCs w:val="20"/>
        </w:rPr>
        <w:t>9</w:t>
      </w:r>
      <w:r>
        <w:rPr>
          <w:rFonts w:asciiTheme="minorHAnsi" w:hAnsiTheme="minorHAnsi" w:cstheme="minorHAnsi"/>
          <w:sz w:val="20"/>
          <w:szCs w:val="20"/>
        </w:rPr>
        <w:t>,</w:t>
      </w:r>
      <w:r w:rsidR="00F71841">
        <w:rPr>
          <w:rFonts w:asciiTheme="minorHAnsi" w:hAnsiTheme="minorHAnsi" w:cstheme="minorHAnsi"/>
          <w:sz w:val="20"/>
          <w:szCs w:val="20"/>
        </w:rPr>
        <w:t xml:space="preserve"> que </w:t>
      </w:r>
      <w:r w:rsidR="003A5775">
        <w:rPr>
          <w:rFonts w:asciiTheme="minorHAnsi" w:hAnsiTheme="minorHAnsi" w:cstheme="minorHAnsi"/>
          <w:sz w:val="20"/>
          <w:szCs w:val="20"/>
        </w:rPr>
        <w:t>signific</w:t>
      </w:r>
      <w:r w:rsidR="00296CD6">
        <w:rPr>
          <w:rFonts w:asciiTheme="minorHAnsi" w:hAnsiTheme="minorHAnsi" w:cstheme="minorHAnsi"/>
          <w:sz w:val="20"/>
          <w:szCs w:val="20"/>
        </w:rPr>
        <w:t>ó</w:t>
      </w:r>
      <w:r w:rsidR="00F71841">
        <w:rPr>
          <w:rFonts w:asciiTheme="minorHAnsi" w:hAnsiTheme="minorHAnsi" w:cstheme="minorHAnsi"/>
          <w:sz w:val="20"/>
          <w:szCs w:val="20"/>
        </w:rPr>
        <w:t xml:space="preserve"> </w:t>
      </w:r>
      <w:r w:rsidR="00552F83">
        <w:rPr>
          <w:rFonts w:asciiTheme="minorHAnsi" w:hAnsiTheme="minorHAnsi" w:cstheme="minorHAnsi"/>
          <w:sz w:val="20"/>
          <w:szCs w:val="20"/>
        </w:rPr>
        <w:t xml:space="preserve">el </w:t>
      </w:r>
      <w:r w:rsidR="00CA2ECE">
        <w:rPr>
          <w:rFonts w:asciiTheme="minorHAnsi" w:hAnsiTheme="minorHAnsi" w:cstheme="minorHAnsi"/>
          <w:sz w:val="20"/>
          <w:szCs w:val="20"/>
        </w:rPr>
        <w:t>20.6</w:t>
      </w:r>
      <w:r w:rsidR="00F71841">
        <w:rPr>
          <w:rFonts w:asciiTheme="minorHAnsi" w:hAnsiTheme="minorHAnsi" w:cstheme="minorHAnsi"/>
          <w:sz w:val="20"/>
          <w:szCs w:val="20"/>
        </w:rPr>
        <w:t xml:space="preserve">% </w:t>
      </w:r>
      <w:r w:rsidR="00F71841" w:rsidRPr="009005C7">
        <w:rPr>
          <w:rFonts w:asciiTheme="minorHAnsi" w:hAnsiTheme="minorHAnsi" w:cstheme="minorHAnsi"/>
          <w:sz w:val="20"/>
          <w:szCs w:val="20"/>
        </w:rPr>
        <w:t>del P</w:t>
      </w:r>
      <w:r>
        <w:rPr>
          <w:rFonts w:asciiTheme="minorHAnsi" w:hAnsiTheme="minorHAnsi" w:cstheme="minorHAnsi"/>
          <w:sz w:val="20"/>
          <w:szCs w:val="20"/>
        </w:rPr>
        <w:t>roducto Interno Bruto</w:t>
      </w:r>
      <w:r w:rsidR="00F71841" w:rsidRPr="009005C7">
        <w:rPr>
          <w:rFonts w:asciiTheme="minorHAnsi" w:hAnsiTheme="minorHAnsi" w:cstheme="minorHAnsi"/>
          <w:sz w:val="20"/>
          <w:szCs w:val="20"/>
        </w:rPr>
        <w:t>.</w:t>
      </w:r>
    </w:p>
    <w:p w14:paraId="47692EB5" w14:textId="77777777" w:rsidR="00DB5312" w:rsidRDefault="00DB5312">
      <w:pPr>
        <w:rPr>
          <w:rFonts w:eastAsia="Times New Roman" w:cstheme="minorHAnsi"/>
          <w:sz w:val="20"/>
          <w:szCs w:val="20"/>
          <w:lang w:eastAsia="es-MX"/>
        </w:rPr>
      </w:pPr>
      <w:r>
        <w:rPr>
          <w:rFonts w:cstheme="minorHAnsi"/>
          <w:sz w:val="20"/>
          <w:szCs w:val="20"/>
        </w:rPr>
        <w:br w:type="page"/>
      </w:r>
    </w:p>
    <w:p w14:paraId="2931BCDB" w14:textId="272CD2FF" w:rsidR="00313712" w:rsidRDefault="002139B8" w:rsidP="00B158DB">
      <w:pPr>
        <w:pStyle w:val="Textoindependiente"/>
        <w:spacing w:before="120" w:line="220" w:lineRule="exact"/>
        <w:ind w:left="-142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lastRenderedPageBreak/>
        <w:t>D</w:t>
      </w:r>
      <w:r w:rsidR="00D62E13">
        <w:rPr>
          <w:rFonts w:asciiTheme="minorHAnsi" w:hAnsiTheme="minorHAnsi" w:cstheme="minorHAnsi"/>
          <w:sz w:val="20"/>
          <w:szCs w:val="20"/>
        </w:rPr>
        <w:t>urante</w:t>
      </w:r>
      <w:r w:rsidR="008841B8">
        <w:rPr>
          <w:rFonts w:asciiTheme="minorHAnsi" w:hAnsiTheme="minorHAnsi" w:cstheme="minorHAnsi"/>
          <w:sz w:val="20"/>
          <w:szCs w:val="20"/>
        </w:rPr>
        <w:t xml:space="preserve"> el </w:t>
      </w:r>
      <w:r w:rsidR="00292100">
        <w:rPr>
          <w:rFonts w:asciiTheme="minorHAnsi" w:hAnsiTheme="minorHAnsi" w:cstheme="minorHAnsi"/>
          <w:sz w:val="20"/>
          <w:szCs w:val="20"/>
        </w:rPr>
        <w:t xml:space="preserve">periodo </w:t>
      </w:r>
      <w:r w:rsidR="00754080">
        <w:rPr>
          <w:rFonts w:asciiTheme="minorHAnsi" w:hAnsiTheme="minorHAnsi" w:cstheme="minorHAnsi"/>
          <w:sz w:val="20"/>
          <w:szCs w:val="20"/>
        </w:rPr>
        <w:t>octubre-dicie</w:t>
      </w:r>
      <w:r w:rsidR="006322BD">
        <w:rPr>
          <w:rFonts w:asciiTheme="minorHAnsi" w:hAnsiTheme="minorHAnsi" w:cstheme="minorHAnsi"/>
          <w:sz w:val="20"/>
          <w:szCs w:val="20"/>
        </w:rPr>
        <w:t>mbre</w:t>
      </w:r>
      <w:r w:rsidR="00292100">
        <w:rPr>
          <w:rFonts w:asciiTheme="minorHAnsi" w:hAnsiTheme="minorHAnsi" w:cstheme="minorHAnsi"/>
          <w:sz w:val="20"/>
          <w:szCs w:val="20"/>
        </w:rPr>
        <w:t xml:space="preserve"> </w:t>
      </w:r>
      <w:r w:rsidR="00625B2F">
        <w:rPr>
          <w:rFonts w:asciiTheme="minorHAnsi" w:hAnsiTheme="minorHAnsi" w:cstheme="minorHAnsi"/>
          <w:sz w:val="20"/>
          <w:szCs w:val="20"/>
        </w:rPr>
        <w:t>de 2019</w:t>
      </w:r>
      <w:r w:rsidR="008841B8">
        <w:rPr>
          <w:rFonts w:asciiTheme="minorHAnsi" w:hAnsiTheme="minorHAnsi" w:cstheme="minorHAnsi"/>
          <w:sz w:val="20"/>
          <w:szCs w:val="20"/>
        </w:rPr>
        <w:t xml:space="preserve"> </w:t>
      </w:r>
      <w:r w:rsidR="00C334E7">
        <w:rPr>
          <w:rFonts w:asciiTheme="minorHAnsi" w:hAnsiTheme="minorHAnsi" w:cstheme="minorHAnsi"/>
          <w:sz w:val="20"/>
          <w:szCs w:val="20"/>
        </w:rPr>
        <w:t xml:space="preserve">el </w:t>
      </w:r>
      <w:r w:rsidR="00C7713F" w:rsidRPr="00EE764B">
        <w:rPr>
          <w:rFonts w:asciiTheme="minorHAnsi" w:hAnsiTheme="minorHAnsi" w:cstheme="minorHAnsi"/>
          <w:sz w:val="20"/>
          <w:szCs w:val="20"/>
        </w:rPr>
        <w:t xml:space="preserve">Indicador Trimestral del </w:t>
      </w:r>
      <w:r w:rsidR="00C334E7">
        <w:rPr>
          <w:rFonts w:asciiTheme="minorHAnsi" w:hAnsiTheme="minorHAnsi" w:cstheme="minorHAnsi"/>
          <w:sz w:val="20"/>
          <w:szCs w:val="20"/>
        </w:rPr>
        <w:t xml:space="preserve">Ahorro </w:t>
      </w:r>
      <w:r w:rsidR="00074D91">
        <w:rPr>
          <w:rFonts w:asciiTheme="minorHAnsi" w:hAnsiTheme="minorHAnsi" w:cstheme="minorHAnsi"/>
          <w:sz w:val="20"/>
          <w:szCs w:val="20"/>
        </w:rPr>
        <w:t xml:space="preserve">Bruto </w:t>
      </w:r>
      <w:r w:rsidR="00C334E7">
        <w:rPr>
          <w:rFonts w:asciiTheme="minorHAnsi" w:hAnsiTheme="minorHAnsi" w:cstheme="minorHAnsi"/>
          <w:sz w:val="20"/>
          <w:szCs w:val="20"/>
        </w:rPr>
        <w:t xml:space="preserve">de </w:t>
      </w:r>
      <w:r w:rsidR="004A32FE">
        <w:rPr>
          <w:rFonts w:asciiTheme="minorHAnsi" w:hAnsiTheme="minorHAnsi" w:cstheme="minorHAnsi"/>
          <w:sz w:val="20"/>
          <w:szCs w:val="20"/>
        </w:rPr>
        <w:t>l</w:t>
      </w:r>
      <w:r w:rsidR="00D059B4">
        <w:rPr>
          <w:rFonts w:asciiTheme="minorHAnsi" w:hAnsiTheme="minorHAnsi" w:cstheme="minorHAnsi"/>
          <w:sz w:val="20"/>
          <w:szCs w:val="20"/>
        </w:rPr>
        <w:t>a Economía Interna</w:t>
      </w:r>
      <w:r w:rsidR="00484F23">
        <w:rPr>
          <w:rFonts w:asciiTheme="minorHAnsi" w:hAnsiTheme="minorHAnsi" w:cstheme="minorHAnsi"/>
          <w:sz w:val="20"/>
          <w:szCs w:val="20"/>
        </w:rPr>
        <w:t xml:space="preserve"> </w:t>
      </w:r>
      <w:r w:rsidR="00552F83">
        <w:rPr>
          <w:rFonts w:asciiTheme="minorHAnsi" w:hAnsiTheme="minorHAnsi" w:cstheme="minorHAnsi"/>
          <w:sz w:val="20"/>
          <w:szCs w:val="20"/>
        </w:rPr>
        <w:t>participó con</w:t>
      </w:r>
      <w:r w:rsidR="00484F23">
        <w:rPr>
          <w:rFonts w:asciiTheme="minorHAnsi" w:hAnsiTheme="minorHAnsi" w:cstheme="minorHAnsi"/>
          <w:sz w:val="20"/>
          <w:szCs w:val="20"/>
        </w:rPr>
        <w:t xml:space="preserve"> </w:t>
      </w:r>
      <w:r w:rsidR="004E7E82">
        <w:rPr>
          <w:rFonts w:asciiTheme="minorHAnsi" w:hAnsiTheme="minorHAnsi" w:cstheme="minorHAnsi"/>
          <w:sz w:val="20"/>
          <w:szCs w:val="20"/>
        </w:rPr>
        <w:t>el</w:t>
      </w:r>
      <w:r w:rsidR="00552F83">
        <w:rPr>
          <w:rFonts w:asciiTheme="minorHAnsi" w:hAnsiTheme="minorHAnsi" w:cstheme="minorHAnsi"/>
          <w:sz w:val="20"/>
          <w:szCs w:val="20"/>
        </w:rPr>
        <w:t xml:space="preserve"> </w:t>
      </w:r>
      <w:r w:rsidR="00CA2ECE">
        <w:rPr>
          <w:rFonts w:asciiTheme="minorHAnsi" w:hAnsiTheme="minorHAnsi" w:cstheme="minorHAnsi"/>
          <w:sz w:val="20"/>
          <w:szCs w:val="20"/>
        </w:rPr>
        <w:t>21.3</w:t>
      </w:r>
      <w:r w:rsidR="008841B8">
        <w:rPr>
          <w:rFonts w:asciiTheme="minorHAnsi" w:hAnsiTheme="minorHAnsi" w:cstheme="minorHAnsi"/>
          <w:sz w:val="20"/>
          <w:szCs w:val="20"/>
        </w:rPr>
        <w:t>% del PIB</w:t>
      </w:r>
      <w:r w:rsidR="004A32FE">
        <w:rPr>
          <w:rFonts w:asciiTheme="minorHAnsi" w:hAnsiTheme="minorHAnsi" w:cstheme="minorHAnsi"/>
          <w:sz w:val="20"/>
          <w:szCs w:val="20"/>
        </w:rPr>
        <w:t xml:space="preserve">, registrando </w:t>
      </w:r>
      <w:r w:rsidR="00CA2ECE">
        <w:rPr>
          <w:rFonts w:asciiTheme="minorHAnsi" w:hAnsiTheme="minorHAnsi" w:cstheme="minorHAnsi"/>
          <w:sz w:val="20"/>
          <w:szCs w:val="20"/>
        </w:rPr>
        <w:t>5,271,671</w:t>
      </w:r>
      <w:r w:rsidR="004A32FE" w:rsidRPr="00754080">
        <w:rPr>
          <w:rFonts w:asciiTheme="minorHAnsi" w:hAnsiTheme="minorHAnsi" w:cstheme="minorHAnsi"/>
          <w:color w:val="FF0000"/>
          <w:sz w:val="20"/>
          <w:szCs w:val="20"/>
        </w:rPr>
        <w:t xml:space="preserve"> </w:t>
      </w:r>
      <w:r w:rsidR="004A32FE">
        <w:rPr>
          <w:rFonts w:asciiTheme="minorHAnsi" w:hAnsiTheme="minorHAnsi" w:cstheme="minorHAnsi"/>
          <w:sz w:val="20"/>
          <w:szCs w:val="20"/>
        </w:rPr>
        <w:t>millones de pesos</w:t>
      </w:r>
      <w:r w:rsidR="004E7E82">
        <w:rPr>
          <w:rFonts w:asciiTheme="minorHAnsi" w:hAnsiTheme="minorHAnsi" w:cstheme="minorHAnsi"/>
          <w:sz w:val="20"/>
          <w:szCs w:val="20"/>
        </w:rPr>
        <w:t>.</w:t>
      </w:r>
      <w:r w:rsidR="008841B8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7426F4FF" w14:textId="48095702" w:rsidR="00B41882" w:rsidRDefault="00313712" w:rsidP="003B633E">
      <w:pPr>
        <w:pStyle w:val="p0"/>
        <w:keepNext/>
        <w:spacing w:before="240"/>
        <w:ind w:left="-142"/>
        <w:rPr>
          <w:rFonts w:asciiTheme="minorHAnsi" w:hAnsiTheme="minorHAnsi" w:cstheme="minorHAnsi"/>
          <w:color w:val="auto"/>
          <w:sz w:val="20"/>
          <w:lang w:eastAsia="es-MX"/>
        </w:rPr>
      </w:pPr>
      <w:r w:rsidRPr="00552F83">
        <w:rPr>
          <w:rFonts w:asciiTheme="minorHAnsi" w:hAnsiTheme="minorHAnsi" w:cstheme="minorHAnsi"/>
          <w:color w:val="auto"/>
          <w:sz w:val="20"/>
          <w:lang w:eastAsia="es-MX"/>
        </w:rPr>
        <w:t xml:space="preserve">Por su parte, </w:t>
      </w:r>
      <w:r w:rsidR="00BD1B7A">
        <w:rPr>
          <w:rFonts w:asciiTheme="minorHAnsi" w:hAnsiTheme="minorHAnsi" w:cstheme="minorHAnsi"/>
          <w:color w:val="auto"/>
          <w:sz w:val="20"/>
          <w:lang w:eastAsia="es-MX"/>
        </w:rPr>
        <w:t xml:space="preserve">la contribución </w:t>
      </w:r>
      <w:r w:rsidR="00074D91">
        <w:rPr>
          <w:rFonts w:asciiTheme="minorHAnsi" w:hAnsiTheme="minorHAnsi" w:cstheme="minorHAnsi"/>
          <w:color w:val="auto"/>
          <w:sz w:val="20"/>
          <w:lang w:eastAsia="es-MX"/>
        </w:rPr>
        <w:t xml:space="preserve">del </w:t>
      </w:r>
      <w:r w:rsidR="00D059B4">
        <w:rPr>
          <w:rFonts w:asciiTheme="minorHAnsi" w:hAnsiTheme="minorHAnsi" w:cstheme="minorHAnsi"/>
          <w:color w:val="auto"/>
          <w:sz w:val="20"/>
          <w:lang w:eastAsia="es-MX"/>
        </w:rPr>
        <w:t>Resto del Mundo</w:t>
      </w:r>
      <w:r w:rsidR="00D62E13" w:rsidRPr="00552F83">
        <w:rPr>
          <w:rFonts w:asciiTheme="minorHAnsi" w:hAnsiTheme="minorHAnsi" w:cstheme="minorHAnsi"/>
          <w:color w:val="auto"/>
          <w:sz w:val="20"/>
          <w:lang w:eastAsia="es-MX"/>
        </w:rPr>
        <w:t>,</w:t>
      </w:r>
      <w:r w:rsidRPr="00552F83">
        <w:rPr>
          <w:rFonts w:asciiTheme="minorHAnsi" w:hAnsiTheme="minorHAnsi" w:cstheme="minorHAnsi"/>
          <w:color w:val="auto"/>
          <w:sz w:val="20"/>
          <w:lang w:eastAsia="es-MX"/>
        </w:rPr>
        <w:t xml:space="preserve"> </w:t>
      </w:r>
      <w:r w:rsidR="00AD4A9A" w:rsidRPr="004F252B">
        <w:rPr>
          <w:rFonts w:asciiTheme="minorHAnsi" w:hAnsiTheme="minorHAnsi" w:cstheme="minorHAnsi"/>
          <w:color w:val="auto"/>
          <w:sz w:val="20"/>
          <w:lang w:eastAsia="es-MX"/>
        </w:rPr>
        <w:t>que significa el financiamiento proveniente del exterior</w:t>
      </w:r>
      <w:r w:rsidR="001F4676">
        <w:rPr>
          <w:rFonts w:asciiTheme="minorHAnsi" w:hAnsiTheme="minorHAnsi" w:cstheme="minorHAnsi"/>
          <w:color w:val="auto"/>
          <w:sz w:val="20"/>
          <w:lang w:eastAsia="es-MX"/>
        </w:rPr>
        <w:t>,</w:t>
      </w:r>
      <w:r w:rsidR="00AD4A9A" w:rsidRPr="00552F83">
        <w:rPr>
          <w:rFonts w:asciiTheme="minorHAnsi" w:hAnsiTheme="minorHAnsi" w:cstheme="minorHAnsi"/>
          <w:color w:val="auto"/>
          <w:sz w:val="20"/>
          <w:lang w:eastAsia="es-MX"/>
        </w:rPr>
        <w:t xml:space="preserve"> </w:t>
      </w:r>
      <w:r w:rsidR="003936B6">
        <w:rPr>
          <w:rFonts w:asciiTheme="minorHAnsi" w:hAnsiTheme="minorHAnsi" w:cstheme="minorHAnsi"/>
          <w:color w:val="auto"/>
          <w:sz w:val="20"/>
          <w:lang w:eastAsia="es-MX"/>
        </w:rPr>
        <w:t>fue de</w:t>
      </w:r>
      <w:r w:rsidR="00A74B64">
        <w:rPr>
          <w:rFonts w:asciiTheme="minorHAnsi" w:hAnsiTheme="minorHAnsi" w:cstheme="minorHAnsi"/>
          <w:color w:val="auto"/>
          <w:sz w:val="20"/>
          <w:lang w:eastAsia="es-MX"/>
        </w:rPr>
        <w:t xml:space="preserve"> </w:t>
      </w:r>
      <w:r w:rsidR="00CA2ECE">
        <w:rPr>
          <w:rFonts w:asciiTheme="minorHAnsi" w:hAnsiTheme="minorHAnsi" w:cstheme="minorHAnsi"/>
          <w:color w:val="auto"/>
          <w:sz w:val="20"/>
          <w:lang w:eastAsia="es-MX"/>
        </w:rPr>
        <w:t>(-)0.8</w:t>
      </w:r>
      <w:r w:rsidR="00D62E13" w:rsidRPr="00552F83">
        <w:rPr>
          <w:rFonts w:asciiTheme="minorHAnsi" w:hAnsiTheme="minorHAnsi" w:cstheme="minorHAnsi"/>
          <w:color w:val="auto"/>
          <w:sz w:val="20"/>
          <w:lang w:eastAsia="es-MX"/>
        </w:rPr>
        <w:t>%</w:t>
      </w:r>
      <w:r w:rsidR="00905650">
        <w:rPr>
          <w:rFonts w:asciiTheme="minorHAnsi" w:hAnsiTheme="minorHAnsi" w:cstheme="minorHAnsi"/>
          <w:color w:val="auto"/>
          <w:sz w:val="20"/>
          <w:lang w:eastAsia="es-MX"/>
        </w:rPr>
        <w:t xml:space="preserve"> del PIB</w:t>
      </w:r>
      <w:bookmarkStart w:id="0" w:name="_GoBack"/>
      <w:bookmarkEnd w:id="0"/>
      <w:r w:rsidR="00772AF0">
        <w:rPr>
          <w:rFonts w:asciiTheme="minorHAnsi" w:hAnsiTheme="minorHAnsi" w:cstheme="minorHAnsi"/>
          <w:color w:val="auto"/>
          <w:sz w:val="20"/>
          <w:lang w:eastAsia="es-MX"/>
        </w:rPr>
        <w:t xml:space="preserve">, es decir, </w:t>
      </w:r>
      <w:r w:rsidR="00CA2ECE">
        <w:rPr>
          <w:rFonts w:asciiTheme="minorHAnsi" w:hAnsiTheme="minorHAnsi" w:cstheme="minorHAnsi"/>
          <w:color w:val="auto"/>
          <w:sz w:val="20"/>
          <w:lang w:eastAsia="es-MX"/>
        </w:rPr>
        <w:t>(-)190,058</w:t>
      </w:r>
      <w:r w:rsidR="004A32FE" w:rsidRPr="00754080">
        <w:rPr>
          <w:rFonts w:asciiTheme="minorHAnsi" w:hAnsiTheme="minorHAnsi" w:cstheme="minorHAnsi"/>
          <w:color w:val="FF0000"/>
          <w:sz w:val="20"/>
          <w:lang w:eastAsia="es-MX"/>
        </w:rPr>
        <w:t xml:space="preserve"> </w:t>
      </w:r>
      <w:r w:rsidR="004A32FE">
        <w:rPr>
          <w:rFonts w:asciiTheme="minorHAnsi" w:hAnsiTheme="minorHAnsi" w:cstheme="minorHAnsi"/>
          <w:color w:val="auto"/>
          <w:sz w:val="20"/>
          <w:lang w:eastAsia="es-MX"/>
        </w:rPr>
        <w:t>millones de pesos</w:t>
      </w:r>
      <w:r w:rsidR="00D62E13" w:rsidRPr="00552F83">
        <w:rPr>
          <w:rFonts w:asciiTheme="minorHAnsi" w:hAnsiTheme="minorHAnsi" w:cstheme="minorHAnsi"/>
          <w:color w:val="auto"/>
          <w:sz w:val="20"/>
          <w:lang w:eastAsia="es-MX"/>
        </w:rPr>
        <w:t xml:space="preserve"> en el trimestre en cuestión</w:t>
      </w:r>
      <w:r w:rsidR="008841B8" w:rsidRPr="00552F83">
        <w:rPr>
          <w:rFonts w:asciiTheme="minorHAnsi" w:hAnsiTheme="minorHAnsi" w:cstheme="minorHAnsi"/>
          <w:color w:val="auto"/>
          <w:sz w:val="20"/>
          <w:lang w:eastAsia="es-MX"/>
        </w:rPr>
        <w:t>.</w:t>
      </w:r>
    </w:p>
    <w:p w14:paraId="1591D9DE" w14:textId="160CDC74" w:rsidR="00E33EA8" w:rsidRPr="00366112" w:rsidRDefault="00E33EA8" w:rsidP="00010649">
      <w:pPr>
        <w:pStyle w:val="p0"/>
        <w:keepNext/>
        <w:widowControl/>
        <w:spacing w:before="240" w:line="180" w:lineRule="exact"/>
        <w:jc w:val="center"/>
        <w:rPr>
          <w:rFonts w:asciiTheme="minorHAnsi" w:hAnsiTheme="minorHAnsi" w:cstheme="minorHAnsi"/>
          <w:b/>
          <w:smallCaps/>
          <w:snapToGrid/>
          <w:color w:val="auto"/>
          <w:sz w:val="18"/>
          <w:szCs w:val="18"/>
          <w:lang w:eastAsia="es-MX"/>
        </w:rPr>
      </w:pPr>
      <w:r>
        <w:rPr>
          <w:rFonts w:asciiTheme="minorHAnsi" w:hAnsiTheme="minorHAnsi" w:cstheme="minorHAnsi"/>
          <w:b/>
          <w:smallCaps/>
          <w:snapToGrid/>
          <w:color w:val="auto"/>
          <w:sz w:val="18"/>
          <w:szCs w:val="18"/>
          <w:lang w:eastAsia="es-MX"/>
        </w:rPr>
        <w:t xml:space="preserve">Indicador Trimestral del Ahorro Bruto </w:t>
      </w:r>
      <w:r w:rsidRPr="00366112">
        <w:rPr>
          <w:rFonts w:asciiTheme="minorHAnsi" w:hAnsiTheme="minorHAnsi" w:cstheme="minorHAnsi"/>
          <w:b/>
          <w:smallCaps/>
          <w:snapToGrid/>
          <w:color w:val="auto"/>
          <w:sz w:val="18"/>
          <w:szCs w:val="18"/>
          <w:lang w:eastAsia="es-MX"/>
        </w:rPr>
        <w:br/>
      </w:r>
      <w:r>
        <w:rPr>
          <w:rFonts w:asciiTheme="minorHAnsi" w:hAnsiTheme="minorHAnsi" w:cstheme="minorHAnsi"/>
          <w:b/>
          <w:smallCaps/>
          <w:snapToGrid/>
          <w:color w:val="auto"/>
          <w:sz w:val="18"/>
          <w:szCs w:val="18"/>
          <w:lang w:eastAsia="es-MX"/>
        </w:rPr>
        <w:t>al</w:t>
      </w:r>
      <w:r w:rsidRPr="00366112">
        <w:rPr>
          <w:rFonts w:asciiTheme="minorHAnsi" w:hAnsiTheme="minorHAnsi" w:cstheme="minorHAnsi"/>
          <w:b/>
          <w:smallCaps/>
          <w:snapToGrid/>
          <w:color w:val="auto"/>
          <w:sz w:val="18"/>
          <w:szCs w:val="18"/>
          <w:lang w:eastAsia="es-MX"/>
        </w:rPr>
        <w:t xml:space="preserve"> </w:t>
      </w:r>
      <w:r w:rsidR="00754080">
        <w:rPr>
          <w:rFonts w:asciiTheme="minorHAnsi" w:hAnsiTheme="minorHAnsi" w:cstheme="minorHAnsi"/>
          <w:b/>
          <w:smallCaps/>
          <w:snapToGrid/>
          <w:color w:val="auto"/>
          <w:sz w:val="18"/>
          <w:szCs w:val="18"/>
          <w:lang w:eastAsia="es-MX"/>
        </w:rPr>
        <w:t>cuarto</w:t>
      </w:r>
      <w:r>
        <w:rPr>
          <w:rFonts w:asciiTheme="minorHAnsi" w:hAnsiTheme="minorHAnsi" w:cstheme="minorHAnsi"/>
          <w:b/>
          <w:smallCaps/>
          <w:snapToGrid/>
          <w:color w:val="auto"/>
          <w:sz w:val="18"/>
          <w:szCs w:val="18"/>
          <w:lang w:eastAsia="es-MX"/>
        </w:rPr>
        <w:t xml:space="preserve"> trimestre de 201</w:t>
      </w:r>
      <w:r w:rsidR="00284A23">
        <w:rPr>
          <w:rFonts w:asciiTheme="minorHAnsi" w:hAnsiTheme="minorHAnsi" w:cstheme="minorHAnsi"/>
          <w:b/>
          <w:smallCaps/>
          <w:snapToGrid/>
          <w:color w:val="auto"/>
          <w:sz w:val="18"/>
          <w:szCs w:val="18"/>
          <w:lang w:eastAsia="es-MX"/>
        </w:rPr>
        <w:t>9</w:t>
      </w:r>
    </w:p>
    <w:tbl>
      <w:tblPr>
        <w:tblStyle w:val="Tablaconcuadrcula"/>
        <w:tblW w:w="4839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998"/>
        <w:gridCol w:w="1006"/>
        <w:gridCol w:w="992"/>
        <w:gridCol w:w="851"/>
        <w:gridCol w:w="992"/>
      </w:tblGrid>
      <w:tr w:rsidR="0011575F" w14:paraId="0A4229D6" w14:textId="77777777" w:rsidTr="00BD1B7A">
        <w:trPr>
          <w:trHeight w:val="255"/>
        </w:trPr>
        <w:tc>
          <w:tcPr>
            <w:tcW w:w="998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C2D69B" w:themeFill="accent3" w:themeFillTint="99"/>
            <w:vAlign w:val="center"/>
          </w:tcPr>
          <w:p w14:paraId="175FDD9C" w14:textId="77777777" w:rsidR="0011575F" w:rsidRPr="00C75E15" w:rsidRDefault="0011575F" w:rsidP="00C15A08">
            <w:pPr>
              <w:jc w:val="center"/>
              <w:rPr>
                <w:rFonts w:cstheme="minorHAnsi"/>
                <w:b/>
                <w:sz w:val="14"/>
                <w:szCs w:val="18"/>
              </w:rPr>
            </w:pPr>
            <w:r w:rsidRPr="00C75E15">
              <w:rPr>
                <w:rFonts w:cstheme="minorHAnsi"/>
                <w:b/>
                <w:sz w:val="14"/>
                <w:szCs w:val="18"/>
              </w:rPr>
              <w:t>Concepto</w:t>
            </w:r>
          </w:p>
        </w:tc>
        <w:tc>
          <w:tcPr>
            <w:tcW w:w="3841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C2D69B" w:themeFill="accent3" w:themeFillTint="99"/>
            <w:vAlign w:val="center"/>
          </w:tcPr>
          <w:p w14:paraId="59E03AF2" w14:textId="38FA1633" w:rsidR="0011575F" w:rsidRPr="0011575F" w:rsidRDefault="0011575F" w:rsidP="00BD1B7A">
            <w:pPr>
              <w:jc w:val="center"/>
              <w:rPr>
                <w:rFonts w:cstheme="minorHAnsi"/>
                <w:b/>
                <w:sz w:val="14"/>
                <w:szCs w:val="18"/>
                <w:vertAlign w:val="superscript"/>
              </w:rPr>
            </w:pPr>
            <w:r>
              <w:rPr>
                <w:rFonts w:cstheme="minorHAnsi"/>
                <w:b/>
                <w:sz w:val="14"/>
                <w:szCs w:val="18"/>
              </w:rPr>
              <w:t>2019</w:t>
            </w:r>
            <w:r>
              <w:rPr>
                <w:rFonts w:cstheme="minorHAnsi"/>
                <w:b/>
                <w:sz w:val="14"/>
                <w:szCs w:val="18"/>
                <w:vertAlign w:val="superscript"/>
              </w:rPr>
              <w:t>R/</w:t>
            </w:r>
          </w:p>
        </w:tc>
      </w:tr>
      <w:tr w:rsidR="0011575F" w14:paraId="3DC44A50" w14:textId="77777777" w:rsidTr="00523FE4">
        <w:trPr>
          <w:trHeight w:val="229"/>
        </w:trPr>
        <w:tc>
          <w:tcPr>
            <w:tcW w:w="998" w:type="dxa"/>
            <w:vMerge/>
            <w:tcBorders>
              <w:left w:val="double" w:sz="4" w:space="0" w:color="auto"/>
            </w:tcBorders>
            <w:shd w:val="clear" w:color="auto" w:fill="C2D69B" w:themeFill="accent3" w:themeFillTint="99"/>
          </w:tcPr>
          <w:p w14:paraId="274BBB01" w14:textId="77777777" w:rsidR="0011575F" w:rsidRPr="00C75E15" w:rsidRDefault="0011575F" w:rsidP="0055424C">
            <w:pPr>
              <w:jc w:val="both"/>
              <w:rPr>
                <w:rFonts w:cstheme="minorHAnsi"/>
                <w:b/>
                <w:sz w:val="14"/>
                <w:szCs w:val="18"/>
              </w:rPr>
            </w:pPr>
          </w:p>
        </w:tc>
        <w:tc>
          <w:tcPr>
            <w:tcW w:w="1006" w:type="dxa"/>
            <w:tcBorders>
              <w:left w:val="doub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06917C1E" w14:textId="210C2C8B" w:rsidR="0011575F" w:rsidRPr="00C75E15" w:rsidRDefault="00CA2ECE" w:rsidP="0011575F">
            <w:pPr>
              <w:jc w:val="center"/>
              <w:rPr>
                <w:rFonts w:cstheme="minorHAnsi"/>
                <w:b/>
                <w:sz w:val="14"/>
                <w:szCs w:val="18"/>
              </w:rPr>
            </w:pPr>
            <w:r>
              <w:rPr>
                <w:rFonts w:cstheme="minorHAnsi"/>
                <w:b/>
                <w:sz w:val="14"/>
                <w:szCs w:val="18"/>
              </w:rPr>
              <w:t>I</w:t>
            </w:r>
            <w:r w:rsidR="0011575F">
              <w:rPr>
                <w:rFonts w:cstheme="minorHAnsi"/>
                <w:b/>
                <w:sz w:val="14"/>
                <w:szCs w:val="18"/>
              </w:rPr>
              <w:t>I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16534113" w14:textId="36D5F234" w:rsidR="0011575F" w:rsidRDefault="0011575F" w:rsidP="00CA2ECE">
            <w:pPr>
              <w:spacing w:before="20"/>
              <w:jc w:val="center"/>
              <w:rPr>
                <w:rFonts w:cstheme="minorHAnsi"/>
                <w:b/>
                <w:sz w:val="14"/>
                <w:szCs w:val="18"/>
              </w:rPr>
            </w:pPr>
            <w:r>
              <w:rPr>
                <w:rFonts w:cstheme="minorHAnsi"/>
                <w:b/>
                <w:sz w:val="14"/>
                <w:szCs w:val="18"/>
              </w:rPr>
              <w:t>I</w:t>
            </w:r>
            <w:r w:rsidR="00CA2ECE">
              <w:rPr>
                <w:rFonts w:cstheme="minorHAnsi"/>
                <w:b/>
                <w:sz w:val="14"/>
                <w:szCs w:val="18"/>
              </w:rPr>
              <w:t>II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0950C453" w14:textId="4201DFF1" w:rsidR="0011575F" w:rsidRPr="00696B53" w:rsidRDefault="0011575F" w:rsidP="00CA2ECE">
            <w:pPr>
              <w:spacing w:before="20"/>
              <w:jc w:val="center"/>
              <w:rPr>
                <w:rFonts w:cstheme="minorHAnsi"/>
                <w:b/>
                <w:sz w:val="14"/>
                <w:szCs w:val="18"/>
                <w:vertAlign w:val="superscript"/>
              </w:rPr>
            </w:pPr>
            <w:r>
              <w:rPr>
                <w:rFonts w:cstheme="minorHAnsi"/>
                <w:b/>
                <w:sz w:val="14"/>
                <w:szCs w:val="18"/>
              </w:rPr>
              <w:t>I</w:t>
            </w:r>
            <w:r w:rsidR="00CA2ECE">
              <w:rPr>
                <w:rFonts w:cstheme="minorHAnsi"/>
                <w:b/>
                <w:sz w:val="14"/>
                <w:szCs w:val="18"/>
              </w:rPr>
              <w:t>V</w:t>
            </w:r>
            <w:r>
              <w:rPr>
                <w:rFonts w:cstheme="minorHAnsi"/>
                <w:b/>
                <w:sz w:val="14"/>
                <w:szCs w:val="18"/>
                <w:vertAlign w:val="superscript"/>
              </w:rPr>
              <w:t>P/</w:t>
            </w:r>
          </w:p>
        </w:tc>
        <w:tc>
          <w:tcPr>
            <w:tcW w:w="992" w:type="dxa"/>
            <w:tcBorders>
              <w:left w:val="single" w:sz="4" w:space="0" w:color="auto"/>
              <w:right w:val="double" w:sz="4" w:space="0" w:color="auto"/>
            </w:tcBorders>
            <w:shd w:val="clear" w:color="auto" w:fill="C2D69B" w:themeFill="accent3" w:themeFillTint="99"/>
          </w:tcPr>
          <w:p w14:paraId="12F435E5" w14:textId="4BF52574" w:rsidR="0011575F" w:rsidRDefault="00CA2ECE" w:rsidP="0011575F">
            <w:pPr>
              <w:spacing w:before="20"/>
              <w:jc w:val="center"/>
              <w:rPr>
                <w:rFonts w:cstheme="minorHAnsi"/>
                <w:b/>
                <w:sz w:val="14"/>
                <w:szCs w:val="18"/>
              </w:rPr>
            </w:pPr>
            <w:r>
              <w:rPr>
                <w:rFonts w:cstheme="minorHAnsi"/>
                <w:b/>
                <w:sz w:val="14"/>
                <w:szCs w:val="18"/>
              </w:rPr>
              <w:t>Anual</w:t>
            </w:r>
          </w:p>
        </w:tc>
      </w:tr>
      <w:tr w:rsidR="00696B53" w14:paraId="1DDC9C84" w14:textId="77777777" w:rsidTr="00A06684">
        <w:trPr>
          <w:trHeight w:val="201"/>
        </w:trPr>
        <w:tc>
          <w:tcPr>
            <w:tcW w:w="998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D6E3BC" w:themeFill="accent3" w:themeFillTint="66"/>
            <w:vAlign w:val="center"/>
          </w:tcPr>
          <w:p w14:paraId="2E63BAC7" w14:textId="77777777" w:rsidR="00696B53" w:rsidRDefault="00696B53" w:rsidP="0055424C">
            <w:pPr>
              <w:rPr>
                <w:rFonts w:cstheme="minorHAnsi"/>
                <w:sz w:val="14"/>
                <w:szCs w:val="18"/>
              </w:rPr>
            </w:pPr>
            <w:r>
              <w:rPr>
                <w:rFonts w:cstheme="minorHAnsi"/>
                <w:sz w:val="14"/>
                <w:szCs w:val="18"/>
              </w:rPr>
              <w:t>Producto Interno Bruto</w:t>
            </w:r>
          </w:p>
        </w:tc>
        <w:tc>
          <w:tcPr>
            <w:tcW w:w="3841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D6E3BC" w:themeFill="accent3" w:themeFillTint="66"/>
            <w:vAlign w:val="center"/>
          </w:tcPr>
          <w:p w14:paraId="4301245B" w14:textId="7A884AE3" w:rsidR="00696B53" w:rsidRDefault="00696B53" w:rsidP="0055424C">
            <w:pPr>
              <w:ind w:right="113"/>
              <w:jc w:val="center"/>
              <w:rPr>
                <w:rFonts w:cstheme="minorHAnsi"/>
                <w:sz w:val="14"/>
                <w:szCs w:val="18"/>
              </w:rPr>
            </w:pPr>
            <w:r>
              <w:rPr>
                <w:rFonts w:cstheme="minorHAnsi"/>
                <w:sz w:val="14"/>
                <w:szCs w:val="18"/>
              </w:rPr>
              <w:t>Millones de pesos</w:t>
            </w:r>
          </w:p>
        </w:tc>
      </w:tr>
      <w:tr w:rsidR="0011575F" w14:paraId="0ACF7773" w14:textId="77777777" w:rsidTr="0011575F">
        <w:trPr>
          <w:trHeight w:val="201"/>
        </w:trPr>
        <w:tc>
          <w:tcPr>
            <w:tcW w:w="998" w:type="dxa"/>
            <w:vMerge/>
            <w:tcBorders>
              <w:left w:val="double" w:sz="4" w:space="0" w:color="auto"/>
            </w:tcBorders>
            <w:shd w:val="clear" w:color="auto" w:fill="D6E3BC" w:themeFill="accent3" w:themeFillTint="66"/>
            <w:vAlign w:val="center"/>
          </w:tcPr>
          <w:p w14:paraId="336D252F" w14:textId="77777777" w:rsidR="0011575F" w:rsidRPr="00C75E15" w:rsidRDefault="0011575F" w:rsidP="00634F12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1006" w:type="dxa"/>
            <w:tcBorders>
              <w:left w:val="doub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62D58ABD" w14:textId="1E30BEF8" w:rsidR="0011575F" w:rsidRPr="00D774CC" w:rsidRDefault="0011575F" w:rsidP="008A06EB">
            <w:pPr>
              <w:ind w:right="57"/>
              <w:jc w:val="right"/>
              <w:rPr>
                <w:rFonts w:cstheme="minorHAnsi"/>
                <w:b/>
                <w:sz w:val="13"/>
                <w:szCs w:val="13"/>
              </w:rPr>
            </w:pPr>
            <w:r w:rsidRPr="00D774CC">
              <w:rPr>
                <w:rFonts w:cstheme="minorHAnsi"/>
                <w:b/>
                <w:sz w:val="13"/>
                <w:szCs w:val="13"/>
              </w:rPr>
              <w:t>2</w:t>
            </w:r>
            <w:r w:rsidR="008A06EB" w:rsidRPr="00D774CC">
              <w:rPr>
                <w:rFonts w:cstheme="minorHAnsi"/>
                <w:b/>
                <w:sz w:val="13"/>
                <w:szCs w:val="13"/>
              </w:rPr>
              <w:t>4</w:t>
            </w:r>
            <w:r w:rsidRPr="00D774CC">
              <w:rPr>
                <w:rFonts w:cstheme="minorHAnsi"/>
                <w:b/>
                <w:sz w:val="13"/>
                <w:szCs w:val="13"/>
              </w:rPr>
              <w:t>,</w:t>
            </w:r>
            <w:r w:rsidR="00F41A96" w:rsidRPr="00D774CC">
              <w:rPr>
                <w:rFonts w:cstheme="minorHAnsi"/>
                <w:b/>
                <w:sz w:val="13"/>
                <w:szCs w:val="13"/>
              </w:rPr>
              <w:t>323</w:t>
            </w:r>
            <w:r w:rsidRPr="00D774CC">
              <w:rPr>
                <w:rFonts w:cstheme="minorHAnsi"/>
                <w:b/>
                <w:sz w:val="13"/>
                <w:szCs w:val="13"/>
              </w:rPr>
              <w:t>,</w:t>
            </w:r>
            <w:r w:rsidR="00F41A96" w:rsidRPr="00D774CC">
              <w:rPr>
                <w:rFonts w:cstheme="minorHAnsi"/>
                <w:b/>
                <w:sz w:val="13"/>
                <w:szCs w:val="13"/>
              </w:rPr>
              <w:t>881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35386461" w14:textId="5B9EAA8F" w:rsidR="0011575F" w:rsidRPr="00D774CC" w:rsidRDefault="0011575F" w:rsidP="00F41A96">
            <w:pPr>
              <w:spacing w:before="20"/>
              <w:jc w:val="right"/>
              <w:rPr>
                <w:rFonts w:cstheme="minorHAnsi"/>
                <w:b/>
                <w:sz w:val="13"/>
                <w:szCs w:val="13"/>
              </w:rPr>
            </w:pPr>
            <w:r w:rsidRPr="00D774CC">
              <w:rPr>
                <w:rFonts w:cstheme="minorHAnsi"/>
                <w:b/>
                <w:sz w:val="13"/>
                <w:szCs w:val="13"/>
              </w:rPr>
              <w:t>2</w:t>
            </w:r>
            <w:r w:rsidR="00F41A96" w:rsidRPr="00D774CC">
              <w:rPr>
                <w:rFonts w:cstheme="minorHAnsi"/>
                <w:b/>
                <w:sz w:val="13"/>
                <w:szCs w:val="13"/>
              </w:rPr>
              <w:t>3</w:t>
            </w:r>
            <w:r w:rsidRPr="00D774CC">
              <w:rPr>
                <w:rFonts w:cstheme="minorHAnsi"/>
                <w:b/>
                <w:sz w:val="13"/>
                <w:szCs w:val="13"/>
              </w:rPr>
              <w:t>,</w:t>
            </w:r>
            <w:r w:rsidR="00F41A96" w:rsidRPr="00D774CC">
              <w:rPr>
                <w:rFonts w:cstheme="minorHAnsi"/>
                <w:b/>
                <w:sz w:val="13"/>
                <w:szCs w:val="13"/>
              </w:rPr>
              <w:t>962</w:t>
            </w:r>
            <w:r w:rsidRPr="00D774CC">
              <w:rPr>
                <w:rFonts w:cstheme="minorHAnsi"/>
                <w:b/>
                <w:sz w:val="13"/>
                <w:szCs w:val="13"/>
              </w:rPr>
              <w:t>,</w:t>
            </w:r>
            <w:r w:rsidR="00F41A96" w:rsidRPr="00D774CC">
              <w:rPr>
                <w:rFonts w:cstheme="minorHAnsi"/>
                <w:b/>
                <w:sz w:val="13"/>
                <w:szCs w:val="13"/>
              </w:rPr>
              <w:t>589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54527746" w14:textId="60969A38" w:rsidR="0011575F" w:rsidRPr="00D774CC" w:rsidRDefault="0011575F" w:rsidP="00F41A96">
            <w:pPr>
              <w:spacing w:before="20"/>
              <w:jc w:val="right"/>
              <w:rPr>
                <w:rFonts w:cstheme="minorHAnsi"/>
                <w:b/>
                <w:sz w:val="13"/>
                <w:szCs w:val="13"/>
              </w:rPr>
            </w:pPr>
            <w:r w:rsidRPr="00D774CC">
              <w:rPr>
                <w:rFonts w:cstheme="minorHAnsi"/>
                <w:b/>
                <w:sz w:val="13"/>
                <w:szCs w:val="13"/>
              </w:rPr>
              <w:t>2</w:t>
            </w:r>
            <w:r w:rsidR="00F41A96" w:rsidRPr="00D774CC">
              <w:rPr>
                <w:rFonts w:cstheme="minorHAnsi"/>
                <w:b/>
                <w:sz w:val="13"/>
                <w:szCs w:val="13"/>
              </w:rPr>
              <w:t>4</w:t>
            </w:r>
            <w:r w:rsidRPr="00D774CC">
              <w:rPr>
                <w:rFonts w:cstheme="minorHAnsi"/>
                <w:b/>
                <w:sz w:val="13"/>
                <w:szCs w:val="13"/>
              </w:rPr>
              <w:t>,</w:t>
            </w:r>
            <w:r w:rsidR="00F41A96" w:rsidRPr="00D774CC">
              <w:rPr>
                <w:rFonts w:cstheme="minorHAnsi"/>
                <w:b/>
                <w:sz w:val="13"/>
                <w:szCs w:val="13"/>
              </w:rPr>
              <w:t>6</w:t>
            </w:r>
            <w:r w:rsidRPr="00D774CC">
              <w:rPr>
                <w:rFonts w:cstheme="minorHAnsi"/>
                <w:b/>
                <w:sz w:val="13"/>
                <w:szCs w:val="13"/>
              </w:rPr>
              <w:t>9</w:t>
            </w:r>
            <w:r w:rsidR="00F41A96" w:rsidRPr="00D774CC">
              <w:rPr>
                <w:rFonts w:cstheme="minorHAnsi"/>
                <w:b/>
                <w:sz w:val="13"/>
                <w:szCs w:val="13"/>
              </w:rPr>
              <w:t>8</w:t>
            </w:r>
            <w:r w:rsidRPr="00D774CC">
              <w:rPr>
                <w:rFonts w:cstheme="minorHAnsi"/>
                <w:b/>
                <w:sz w:val="13"/>
                <w:szCs w:val="13"/>
              </w:rPr>
              <w:t>,</w:t>
            </w:r>
            <w:r w:rsidR="00F41A96" w:rsidRPr="00D774CC">
              <w:rPr>
                <w:rFonts w:cstheme="minorHAnsi"/>
                <w:b/>
                <w:sz w:val="13"/>
                <w:szCs w:val="13"/>
              </w:rPr>
              <w:t>563</w:t>
            </w:r>
          </w:p>
        </w:tc>
        <w:tc>
          <w:tcPr>
            <w:tcW w:w="992" w:type="dxa"/>
            <w:tcBorders>
              <w:left w:val="single" w:sz="4" w:space="0" w:color="auto"/>
              <w:right w:val="double" w:sz="4" w:space="0" w:color="auto"/>
            </w:tcBorders>
            <w:shd w:val="clear" w:color="auto" w:fill="D6E3BC" w:themeFill="accent3" w:themeFillTint="66"/>
          </w:tcPr>
          <w:p w14:paraId="4F6FB068" w14:textId="07E78D3A" w:rsidR="0011575F" w:rsidRPr="00D774CC" w:rsidRDefault="0011575F" w:rsidP="00F41A96">
            <w:pPr>
              <w:spacing w:before="20"/>
              <w:ind w:right="57"/>
              <w:jc w:val="right"/>
              <w:rPr>
                <w:rFonts w:cstheme="minorHAnsi"/>
                <w:b/>
                <w:sz w:val="13"/>
                <w:szCs w:val="13"/>
              </w:rPr>
            </w:pPr>
            <w:r w:rsidRPr="00D774CC">
              <w:rPr>
                <w:rFonts w:cstheme="minorHAnsi"/>
                <w:b/>
                <w:sz w:val="13"/>
                <w:szCs w:val="13"/>
              </w:rPr>
              <w:t>24,</w:t>
            </w:r>
            <w:r w:rsidR="00F41A96" w:rsidRPr="00D774CC">
              <w:rPr>
                <w:rFonts w:cstheme="minorHAnsi"/>
                <w:b/>
                <w:sz w:val="13"/>
                <w:szCs w:val="13"/>
              </w:rPr>
              <w:t>239</w:t>
            </w:r>
            <w:r w:rsidRPr="00D774CC">
              <w:rPr>
                <w:rFonts w:cstheme="minorHAnsi"/>
                <w:b/>
                <w:sz w:val="13"/>
                <w:szCs w:val="13"/>
              </w:rPr>
              <w:t>,</w:t>
            </w:r>
            <w:r w:rsidR="00F41A96" w:rsidRPr="00D774CC">
              <w:rPr>
                <w:rFonts w:cstheme="minorHAnsi"/>
                <w:b/>
                <w:sz w:val="13"/>
                <w:szCs w:val="13"/>
              </w:rPr>
              <w:t>1</w:t>
            </w:r>
            <w:r w:rsidR="009F1F30" w:rsidRPr="00D774CC">
              <w:rPr>
                <w:rFonts w:cstheme="minorHAnsi"/>
                <w:b/>
                <w:sz w:val="13"/>
                <w:szCs w:val="13"/>
              </w:rPr>
              <w:t>3</w:t>
            </w:r>
            <w:r w:rsidR="00F41A96" w:rsidRPr="00D774CC">
              <w:rPr>
                <w:rFonts w:cstheme="minorHAnsi"/>
                <w:b/>
                <w:sz w:val="13"/>
                <w:szCs w:val="13"/>
              </w:rPr>
              <w:t>2</w:t>
            </w:r>
          </w:p>
        </w:tc>
      </w:tr>
      <w:tr w:rsidR="0011575F" w14:paraId="2DB44DE3" w14:textId="77777777" w:rsidTr="0011575F">
        <w:trPr>
          <w:trHeight w:val="201"/>
        </w:trPr>
        <w:tc>
          <w:tcPr>
            <w:tcW w:w="998" w:type="dxa"/>
            <w:tcBorders>
              <w:left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4263F4F" w14:textId="77777777" w:rsidR="0011575F" w:rsidRPr="00C75E15" w:rsidRDefault="0011575F" w:rsidP="00634F12">
            <w:pPr>
              <w:rPr>
                <w:rFonts w:cstheme="minorHAnsi"/>
                <w:sz w:val="14"/>
                <w:szCs w:val="18"/>
              </w:rPr>
            </w:pPr>
            <w:r w:rsidRPr="00C75E15">
              <w:rPr>
                <w:rFonts w:cstheme="minorHAnsi"/>
                <w:sz w:val="14"/>
                <w:szCs w:val="18"/>
              </w:rPr>
              <w:t>Ahorro Bruto</w:t>
            </w:r>
          </w:p>
        </w:tc>
        <w:tc>
          <w:tcPr>
            <w:tcW w:w="1006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45DFD9" w14:textId="07CAF390" w:rsidR="0011575F" w:rsidRPr="00D774CC" w:rsidRDefault="0011575F" w:rsidP="00F41A96">
            <w:pPr>
              <w:ind w:right="57"/>
              <w:jc w:val="right"/>
              <w:rPr>
                <w:rFonts w:cstheme="minorHAnsi"/>
                <w:sz w:val="14"/>
                <w:szCs w:val="14"/>
              </w:rPr>
            </w:pPr>
            <w:r w:rsidRPr="00D774CC">
              <w:rPr>
                <w:rFonts w:cstheme="minorHAnsi"/>
                <w:sz w:val="14"/>
                <w:szCs w:val="14"/>
              </w:rPr>
              <w:t>5,</w:t>
            </w:r>
            <w:r w:rsidR="00F41A96" w:rsidRPr="00D774CC">
              <w:rPr>
                <w:rFonts w:cstheme="minorHAnsi"/>
                <w:sz w:val="14"/>
                <w:szCs w:val="14"/>
              </w:rPr>
              <w:t>130</w:t>
            </w:r>
            <w:r w:rsidRPr="00D774CC">
              <w:rPr>
                <w:rFonts w:cstheme="minorHAnsi"/>
                <w:sz w:val="14"/>
                <w:szCs w:val="14"/>
              </w:rPr>
              <w:t>,</w:t>
            </w:r>
            <w:r w:rsidR="00F41A96" w:rsidRPr="00D774CC">
              <w:rPr>
                <w:rFonts w:cstheme="minorHAnsi"/>
                <w:sz w:val="14"/>
                <w:szCs w:val="14"/>
              </w:rPr>
              <w:t>578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95B86" w14:textId="3CB91576" w:rsidR="0011575F" w:rsidRPr="00D774CC" w:rsidRDefault="0011575F" w:rsidP="00F41A96">
            <w:pPr>
              <w:jc w:val="right"/>
              <w:rPr>
                <w:rFonts w:cstheme="minorHAnsi"/>
                <w:sz w:val="14"/>
                <w:szCs w:val="14"/>
              </w:rPr>
            </w:pPr>
            <w:r w:rsidRPr="00D774CC">
              <w:rPr>
                <w:rFonts w:cstheme="minorHAnsi"/>
                <w:sz w:val="14"/>
                <w:szCs w:val="14"/>
              </w:rPr>
              <w:t>5,0</w:t>
            </w:r>
            <w:r w:rsidR="00F41A96" w:rsidRPr="00D774CC">
              <w:rPr>
                <w:rFonts w:cstheme="minorHAnsi"/>
                <w:sz w:val="14"/>
                <w:szCs w:val="14"/>
              </w:rPr>
              <w:t>84</w:t>
            </w:r>
            <w:r w:rsidRPr="00D774CC">
              <w:rPr>
                <w:rFonts w:cstheme="minorHAnsi"/>
                <w:sz w:val="14"/>
                <w:szCs w:val="14"/>
              </w:rPr>
              <w:t>,1</w:t>
            </w:r>
            <w:r w:rsidR="00F41A96" w:rsidRPr="00D774CC">
              <w:rPr>
                <w:rFonts w:cstheme="minorHAnsi"/>
                <w:sz w:val="14"/>
                <w:szCs w:val="14"/>
              </w:rPr>
              <w:t>45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7AA2B4" w14:textId="3532DC85" w:rsidR="0011575F" w:rsidRPr="00D774CC" w:rsidRDefault="0011575F" w:rsidP="00F41A96">
            <w:pPr>
              <w:jc w:val="right"/>
              <w:rPr>
                <w:rFonts w:cstheme="minorHAnsi"/>
                <w:sz w:val="14"/>
                <w:szCs w:val="14"/>
              </w:rPr>
            </w:pPr>
            <w:r w:rsidRPr="00D774CC">
              <w:rPr>
                <w:rFonts w:cstheme="minorHAnsi"/>
                <w:sz w:val="14"/>
                <w:szCs w:val="14"/>
              </w:rPr>
              <w:t>5,081</w:t>
            </w:r>
            <w:r w:rsidR="00F41A96" w:rsidRPr="00D774CC">
              <w:rPr>
                <w:rFonts w:cstheme="minorHAnsi"/>
                <w:sz w:val="14"/>
                <w:szCs w:val="14"/>
              </w:rPr>
              <w:t>,61</w:t>
            </w:r>
            <w:r w:rsidRPr="00D774CC">
              <w:rPr>
                <w:rFonts w:cstheme="minorHAnsi"/>
                <w:sz w:val="14"/>
                <w:szCs w:val="14"/>
              </w:rPr>
              <w:t>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7D291FC2" w14:textId="147FB997" w:rsidR="0011575F" w:rsidRPr="00D774CC" w:rsidRDefault="0011575F" w:rsidP="00F41A96">
            <w:pPr>
              <w:ind w:right="57"/>
              <w:jc w:val="right"/>
              <w:rPr>
                <w:rFonts w:cstheme="minorHAnsi"/>
                <w:sz w:val="14"/>
                <w:szCs w:val="14"/>
              </w:rPr>
            </w:pPr>
            <w:r w:rsidRPr="00D774CC">
              <w:rPr>
                <w:rFonts w:cstheme="minorHAnsi"/>
                <w:sz w:val="14"/>
                <w:szCs w:val="14"/>
              </w:rPr>
              <w:t>5,</w:t>
            </w:r>
            <w:r w:rsidR="00F41A96" w:rsidRPr="00D774CC">
              <w:rPr>
                <w:rFonts w:cstheme="minorHAnsi"/>
                <w:sz w:val="14"/>
                <w:szCs w:val="14"/>
              </w:rPr>
              <w:t>188</w:t>
            </w:r>
            <w:r w:rsidRPr="00D774CC">
              <w:rPr>
                <w:rFonts w:cstheme="minorHAnsi"/>
                <w:sz w:val="14"/>
                <w:szCs w:val="14"/>
              </w:rPr>
              <w:t>,</w:t>
            </w:r>
            <w:r w:rsidR="00F41A96" w:rsidRPr="00D774CC">
              <w:rPr>
                <w:rFonts w:cstheme="minorHAnsi"/>
                <w:sz w:val="14"/>
                <w:szCs w:val="14"/>
              </w:rPr>
              <w:t>557</w:t>
            </w:r>
          </w:p>
        </w:tc>
      </w:tr>
      <w:tr w:rsidR="0011575F" w14:paraId="5BB0E95A" w14:textId="77777777" w:rsidTr="0011575F">
        <w:trPr>
          <w:trHeight w:val="201"/>
        </w:trPr>
        <w:tc>
          <w:tcPr>
            <w:tcW w:w="998" w:type="dxa"/>
            <w:tcBorders>
              <w:left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91CD368" w14:textId="77777777" w:rsidR="0011575F" w:rsidRPr="00C75E15" w:rsidRDefault="0011575F" w:rsidP="00634F12">
            <w:pPr>
              <w:rPr>
                <w:rFonts w:cstheme="minorHAnsi"/>
                <w:sz w:val="14"/>
                <w:szCs w:val="18"/>
              </w:rPr>
            </w:pPr>
            <w:r>
              <w:rPr>
                <w:rFonts w:cstheme="minorHAnsi"/>
                <w:sz w:val="14"/>
                <w:szCs w:val="18"/>
              </w:rPr>
              <w:t>Economía Interna</w:t>
            </w:r>
          </w:p>
        </w:tc>
        <w:tc>
          <w:tcPr>
            <w:tcW w:w="1006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C1D553" w14:textId="5D883753" w:rsidR="0011575F" w:rsidRPr="00D774CC" w:rsidRDefault="00F41A96" w:rsidP="00F41A96">
            <w:pPr>
              <w:ind w:right="57"/>
              <w:jc w:val="right"/>
              <w:rPr>
                <w:rFonts w:cstheme="minorHAnsi"/>
                <w:sz w:val="14"/>
                <w:szCs w:val="14"/>
              </w:rPr>
            </w:pPr>
            <w:r w:rsidRPr="00D774CC">
              <w:rPr>
                <w:rFonts w:cstheme="minorHAnsi"/>
                <w:sz w:val="14"/>
                <w:szCs w:val="14"/>
              </w:rPr>
              <w:t>5</w:t>
            </w:r>
            <w:r w:rsidR="0011575F" w:rsidRPr="00D774CC">
              <w:rPr>
                <w:rFonts w:cstheme="minorHAnsi"/>
                <w:sz w:val="14"/>
                <w:szCs w:val="14"/>
              </w:rPr>
              <w:t>,</w:t>
            </w:r>
            <w:r w:rsidRPr="00D774CC">
              <w:rPr>
                <w:rFonts w:cstheme="minorHAnsi"/>
                <w:sz w:val="14"/>
                <w:szCs w:val="14"/>
              </w:rPr>
              <w:t>444</w:t>
            </w:r>
            <w:r w:rsidR="0011575F" w:rsidRPr="00D774CC">
              <w:rPr>
                <w:rFonts w:cstheme="minorHAnsi"/>
                <w:sz w:val="14"/>
                <w:szCs w:val="14"/>
              </w:rPr>
              <w:t>,</w:t>
            </w:r>
            <w:r w:rsidRPr="00D774CC">
              <w:rPr>
                <w:rFonts w:cstheme="minorHAnsi"/>
                <w:sz w:val="14"/>
                <w:szCs w:val="14"/>
              </w:rPr>
              <w:t>962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218C20" w14:textId="26C40DF8" w:rsidR="0011575F" w:rsidRPr="00D774CC" w:rsidRDefault="0011575F" w:rsidP="00F41A96">
            <w:pPr>
              <w:jc w:val="right"/>
              <w:rPr>
                <w:rFonts w:cstheme="minorHAnsi"/>
                <w:sz w:val="14"/>
                <w:szCs w:val="14"/>
              </w:rPr>
            </w:pPr>
            <w:r w:rsidRPr="00D774CC">
              <w:rPr>
                <w:rFonts w:cstheme="minorHAnsi"/>
                <w:sz w:val="14"/>
                <w:szCs w:val="14"/>
              </w:rPr>
              <w:t>5,</w:t>
            </w:r>
            <w:r w:rsidR="00F41A96" w:rsidRPr="00D774CC">
              <w:rPr>
                <w:rFonts w:cstheme="minorHAnsi"/>
                <w:sz w:val="14"/>
                <w:szCs w:val="14"/>
              </w:rPr>
              <w:t>1</w:t>
            </w:r>
            <w:r w:rsidRPr="00D774CC">
              <w:rPr>
                <w:rFonts w:cstheme="minorHAnsi"/>
                <w:sz w:val="14"/>
                <w:szCs w:val="14"/>
              </w:rPr>
              <w:t>4</w:t>
            </w:r>
            <w:r w:rsidR="00F41A96" w:rsidRPr="00D774CC">
              <w:rPr>
                <w:rFonts w:cstheme="minorHAnsi"/>
                <w:sz w:val="14"/>
                <w:szCs w:val="14"/>
              </w:rPr>
              <w:t>6</w:t>
            </w:r>
            <w:r w:rsidRPr="00D774CC">
              <w:rPr>
                <w:rFonts w:cstheme="minorHAnsi"/>
                <w:sz w:val="14"/>
                <w:szCs w:val="14"/>
              </w:rPr>
              <w:t>,</w:t>
            </w:r>
            <w:r w:rsidR="00F41A96" w:rsidRPr="00D774CC">
              <w:rPr>
                <w:rFonts w:cstheme="minorHAnsi"/>
                <w:sz w:val="14"/>
                <w:szCs w:val="14"/>
              </w:rPr>
              <w:t>82</w:t>
            </w:r>
            <w:r w:rsidRPr="00D774CC">
              <w:rPr>
                <w:rFonts w:cstheme="minorHAnsi"/>
                <w:sz w:val="14"/>
                <w:szCs w:val="14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DF97D5" w14:textId="69E78FC7" w:rsidR="0011575F" w:rsidRPr="00D774CC" w:rsidRDefault="0011575F" w:rsidP="00F41A96">
            <w:pPr>
              <w:spacing w:before="80"/>
              <w:jc w:val="right"/>
              <w:rPr>
                <w:rFonts w:cstheme="minorHAnsi"/>
                <w:sz w:val="14"/>
                <w:szCs w:val="14"/>
              </w:rPr>
            </w:pPr>
            <w:r w:rsidRPr="00D774CC">
              <w:rPr>
                <w:rFonts w:cstheme="minorHAnsi"/>
                <w:sz w:val="14"/>
                <w:szCs w:val="14"/>
              </w:rPr>
              <w:t>5,27</w:t>
            </w:r>
            <w:r w:rsidR="00F41A96" w:rsidRPr="00D774CC">
              <w:rPr>
                <w:rFonts w:cstheme="minorHAnsi"/>
                <w:sz w:val="14"/>
                <w:szCs w:val="14"/>
              </w:rPr>
              <w:t>1,671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2209593B" w14:textId="64F5E87E" w:rsidR="0011575F" w:rsidRPr="00D774CC" w:rsidRDefault="0011575F" w:rsidP="00F41A96">
            <w:pPr>
              <w:ind w:right="57"/>
              <w:jc w:val="right"/>
              <w:rPr>
                <w:rFonts w:cstheme="minorHAnsi"/>
                <w:sz w:val="14"/>
                <w:szCs w:val="14"/>
              </w:rPr>
            </w:pPr>
            <w:r w:rsidRPr="00D774CC">
              <w:rPr>
                <w:rFonts w:cstheme="minorHAnsi"/>
                <w:sz w:val="14"/>
                <w:szCs w:val="14"/>
              </w:rPr>
              <w:t>5,</w:t>
            </w:r>
            <w:r w:rsidR="009F1F30" w:rsidRPr="00D774CC">
              <w:rPr>
                <w:rFonts w:cstheme="minorHAnsi"/>
                <w:sz w:val="14"/>
                <w:szCs w:val="14"/>
              </w:rPr>
              <w:t>1</w:t>
            </w:r>
            <w:r w:rsidR="00F41A96" w:rsidRPr="00D774CC">
              <w:rPr>
                <w:rFonts w:cstheme="minorHAnsi"/>
                <w:sz w:val="14"/>
                <w:szCs w:val="14"/>
              </w:rPr>
              <w:t>43</w:t>
            </w:r>
            <w:r w:rsidRPr="00D774CC">
              <w:rPr>
                <w:rFonts w:cstheme="minorHAnsi"/>
                <w:sz w:val="14"/>
                <w:szCs w:val="14"/>
              </w:rPr>
              <w:t>,</w:t>
            </w:r>
            <w:r w:rsidR="00F41A96" w:rsidRPr="00D774CC">
              <w:rPr>
                <w:rFonts w:cstheme="minorHAnsi"/>
                <w:sz w:val="14"/>
                <w:szCs w:val="14"/>
              </w:rPr>
              <w:t>735</w:t>
            </w:r>
          </w:p>
        </w:tc>
      </w:tr>
      <w:tr w:rsidR="0011575F" w14:paraId="7B52AC7C" w14:textId="77777777" w:rsidTr="0011575F">
        <w:trPr>
          <w:trHeight w:val="201"/>
        </w:trPr>
        <w:tc>
          <w:tcPr>
            <w:tcW w:w="99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4FD69" w14:textId="77777777" w:rsidR="0011575F" w:rsidRPr="00C75E15" w:rsidRDefault="0011575F" w:rsidP="00634F12">
            <w:pPr>
              <w:rPr>
                <w:rFonts w:cstheme="minorHAnsi"/>
                <w:sz w:val="14"/>
                <w:szCs w:val="18"/>
              </w:rPr>
            </w:pPr>
            <w:r>
              <w:rPr>
                <w:rFonts w:cstheme="minorHAnsi"/>
                <w:sz w:val="14"/>
                <w:szCs w:val="18"/>
              </w:rPr>
              <w:t>Resto del Mundo</w:t>
            </w:r>
          </w:p>
        </w:tc>
        <w:tc>
          <w:tcPr>
            <w:tcW w:w="10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D80259" w14:textId="35E17DE7" w:rsidR="0011575F" w:rsidRPr="00D774CC" w:rsidRDefault="00F41A96" w:rsidP="00F41A96">
            <w:pPr>
              <w:ind w:right="57"/>
              <w:jc w:val="right"/>
              <w:rPr>
                <w:rFonts w:cstheme="minorHAnsi"/>
                <w:sz w:val="14"/>
                <w:szCs w:val="14"/>
              </w:rPr>
            </w:pPr>
            <w:r w:rsidRPr="00D774CC">
              <w:rPr>
                <w:rFonts w:cstheme="minorHAnsi"/>
                <w:sz w:val="14"/>
                <w:szCs w:val="14"/>
              </w:rPr>
              <w:t>(-)  314</w:t>
            </w:r>
            <w:r w:rsidR="0011575F" w:rsidRPr="00D774CC">
              <w:rPr>
                <w:rFonts w:cstheme="minorHAnsi"/>
                <w:sz w:val="14"/>
                <w:szCs w:val="14"/>
              </w:rPr>
              <w:t>,</w:t>
            </w:r>
            <w:r w:rsidRPr="00D774CC">
              <w:rPr>
                <w:rFonts w:cstheme="minorHAnsi"/>
                <w:sz w:val="14"/>
                <w:szCs w:val="14"/>
              </w:rPr>
              <w:t>384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DED0C6" w14:textId="16F78D11" w:rsidR="0011575F" w:rsidRPr="00D774CC" w:rsidRDefault="0011575F" w:rsidP="00F41A96">
            <w:pPr>
              <w:ind w:left="-46"/>
              <w:jc w:val="right"/>
              <w:rPr>
                <w:rFonts w:cstheme="minorHAnsi"/>
                <w:sz w:val="14"/>
                <w:szCs w:val="14"/>
              </w:rPr>
            </w:pPr>
            <w:r w:rsidRPr="00D774CC">
              <w:rPr>
                <w:rFonts w:cstheme="minorHAnsi"/>
                <w:sz w:val="14"/>
                <w:szCs w:val="14"/>
              </w:rPr>
              <w:t xml:space="preserve">(-)  </w:t>
            </w:r>
            <w:r w:rsidR="00F41A96" w:rsidRPr="00D774CC">
              <w:rPr>
                <w:rFonts w:cstheme="minorHAnsi"/>
                <w:sz w:val="14"/>
                <w:szCs w:val="14"/>
              </w:rPr>
              <w:t>62</w:t>
            </w:r>
            <w:r w:rsidRPr="00D774CC">
              <w:rPr>
                <w:rFonts w:cstheme="minorHAnsi"/>
                <w:sz w:val="14"/>
                <w:szCs w:val="14"/>
              </w:rPr>
              <w:t>,</w:t>
            </w:r>
            <w:r w:rsidR="00F41A96" w:rsidRPr="00D774CC">
              <w:rPr>
                <w:rFonts w:cstheme="minorHAnsi"/>
                <w:sz w:val="14"/>
                <w:szCs w:val="14"/>
              </w:rPr>
              <w:t>675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D313B1" w14:textId="2295728F" w:rsidR="0011575F" w:rsidRPr="00D774CC" w:rsidRDefault="0011575F" w:rsidP="00F41A96">
            <w:pPr>
              <w:spacing w:before="80"/>
              <w:ind w:left="-45"/>
              <w:jc w:val="right"/>
              <w:rPr>
                <w:rFonts w:cstheme="minorHAnsi"/>
                <w:sz w:val="14"/>
                <w:szCs w:val="14"/>
              </w:rPr>
            </w:pPr>
            <w:r w:rsidRPr="00D774CC">
              <w:rPr>
                <w:rFonts w:cstheme="minorHAnsi"/>
                <w:sz w:val="14"/>
                <w:szCs w:val="14"/>
              </w:rPr>
              <w:t>(-)</w:t>
            </w:r>
            <w:r w:rsidR="00523FE4" w:rsidRPr="00D774CC">
              <w:rPr>
                <w:rFonts w:cstheme="minorHAnsi"/>
                <w:sz w:val="14"/>
                <w:szCs w:val="14"/>
              </w:rPr>
              <w:t xml:space="preserve">  </w:t>
            </w:r>
            <w:r w:rsidRPr="00D774CC">
              <w:rPr>
                <w:rFonts w:cstheme="minorHAnsi"/>
                <w:sz w:val="14"/>
                <w:szCs w:val="14"/>
              </w:rPr>
              <w:t>1</w:t>
            </w:r>
            <w:r w:rsidR="00F41A96" w:rsidRPr="00D774CC">
              <w:rPr>
                <w:rFonts w:cstheme="minorHAnsi"/>
                <w:sz w:val="14"/>
                <w:szCs w:val="14"/>
              </w:rPr>
              <w:t>90</w:t>
            </w:r>
            <w:r w:rsidRPr="00D774CC">
              <w:rPr>
                <w:rFonts w:cstheme="minorHAnsi"/>
                <w:sz w:val="14"/>
                <w:szCs w:val="14"/>
              </w:rPr>
              <w:t>,</w:t>
            </w:r>
            <w:r w:rsidR="00F41A96" w:rsidRPr="00D774CC">
              <w:rPr>
                <w:rFonts w:cstheme="minorHAnsi"/>
                <w:sz w:val="14"/>
                <w:szCs w:val="14"/>
              </w:rPr>
              <w:t>0</w:t>
            </w:r>
            <w:r w:rsidRPr="00D774CC">
              <w:rPr>
                <w:rFonts w:cstheme="minorHAnsi"/>
                <w:sz w:val="14"/>
                <w:szCs w:val="14"/>
              </w:rPr>
              <w:t>5</w:t>
            </w:r>
            <w:r w:rsidR="00F41A96" w:rsidRPr="00D774CC">
              <w:rPr>
                <w:rFonts w:cstheme="minorHAnsi"/>
                <w:sz w:val="14"/>
                <w:szCs w:val="1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36FBF780" w14:textId="2223DC43" w:rsidR="0011575F" w:rsidRPr="00D774CC" w:rsidRDefault="00F41A96" w:rsidP="00F41A96">
            <w:pPr>
              <w:ind w:right="57"/>
              <w:jc w:val="right"/>
              <w:rPr>
                <w:rFonts w:cstheme="minorHAnsi"/>
                <w:sz w:val="14"/>
                <w:szCs w:val="14"/>
              </w:rPr>
            </w:pPr>
            <w:r w:rsidRPr="00D774CC">
              <w:rPr>
                <w:rFonts w:cstheme="minorHAnsi"/>
                <w:sz w:val="14"/>
                <w:szCs w:val="14"/>
              </w:rPr>
              <w:t>44</w:t>
            </w:r>
            <w:r w:rsidR="009F1F30" w:rsidRPr="00D774CC">
              <w:rPr>
                <w:rFonts w:cstheme="minorHAnsi"/>
                <w:sz w:val="14"/>
                <w:szCs w:val="14"/>
              </w:rPr>
              <w:t>,8</w:t>
            </w:r>
            <w:r w:rsidRPr="00D774CC">
              <w:rPr>
                <w:rFonts w:cstheme="minorHAnsi"/>
                <w:sz w:val="14"/>
                <w:szCs w:val="14"/>
              </w:rPr>
              <w:t>22</w:t>
            </w:r>
          </w:p>
        </w:tc>
      </w:tr>
      <w:tr w:rsidR="00696B53" w14:paraId="0E335654" w14:textId="77777777" w:rsidTr="00A06684">
        <w:trPr>
          <w:trHeight w:val="201"/>
        </w:trPr>
        <w:tc>
          <w:tcPr>
            <w:tcW w:w="99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6E3BC" w:themeFill="accent3" w:themeFillTint="66"/>
            <w:vAlign w:val="center"/>
          </w:tcPr>
          <w:p w14:paraId="2DAFF9B9" w14:textId="77777777" w:rsidR="00696B53" w:rsidRPr="00C75E15" w:rsidRDefault="00696B53" w:rsidP="0055424C">
            <w:pPr>
              <w:rPr>
                <w:rFonts w:cstheme="minorHAnsi"/>
                <w:sz w:val="14"/>
                <w:szCs w:val="18"/>
              </w:rPr>
            </w:pPr>
            <w:r>
              <w:rPr>
                <w:rFonts w:cstheme="minorHAnsi"/>
                <w:sz w:val="14"/>
                <w:szCs w:val="18"/>
              </w:rPr>
              <w:t>Producto Interno Bruto</w:t>
            </w:r>
          </w:p>
        </w:tc>
        <w:tc>
          <w:tcPr>
            <w:tcW w:w="3841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6E3BC" w:themeFill="accent3" w:themeFillTint="66"/>
            <w:vAlign w:val="center"/>
          </w:tcPr>
          <w:p w14:paraId="530BFE9B" w14:textId="23A722E0" w:rsidR="00696B53" w:rsidRPr="00CA2ECE" w:rsidRDefault="00696B53" w:rsidP="0055424C">
            <w:pPr>
              <w:ind w:right="113"/>
              <w:jc w:val="center"/>
              <w:rPr>
                <w:rFonts w:cstheme="minorHAnsi"/>
                <w:sz w:val="14"/>
                <w:szCs w:val="18"/>
              </w:rPr>
            </w:pPr>
            <w:r w:rsidRPr="00CA2ECE">
              <w:rPr>
                <w:rFonts w:cstheme="minorHAnsi"/>
                <w:sz w:val="14"/>
                <w:szCs w:val="18"/>
              </w:rPr>
              <w:t>Porcentaje del PIB</w:t>
            </w:r>
          </w:p>
        </w:tc>
      </w:tr>
      <w:tr w:rsidR="0011575F" w14:paraId="152529A7" w14:textId="77777777" w:rsidTr="0011575F">
        <w:trPr>
          <w:trHeight w:val="201"/>
        </w:trPr>
        <w:tc>
          <w:tcPr>
            <w:tcW w:w="998" w:type="dxa"/>
            <w:vMerge/>
            <w:tcBorders>
              <w:left w:val="double" w:sz="4" w:space="0" w:color="auto"/>
            </w:tcBorders>
            <w:shd w:val="clear" w:color="auto" w:fill="D6E3BC" w:themeFill="accent3" w:themeFillTint="66"/>
            <w:vAlign w:val="center"/>
          </w:tcPr>
          <w:p w14:paraId="62839C12" w14:textId="77777777" w:rsidR="0011575F" w:rsidRPr="00C75E15" w:rsidRDefault="0011575F" w:rsidP="00634F12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1006" w:type="dxa"/>
            <w:tcBorders>
              <w:left w:val="doub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773B49F9" w14:textId="77777777" w:rsidR="0011575F" w:rsidRPr="00CA2ECE" w:rsidRDefault="0011575F" w:rsidP="00634F12">
            <w:pPr>
              <w:ind w:left="-136" w:right="170"/>
              <w:jc w:val="right"/>
              <w:rPr>
                <w:rFonts w:cstheme="minorHAnsi"/>
                <w:b/>
                <w:sz w:val="14"/>
                <w:szCs w:val="18"/>
              </w:rPr>
            </w:pPr>
            <w:r w:rsidRPr="00CA2ECE">
              <w:rPr>
                <w:rFonts w:cstheme="minorHAnsi"/>
                <w:b/>
                <w:sz w:val="14"/>
                <w:szCs w:val="18"/>
              </w:rPr>
              <w:t>100.0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3891DDD4" w14:textId="77777777" w:rsidR="0011575F" w:rsidRPr="00CA2ECE" w:rsidRDefault="0011575F" w:rsidP="00634F12">
            <w:pPr>
              <w:ind w:left="-136" w:right="170"/>
              <w:jc w:val="right"/>
              <w:rPr>
                <w:rFonts w:cstheme="minorHAnsi"/>
                <w:b/>
                <w:sz w:val="14"/>
                <w:szCs w:val="18"/>
              </w:rPr>
            </w:pPr>
            <w:r w:rsidRPr="00CA2ECE">
              <w:rPr>
                <w:rFonts w:cstheme="minorHAnsi"/>
                <w:b/>
                <w:sz w:val="14"/>
                <w:szCs w:val="18"/>
              </w:rPr>
              <w:t>100.0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4E6A1D2A" w14:textId="3E61A412" w:rsidR="0011575F" w:rsidRPr="00CA2ECE" w:rsidRDefault="0011575F" w:rsidP="00634F12">
            <w:pPr>
              <w:ind w:left="-136" w:right="170"/>
              <w:jc w:val="right"/>
              <w:rPr>
                <w:rFonts w:cstheme="minorHAnsi"/>
                <w:b/>
                <w:sz w:val="14"/>
                <w:szCs w:val="18"/>
              </w:rPr>
            </w:pPr>
            <w:r w:rsidRPr="00CA2ECE">
              <w:rPr>
                <w:rFonts w:cstheme="minorHAnsi"/>
                <w:b/>
                <w:sz w:val="14"/>
                <w:szCs w:val="18"/>
              </w:rPr>
              <w:t>100.0</w:t>
            </w:r>
          </w:p>
        </w:tc>
        <w:tc>
          <w:tcPr>
            <w:tcW w:w="992" w:type="dxa"/>
            <w:tcBorders>
              <w:left w:val="single" w:sz="4" w:space="0" w:color="auto"/>
              <w:right w:val="double" w:sz="4" w:space="0" w:color="auto"/>
            </w:tcBorders>
            <w:shd w:val="clear" w:color="auto" w:fill="D6E3BC" w:themeFill="accent3" w:themeFillTint="66"/>
            <w:vAlign w:val="center"/>
          </w:tcPr>
          <w:p w14:paraId="4EF7D7F8" w14:textId="1E6CC910" w:rsidR="0011575F" w:rsidRPr="00CA2ECE" w:rsidRDefault="0011575F" w:rsidP="00634F12">
            <w:pPr>
              <w:ind w:left="-136" w:right="170"/>
              <w:jc w:val="right"/>
              <w:rPr>
                <w:rFonts w:cstheme="minorHAnsi"/>
                <w:b/>
                <w:sz w:val="14"/>
                <w:szCs w:val="18"/>
              </w:rPr>
            </w:pPr>
            <w:r w:rsidRPr="00CA2ECE">
              <w:rPr>
                <w:rFonts w:cstheme="minorHAnsi"/>
                <w:b/>
                <w:sz w:val="14"/>
                <w:szCs w:val="18"/>
              </w:rPr>
              <w:t>100.0</w:t>
            </w:r>
          </w:p>
        </w:tc>
      </w:tr>
      <w:tr w:rsidR="0011575F" w14:paraId="36C91004" w14:textId="77777777" w:rsidTr="0011575F">
        <w:trPr>
          <w:trHeight w:val="201"/>
        </w:trPr>
        <w:tc>
          <w:tcPr>
            <w:tcW w:w="998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DBB9600" w14:textId="77777777" w:rsidR="0011575F" w:rsidRPr="00C75E15" w:rsidRDefault="0011575F" w:rsidP="00634F12">
            <w:pPr>
              <w:rPr>
                <w:rFonts w:cstheme="minorHAnsi"/>
                <w:sz w:val="14"/>
                <w:szCs w:val="18"/>
              </w:rPr>
            </w:pPr>
            <w:r w:rsidRPr="00C75E15">
              <w:rPr>
                <w:rFonts w:cstheme="minorHAnsi"/>
                <w:sz w:val="14"/>
                <w:szCs w:val="18"/>
              </w:rPr>
              <w:t>Ahorro Bruto</w:t>
            </w:r>
          </w:p>
        </w:tc>
        <w:tc>
          <w:tcPr>
            <w:tcW w:w="1006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D0696" w14:textId="6E1B2EA1" w:rsidR="0011575F" w:rsidRPr="00CA2ECE" w:rsidRDefault="0011575F" w:rsidP="008979C3">
            <w:pPr>
              <w:ind w:left="-136" w:right="170"/>
              <w:jc w:val="right"/>
              <w:rPr>
                <w:rFonts w:cstheme="minorHAnsi"/>
                <w:sz w:val="14"/>
                <w:szCs w:val="18"/>
              </w:rPr>
            </w:pPr>
            <w:r w:rsidRPr="00CA2ECE">
              <w:rPr>
                <w:rFonts w:cstheme="minorHAnsi"/>
                <w:sz w:val="14"/>
                <w:szCs w:val="18"/>
              </w:rPr>
              <w:t>2</w:t>
            </w:r>
            <w:r w:rsidR="008979C3">
              <w:rPr>
                <w:rFonts w:cstheme="minorHAnsi"/>
                <w:sz w:val="14"/>
                <w:szCs w:val="18"/>
              </w:rPr>
              <w:t>1</w:t>
            </w:r>
            <w:r w:rsidRPr="00CA2ECE">
              <w:rPr>
                <w:rFonts w:cstheme="minorHAnsi"/>
                <w:sz w:val="14"/>
                <w:szCs w:val="18"/>
              </w:rPr>
              <w:t>.</w:t>
            </w:r>
            <w:r w:rsidR="008979C3">
              <w:rPr>
                <w:rFonts w:cstheme="minorHAnsi"/>
                <w:sz w:val="14"/>
                <w:szCs w:val="18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027BE3" w14:textId="54F59AA4" w:rsidR="0011575F" w:rsidRPr="00CA2ECE" w:rsidRDefault="0011575F" w:rsidP="00B71CB7">
            <w:pPr>
              <w:ind w:left="-136" w:right="170"/>
              <w:jc w:val="right"/>
              <w:rPr>
                <w:rFonts w:cstheme="minorHAnsi"/>
                <w:sz w:val="14"/>
                <w:szCs w:val="18"/>
              </w:rPr>
            </w:pPr>
            <w:r w:rsidRPr="00CA2ECE">
              <w:rPr>
                <w:rFonts w:cstheme="minorHAnsi"/>
                <w:sz w:val="14"/>
                <w:szCs w:val="18"/>
              </w:rPr>
              <w:t>21.</w:t>
            </w:r>
            <w:r w:rsidR="00B71CB7">
              <w:rPr>
                <w:rFonts w:cstheme="minorHAnsi"/>
                <w:sz w:val="14"/>
                <w:szCs w:val="18"/>
              </w:rPr>
              <w:t>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5498C29D" w14:textId="081F9F97" w:rsidR="0011575F" w:rsidRPr="00CA2ECE" w:rsidRDefault="0011575F" w:rsidP="00B71CB7">
            <w:pPr>
              <w:ind w:left="-136" w:right="170"/>
              <w:jc w:val="right"/>
              <w:rPr>
                <w:rFonts w:cstheme="minorHAnsi"/>
                <w:sz w:val="14"/>
                <w:szCs w:val="18"/>
              </w:rPr>
            </w:pPr>
            <w:r w:rsidRPr="00CA2ECE">
              <w:rPr>
                <w:rFonts w:cstheme="minorHAnsi"/>
                <w:sz w:val="14"/>
                <w:szCs w:val="18"/>
              </w:rPr>
              <w:t>2</w:t>
            </w:r>
            <w:r w:rsidR="00B71CB7">
              <w:rPr>
                <w:rFonts w:cstheme="minorHAnsi"/>
                <w:sz w:val="14"/>
                <w:szCs w:val="18"/>
              </w:rPr>
              <w:t>0</w:t>
            </w:r>
            <w:r w:rsidRPr="00CA2ECE">
              <w:rPr>
                <w:rFonts w:cstheme="minorHAnsi"/>
                <w:sz w:val="14"/>
                <w:szCs w:val="18"/>
              </w:rPr>
              <w:t>.</w:t>
            </w:r>
            <w:r w:rsidR="00B71CB7">
              <w:rPr>
                <w:rFonts w:cstheme="minorHAnsi"/>
                <w:sz w:val="14"/>
                <w:szCs w:val="18"/>
              </w:rPr>
              <w:t>6</w:t>
            </w:r>
          </w:p>
        </w:tc>
        <w:tc>
          <w:tcPr>
            <w:tcW w:w="99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2C5793AD" w14:textId="10BD49B3" w:rsidR="0011575F" w:rsidRPr="00CA2ECE" w:rsidRDefault="0011575F" w:rsidP="00B71CB7">
            <w:pPr>
              <w:ind w:left="-136" w:right="170"/>
              <w:jc w:val="right"/>
              <w:rPr>
                <w:rFonts w:cstheme="minorHAnsi"/>
                <w:sz w:val="14"/>
                <w:szCs w:val="18"/>
              </w:rPr>
            </w:pPr>
            <w:r w:rsidRPr="00CA2ECE">
              <w:rPr>
                <w:rFonts w:cstheme="minorHAnsi"/>
                <w:sz w:val="14"/>
                <w:szCs w:val="18"/>
              </w:rPr>
              <w:t>2</w:t>
            </w:r>
            <w:r w:rsidR="009F1F30" w:rsidRPr="00CA2ECE">
              <w:rPr>
                <w:rFonts w:cstheme="minorHAnsi"/>
                <w:sz w:val="14"/>
                <w:szCs w:val="18"/>
              </w:rPr>
              <w:t>1</w:t>
            </w:r>
            <w:r w:rsidRPr="00CA2ECE">
              <w:rPr>
                <w:rFonts w:cstheme="minorHAnsi"/>
                <w:sz w:val="14"/>
                <w:szCs w:val="18"/>
              </w:rPr>
              <w:t>.</w:t>
            </w:r>
            <w:r w:rsidR="00B71CB7">
              <w:rPr>
                <w:rFonts w:cstheme="minorHAnsi"/>
                <w:sz w:val="14"/>
                <w:szCs w:val="18"/>
              </w:rPr>
              <w:t>4</w:t>
            </w:r>
          </w:p>
        </w:tc>
      </w:tr>
      <w:tr w:rsidR="0011575F" w14:paraId="594ABF4B" w14:textId="77777777" w:rsidTr="00523FE4">
        <w:tc>
          <w:tcPr>
            <w:tcW w:w="998" w:type="dxa"/>
            <w:tcBorders>
              <w:left w:val="double" w:sz="4" w:space="0" w:color="auto"/>
            </w:tcBorders>
            <w:shd w:val="clear" w:color="auto" w:fill="FFFFFF" w:themeFill="background1"/>
            <w:vAlign w:val="center"/>
          </w:tcPr>
          <w:p w14:paraId="5A783DD2" w14:textId="77777777" w:rsidR="0011575F" w:rsidRPr="00C75E15" w:rsidRDefault="0011575F" w:rsidP="00634F12">
            <w:pPr>
              <w:rPr>
                <w:rFonts w:cstheme="minorHAnsi"/>
                <w:sz w:val="14"/>
                <w:szCs w:val="18"/>
              </w:rPr>
            </w:pPr>
            <w:r>
              <w:rPr>
                <w:rFonts w:cstheme="minorHAnsi"/>
                <w:sz w:val="14"/>
                <w:szCs w:val="18"/>
              </w:rPr>
              <w:t>Economía Interna</w:t>
            </w:r>
          </w:p>
        </w:tc>
        <w:tc>
          <w:tcPr>
            <w:tcW w:w="1006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274544" w14:textId="0E2F5608" w:rsidR="0011575F" w:rsidRPr="00CA2ECE" w:rsidRDefault="0011575F" w:rsidP="008979C3">
            <w:pPr>
              <w:ind w:left="-136" w:right="170"/>
              <w:jc w:val="right"/>
              <w:rPr>
                <w:rFonts w:cstheme="minorHAnsi"/>
                <w:sz w:val="14"/>
                <w:szCs w:val="18"/>
              </w:rPr>
            </w:pPr>
            <w:r w:rsidRPr="00CA2ECE">
              <w:rPr>
                <w:rFonts w:cstheme="minorHAnsi"/>
                <w:sz w:val="14"/>
                <w:szCs w:val="18"/>
              </w:rPr>
              <w:t>2</w:t>
            </w:r>
            <w:r w:rsidR="008979C3">
              <w:rPr>
                <w:rFonts w:cstheme="minorHAnsi"/>
                <w:sz w:val="14"/>
                <w:szCs w:val="18"/>
              </w:rPr>
              <w:t>2</w:t>
            </w:r>
            <w:r w:rsidRPr="00CA2ECE">
              <w:rPr>
                <w:rFonts w:cstheme="minorHAnsi"/>
                <w:sz w:val="14"/>
                <w:szCs w:val="18"/>
              </w:rPr>
              <w:t>.</w:t>
            </w:r>
            <w:r w:rsidR="008979C3">
              <w:rPr>
                <w:rFonts w:cstheme="minorHAnsi"/>
                <w:sz w:val="14"/>
                <w:szCs w:val="18"/>
              </w:rPr>
              <w:t>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9901FF" w14:textId="75038B2D" w:rsidR="0011575F" w:rsidRPr="00CA2ECE" w:rsidRDefault="0011575F" w:rsidP="00B71CB7">
            <w:pPr>
              <w:ind w:left="-136" w:right="170"/>
              <w:jc w:val="right"/>
              <w:rPr>
                <w:rFonts w:cstheme="minorHAnsi"/>
                <w:sz w:val="14"/>
                <w:szCs w:val="18"/>
              </w:rPr>
            </w:pPr>
            <w:r w:rsidRPr="00CA2ECE">
              <w:rPr>
                <w:rFonts w:cstheme="minorHAnsi"/>
                <w:sz w:val="14"/>
                <w:szCs w:val="18"/>
              </w:rPr>
              <w:t>2</w:t>
            </w:r>
            <w:r w:rsidR="00B71CB7">
              <w:rPr>
                <w:rFonts w:cstheme="minorHAnsi"/>
                <w:sz w:val="14"/>
                <w:szCs w:val="18"/>
              </w:rPr>
              <w:t>1</w:t>
            </w:r>
            <w:r w:rsidRPr="00CA2ECE">
              <w:rPr>
                <w:rFonts w:cstheme="minorHAnsi"/>
                <w:sz w:val="14"/>
                <w:szCs w:val="18"/>
              </w:rPr>
              <w:t>.5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FA3094" w14:textId="0DB25FAB" w:rsidR="0011575F" w:rsidRPr="00CA2ECE" w:rsidRDefault="0011575F" w:rsidP="00B71CB7">
            <w:pPr>
              <w:ind w:left="-136" w:right="170"/>
              <w:jc w:val="right"/>
              <w:rPr>
                <w:rFonts w:cstheme="minorHAnsi"/>
                <w:sz w:val="14"/>
                <w:szCs w:val="18"/>
              </w:rPr>
            </w:pPr>
            <w:r w:rsidRPr="00CA2ECE">
              <w:rPr>
                <w:rFonts w:cstheme="minorHAnsi"/>
                <w:sz w:val="14"/>
                <w:szCs w:val="18"/>
              </w:rPr>
              <w:t>21.</w:t>
            </w:r>
            <w:r w:rsidR="00B71CB7">
              <w:rPr>
                <w:rFonts w:cstheme="minorHAnsi"/>
                <w:sz w:val="14"/>
                <w:szCs w:val="18"/>
              </w:rPr>
              <w:t>3</w:t>
            </w:r>
          </w:p>
        </w:tc>
        <w:tc>
          <w:tcPr>
            <w:tcW w:w="992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12EE4145" w14:textId="2FEED087" w:rsidR="0011575F" w:rsidRPr="00CA2ECE" w:rsidRDefault="0011575F" w:rsidP="00B71CB7">
            <w:pPr>
              <w:ind w:left="-136" w:right="170"/>
              <w:jc w:val="right"/>
              <w:rPr>
                <w:rFonts w:cstheme="minorHAnsi"/>
                <w:sz w:val="14"/>
                <w:szCs w:val="18"/>
              </w:rPr>
            </w:pPr>
            <w:r w:rsidRPr="00CA2ECE">
              <w:rPr>
                <w:rFonts w:cstheme="minorHAnsi"/>
                <w:sz w:val="14"/>
                <w:szCs w:val="18"/>
              </w:rPr>
              <w:t>21.</w:t>
            </w:r>
            <w:r w:rsidR="00B71CB7">
              <w:rPr>
                <w:rFonts w:cstheme="minorHAnsi"/>
                <w:sz w:val="14"/>
                <w:szCs w:val="18"/>
              </w:rPr>
              <w:t>2</w:t>
            </w:r>
          </w:p>
        </w:tc>
      </w:tr>
      <w:tr w:rsidR="0011575F" w14:paraId="31ACF16F" w14:textId="77777777" w:rsidTr="0011575F">
        <w:tc>
          <w:tcPr>
            <w:tcW w:w="998" w:type="dxa"/>
            <w:tcBorders>
              <w:left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399882C" w14:textId="77777777" w:rsidR="0011575F" w:rsidRPr="00C75E15" w:rsidRDefault="0011575F" w:rsidP="00634F12">
            <w:pPr>
              <w:rPr>
                <w:rFonts w:cstheme="minorHAnsi"/>
                <w:sz w:val="14"/>
                <w:szCs w:val="18"/>
              </w:rPr>
            </w:pPr>
            <w:r>
              <w:rPr>
                <w:rFonts w:cstheme="minorHAnsi"/>
                <w:sz w:val="14"/>
                <w:szCs w:val="18"/>
              </w:rPr>
              <w:t>Resto del Mundo</w:t>
            </w:r>
          </w:p>
        </w:tc>
        <w:tc>
          <w:tcPr>
            <w:tcW w:w="1006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BAB427" w14:textId="046901FC" w:rsidR="0011575F" w:rsidRPr="00CA2ECE" w:rsidRDefault="008979C3" w:rsidP="008979C3">
            <w:pPr>
              <w:ind w:left="-136" w:right="170"/>
              <w:jc w:val="right"/>
              <w:rPr>
                <w:rFonts w:cstheme="minorHAnsi"/>
                <w:sz w:val="14"/>
                <w:szCs w:val="18"/>
              </w:rPr>
            </w:pPr>
            <w:r>
              <w:rPr>
                <w:rFonts w:cstheme="minorHAnsi"/>
                <w:sz w:val="14"/>
                <w:szCs w:val="18"/>
              </w:rPr>
              <w:t>(-)  1</w:t>
            </w:r>
            <w:r w:rsidR="0011575F" w:rsidRPr="00CA2ECE">
              <w:rPr>
                <w:rFonts w:cstheme="minorHAnsi"/>
                <w:sz w:val="14"/>
                <w:szCs w:val="18"/>
              </w:rPr>
              <w:t>.</w:t>
            </w:r>
            <w:r>
              <w:rPr>
                <w:rFonts w:cstheme="minorHAnsi"/>
                <w:sz w:val="14"/>
                <w:szCs w:val="18"/>
              </w:rPr>
              <w:t>3</w:t>
            </w:r>
          </w:p>
        </w:tc>
        <w:tc>
          <w:tcPr>
            <w:tcW w:w="992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9DFE08" w14:textId="773265AA" w:rsidR="0011575F" w:rsidRPr="00CA2ECE" w:rsidRDefault="0011575F" w:rsidP="00B71CB7">
            <w:pPr>
              <w:ind w:left="-136" w:right="170"/>
              <w:jc w:val="right"/>
              <w:rPr>
                <w:rFonts w:cstheme="minorHAnsi"/>
                <w:sz w:val="14"/>
                <w:szCs w:val="18"/>
              </w:rPr>
            </w:pPr>
            <w:r w:rsidRPr="00CA2ECE">
              <w:rPr>
                <w:rFonts w:cstheme="minorHAnsi"/>
                <w:sz w:val="14"/>
                <w:szCs w:val="18"/>
              </w:rPr>
              <w:t xml:space="preserve">(-)  </w:t>
            </w:r>
            <w:r w:rsidR="00B71CB7">
              <w:rPr>
                <w:rFonts w:cstheme="minorHAnsi"/>
                <w:sz w:val="14"/>
                <w:szCs w:val="18"/>
              </w:rPr>
              <w:t>0</w:t>
            </w:r>
            <w:r w:rsidRPr="00CA2ECE">
              <w:rPr>
                <w:rFonts w:cstheme="minorHAnsi"/>
                <w:sz w:val="14"/>
                <w:szCs w:val="18"/>
              </w:rPr>
              <w:t>.</w:t>
            </w:r>
            <w:r w:rsidR="00B71CB7">
              <w:rPr>
                <w:rFonts w:cstheme="minorHAnsi"/>
                <w:sz w:val="14"/>
                <w:szCs w:val="18"/>
              </w:rPr>
              <w:t>3</w:t>
            </w:r>
          </w:p>
        </w:tc>
        <w:tc>
          <w:tcPr>
            <w:tcW w:w="851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06DB29" w14:textId="7C9F8595" w:rsidR="0011575F" w:rsidRPr="00CA2ECE" w:rsidRDefault="0011575F" w:rsidP="00B71CB7">
            <w:pPr>
              <w:spacing w:before="80"/>
              <w:ind w:left="-136" w:right="170"/>
              <w:jc w:val="right"/>
              <w:rPr>
                <w:rFonts w:cstheme="minorHAnsi"/>
                <w:sz w:val="14"/>
                <w:szCs w:val="18"/>
              </w:rPr>
            </w:pPr>
            <w:r w:rsidRPr="00CA2ECE">
              <w:rPr>
                <w:rFonts w:cstheme="minorHAnsi"/>
                <w:sz w:val="14"/>
                <w:szCs w:val="18"/>
              </w:rPr>
              <w:t>(-)  0.</w:t>
            </w:r>
            <w:r w:rsidR="00B71CB7">
              <w:rPr>
                <w:rFonts w:cstheme="minorHAnsi"/>
                <w:sz w:val="14"/>
                <w:szCs w:val="18"/>
              </w:rPr>
              <w:t>8</w:t>
            </w:r>
          </w:p>
        </w:tc>
        <w:tc>
          <w:tcPr>
            <w:tcW w:w="992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442745C8" w14:textId="7410A9D7" w:rsidR="0011575F" w:rsidRPr="00CA2ECE" w:rsidRDefault="0011575F" w:rsidP="009F1F30">
            <w:pPr>
              <w:ind w:left="-136" w:right="170"/>
              <w:jc w:val="right"/>
              <w:rPr>
                <w:rFonts w:cstheme="minorHAnsi"/>
                <w:sz w:val="14"/>
                <w:szCs w:val="18"/>
              </w:rPr>
            </w:pPr>
            <w:r w:rsidRPr="00CA2ECE">
              <w:rPr>
                <w:rFonts w:cstheme="minorHAnsi"/>
                <w:sz w:val="14"/>
                <w:szCs w:val="18"/>
              </w:rPr>
              <w:t>0.</w:t>
            </w:r>
            <w:r w:rsidR="009F1F30" w:rsidRPr="00CA2ECE">
              <w:rPr>
                <w:rFonts w:cstheme="minorHAnsi"/>
                <w:sz w:val="14"/>
                <w:szCs w:val="18"/>
              </w:rPr>
              <w:t>2</w:t>
            </w:r>
          </w:p>
        </w:tc>
      </w:tr>
    </w:tbl>
    <w:p w14:paraId="52B6F8C1" w14:textId="77777777" w:rsidR="00E33EA8" w:rsidRPr="00F43C96" w:rsidRDefault="00E33EA8" w:rsidP="00E33EA8">
      <w:pPr>
        <w:pStyle w:val="Textoindependiente"/>
        <w:spacing w:line="180" w:lineRule="exact"/>
        <w:ind w:left="698" w:hanging="698"/>
        <w:jc w:val="left"/>
        <w:rPr>
          <w:rFonts w:asciiTheme="minorHAnsi" w:hAnsiTheme="minorHAnsi" w:cstheme="minorHAnsi"/>
          <w:sz w:val="14"/>
          <w:szCs w:val="14"/>
        </w:rPr>
      </w:pPr>
      <w:r>
        <w:rPr>
          <w:rFonts w:asciiTheme="minorHAnsi" w:hAnsiTheme="minorHAnsi" w:cstheme="minorHAnsi"/>
          <w:sz w:val="14"/>
          <w:szCs w:val="14"/>
        </w:rPr>
        <w:t>Nota: La suma de los parciales puede no coincidir con el total debido al redondeo.</w:t>
      </w:r>
    </w:p>
    <w:p w14:paraId="5071DE40" w14:textId="77777777" w:rsidR="00E33EA8" w:rsidRPr="00C65559" w:rsidRDefault="00E33EA8" w:rsidP="00E33EA8">
      <w:pPr>
        <w:pStyle w:val="p0"/>
        <w:keepNext/>
        <w:spacing w:before="0"/>
        <w:rPr>
          <w:rFonts w:asciiTheme="minorHAnsi" w:hAnsiTheme="minorHAnsi" w:cstheme="minorHAnsi"/>
          <w:color w:val="000000" w:themeColor="text1"/>
          <w:sz w:val="14"/>
          <w:szCs w:val="14"/>
        </w:rPr>
      </w:pPr>
      <w:r w:rsidRPr="00C65559">
        <w:rPr>
          <w:rFonts w:asciiTheme="minorHAnsi" w:hAnsiTheme="minorHAnsi" w:cstheme="minorHAnsi"/>
          <w:color w:val="000000" w:themeColor="text1"/>
          <w:sz w:val="14"/>
          <w:szCs w:val="14"/>
          <w:vertAlign w:val="superscript"/>
        </w:rPr>
        <w:t>R/</w:t>
      </w:r>
      <w:r w:rsidRPr="00C65559">
        <w:rPr>
          <w:rFonts w:asciiTheme="minorHAnsi" w:hAnsiTheme="minorHAnsi" w:cstheme="minorHAnsi"/>
          <w:color w:val="000000" w:themeColor="text1"/>
          <w:sz w:val="14"/>
          <w:szCs w:val="14"/>
        </w:rPr>
        <w:t xml:space="preserve"> Cifras revisadas.</w:t>
      </w:r>
    </w:p>
    <w:p w14:paraId="3B682ACC" w14:textId="77777777" w:rsidR="00E33EA8" w:rsidRDefault="00E33EA8" w:rsidP="00E33EA8">
      <w:pPr>
        <w:pStyle w:val="p0"/>
        <w:keepNext/>
        <w:spacing w:before="0"/>
        <w:rPr>
          <w:rFonts w:asciiTheme="minorHAnsi" w:hAnsiTheme="minorHAnsi" w:cstheme="minorHAnsi"/>
          <w:color w:val="auto"/>
          <w:sz w:val="14"/>
          <w:szCs w:val="14"/>
        </w:rPr>
      </w:pPr>
      <w:r w:rsidRPr="008C5E01">
        <w:rPr>
          <w:rFonts w:asciiTheme="minorHAnsi" w:hAnsiTheme="minorHAnsi" w:cstheme="minorHAnsi"/>
          <w:color w:val="auto"/>
          <w:sz w:val="14"/>
          <w:szCs w:val="14"/>
          <w:vertAlign w:val="superscript"/>
        </w:rPr>
        <w:t>P/</w:t>
      </w:r>
      <w:r>
        <w:rPr>
          <w:rFonts w:asciiTheme="minorHAnsi" w:hAnsiTheme="minorHAnsi" w:cstheme="minorHAnsi"/>
          <w:sz w:val="14"/>
          <w:szCs w:val="14"/>
        </w:rPr>
        <w:t xml:space="preserve"> </w:t>
      </w:r>
      <w:r w:rsidRPr="008C5E01">
        <w:rPr>
          <w:rFonts w:asciiTheme="minorHAnsi" w:hAnsiTheme="minorHAnsi" w:cstheme="minorHAnsi"/>
          <w:color w:val="auto"/>
          <w:sz w:val="14"/>
          <w:szCs w:val="14"/>
        </w:rPr>
        <w:t>Cifras preliminares.</w:t>
      </w:r>
    </w:p>
    <w:p w14:paraId="263E9D04" w14:textId="77777777" w:rsidR="00E33EA8" w:rsidRDefault="00E33EA8" w:rsidP="00F43023">
      <w:pPr>
        <w:pStyle w:val="p0"/>
        <w:keepNext/>
        <w:spacing w:before="0"/>
        <w:rPr>
          <w:rFonts w:asciiTheme="minorHAnsi" w:hAnsiTheme="minorHAnsi" w:cstheme="minorHAnsi"/>
          <w:color w:val="auto"/>
          <w:sz w:val="14"/>
          <w:szCs w:val="14"/>
        </w:rPr>
      </w:pPr>
      <w:r w:rsidRPr="00F42B1A">
        <w:rPr>
          <w:rFonts w:asciiTheme="minorHAnsi" w:hAnsiTheme="minorHAnsi" w:cstheme="minorHAnsi"/>
          <w:color w:val="auto"/>
          <w:sz w:val="14"/>
          <w:szCs w:val="14"/>
        </w:rPr>
        <w:t>Fuente: INEGI.</w:t>
      </w:r>
    </w:p>
    <w:p w14:paraId="52FD1078" w14:textId="77777777" w:rsidR="009F1F30" w:rsidRPr="00F42B1A" w:rsidRDefault="009F1F30" w:rsidP="00F43023">
      <w:pPr>
        <w:pStyle w:val="p0"/>
        <w:keepNext/>
        <w:spacing w:before="0"/>
        <w:rPr>
          <w:b/>
          <w:i/>
          <w:color w:val="auto"/>
          <w:sz w:val="18"/>
          <w:szCs w:val="18"/>
        </w:rPr>
      </w:pPr>
    </w:p>
    <w:p w14:paraId="4B1A722D" w14:textId="71E8FAA2" w:rsidR="00492F59" w:rsidRPr="00407326" w:rsidRDefault="00407326" w:rsidP="00CC2E59">
      <w:pPr>
        <w:pStyle w:val="Textoindependiente"/>
        <w:spacing w:before="240" w:line="240" w:lineRule="exact"/>
        <w:ind w:left="-142"/>
        <w:rPr>
          <w:rFonts w:asciiTheme="minorHAnsi" w:hAnsiTheme="minorHAnsi" w:cstheme="minorHAnsi"/>
          <w:sz w:val="15"/>
          <w:szCs w:val="15"/>
        </w:rPr>
      </w:pPr>
      <w:r w:rsidRPr="008F6376">
        <w:rPr>
          <w:rFonts w:asciiTheme="minorHAnsi" w:hAnsiTheme="minorHAnsi" w:cstheme="minorHAnsi"/>
          <w:snapToGrid w:val="0"/>
          <w:sz w:val="20"/>
          <w:szCs w:val="20"/>
        </w:rPr>
        <w:t>Información más amplia sobre los resultados publicados en esta nota puede obtenerse en el Banco de Información Económica (BIE) de la página del Instituto en Internet</w:t>
      </w:r>
      <w:r w:rsidR="00BC3D71">
        <w:rPr>
          <w:rFonts w:asciiTheme="minorHAnsi" w:hAnsiTheme="minorHAnsi" w:cstheme="minorHAnsi"/>
          <w:snapToGrid w:val="0"/>
          <w:sz w:val="20"/>
          <w:szCs w:val="20"/>
        </w:rPr>
        <w:t>:</w:t>
      </w:r>
      <w:r w:rsidRPr="00AD7D56">
        <w:rPr>
          <w:rFonts w:asciiTheme="minorHAnsi" w:hAnsiTheme="minorHAnsi" w:cstheme="minorHAnsi"/>
          <w:sz w:val="20"/>
          <w:szCs w:val="20"/>
        </w:rPr>
        <w:t xml:space="preserve"> </w:t>
      </w:r>
      <w:hyperlink r:id="rId11" w:history="1">
        <w:r w:rsidR="00D774CC" w:rsidRPr="00B22874">
          <w:rPr>
            <w:rStyle w:val="Hipervnculo"/>
            <w:rFonts w:asciiTheme="minorHAnsi" w:hAnsiTheme="minorHAnsi" w:cstheme="minorHAnsi"/>
            <w:sz w:val="20"/>
            <w:szCs w:val="20"/>
          </w:rPr>
          <w:t>https://www.inegi.org.mx/sistemas/bie/default.aspx</w:t>
        </w:r>
      </w:hyperlink>
    </w:p>
    <w:sectPr w:rsidR="00492F59" w:rsidRPr="00407326" w:rsidSect="00367EC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2552" w:right="1134" w:bottom="567" w:left="993" w:header="284" w:footer="284" w:gutter="0"/>
      <w:cols w:num="2" w:space="75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2FA0F5" w14:textId="77777777" w:rsidR="0013238B" w:rsidRDefault="0013238B" w:rsidP="0045458E">
      <w:pPr>
        <w:spacing w:after="0" w:line="240" w:lineRule="auto"/>
      </w:pPr>
      <w:r>
        <w:separator/>
      </w:r>
    </w:p>
  </w:endnote>
  <w:endnote w:type="continuationSeparator" w:id="0">
    <w:p w14:paraId="21EE18D8" w14:textId="77777777" w:rsidR="0013238B" w:rsidRDefault="0013238B" w:rsidP="004545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0"/>
        <w:szCs w:val="20"/>
      </w:rPr>
      <w:id w:val="1075791743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14:paraId="5908DA2D" w14:textId="77777777" w:rsidR="00CF4FF1" w:rsidRDefault="00892250">
        <w:pPr>
          <w:pStyle w:val="Piedepgina"/>
          <w:jc w:val="center"/>
        </w:pPr>
        <w:r>
          <w:fldChar w:fldCharType="begin"/>
        </w:r>
        <w:r w:rsidR="00ED312C">
          <w:instrText xml:space="preserve"> PAGE   \* MERGEFORMAT </w:instrText>
        </w:r>
        <w:r>
          <w:fldChar w:fldCharType="separate"/>
        </w:r>
        <w:r w:rsidR="00CF4FF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94391818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711D3FCE" w14:textId="77777777" w:rsidR="00CF4FF1" w:rsidRDefault="00892250">
        <w:pPr>
          <w:pStyle w:val="Piedepgina"/>
          <w:jc w:val="center"/>
        </w:pPr>
        <w:r w:rsidRPr="00CF23F1">
          <w:rPr>
            <w:sz w:val="20"/>
            <w:szCs w:val="20"/>
          </w:rPr>
          <w:fldChar w:fldCharType="begin"/>
        </w:r>
        <w:r w:rsidR="00CF4FF1" w:rsidRPr="00CF23F1">
          <w:rPr>
            <w:sz w:val="20"/>
            <w:szCs w:val="20"/>
          </w:rPr>
          <w:instrText xml:space="preserve"> PAGE   \* MERGEFORMAT </w:instrText>
        </w:r>
        <w:r w:rsidRPr="00CF23F1">
          <w:rPr>
            <w:sz w:val="20"/>
            <w:szCs w:val="20"/>
          </w:rPr>
          <w:fldChar w:fldCharType="separate"/>
        </w:r>
        <w:r w:rsidR="003A5775">
          <w:rPr>
            <w:noProof/>
            <w:sz w:val="20"/>
            <w:szCs w:val="20"/>
          </w:rPr>
          <w:t>2</w:t>
        </w:r>
        <w:r w:rsidRPr="00CF23F1">
          <w:rPr>
            <w:sz w:val="20"/>
            <w:szCs w:val="20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9EC464" w14:textId="77777777" w:rsidR="00CF4FF1" w:rsidRDefault="00CF4FF1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C496AE" w14:textId="77777777" w:rsidR="0013238B" w:rsidRDefault="0013238B" w:rsidP="0045458E">
      <w:pPr>
        <w:spacing w:after="0" w:line="240" w:lineRule="auto"/>
      </w:pPr>
      <w:r>
        <w:separator/>
      </w:r>
    </w:p>
  </w:footnote>
  <w:footnote w:type="continuationSeparator" w:id="0">
    <w:p w14:paraId="28B1F54D" w14:textId="77777777" w:rsidR="0013238B" w:rsidRDefault="0013238B" w:rsidP="004545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998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71"/>
      <w:gridCol w:w="6710"/>
    </w:tblGrid>
    <w:tr w:rsidR="00CF4FF1" w14:paraId="7EA79B56" w14:textId="77777777" w:rsidTr="007B0AB4">
      <w:trPr>
        <w:trHeight w:val="1871"/>
      </w:trPr>
      <w:tc>
        <w:tcPr>
          <w:tcW w:w="3345" w:type="dxa"/>
          <w:vAlign w:val="bottom"/>
        </w:tcPr>
        <w:p w14:paraId="34FAD76B" w14:textId="77777777" w:rsidR="00CF4FF1" w:rsidRDefault="00CF4FF1" w:rsidP="007B0AB4">
          <w:pPr>
            <w:pStyle w:val="Encabezado"/>
          </w:pPr>
          <w:r>
            <w:rPr>
              <w:noProof/>
              <w:lang w:eastAsia="es-MX"/>
            </w:rPr>
            <w:drawing>
              <wp:inline distT="0" distB="0" distL="0" distR="0" wp14:anchorId="76D3ADF5" wp14:editId="31C584E5">
                <wp:extent cx="2075815" cy="1165860"/>
                <wp:effectExtent l="19050" t="0" r="635" b="0"/>
                <wp:docPr id="8" name="Imagen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b="28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75815" cy="11658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62" w:type="dxa"/>
          <w:vAlign w:val="center"/>
        </w:tcPr>
        <w:tbl>
          <w:tblPr>
            <w:tblStyle w:val="Tablaconcuadrcula"/>
            <w:tblW w:w="6695" w:type="dxa"/>
            <w:jc w:val="center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ayout w:type="fixed"/>
            <w:tblCellMar>
              <w:top w:w="57" w:type="dxa"/>
              <w:left w:w="57" w:type="dxa"/>
              <w:bottom w:w="57" w:type="dxa"/>
              <w:right w:w="57" w:type="dxa"/>
            </w:tblCellMar>
            <w:tblLook w:val="04A0" w:firstRow="1" w:lastRow="0" w:firstColumn="1" w:lastColumn="0" w:noHBand="0" w:noVBand="1"/>
          </w:tblPr>
          <w:tblGrid>
            <w:gridCol w:w="6695"/>
          </w:tblGrid>
          <w:tr w:rsidR="00CF4FF1" w14:paraId="6D9006F0" w14:textId="77777777" w:rsidTr="007B0AB4">
            <w:trPr>
              <w:jc w:val="center"/>
            </w:trPr>
            <w:tc>
              <w:tcPr>
                <w:tcW w:w="6695" w:type="dxa"/>
                <w:vAlign w:val="center"/>
              </w:tcPr>
              <w:p w14:paraId="1626E79C" w14:textId="77777777" w:rsidR="00CF4FF1" w:rsidRPr="00954400" w:rsidRDefault="00CF4FF1" w:rsidP="007B0AB4">
                <w:pPr>
                  <w:pStyle w:val="Ttulo"/>
                  <w:widowControl w:val="0"/>
                  <w:spacing w:line="200" w:lineRule="exact"/>
                  <w:jc w:val="right"/>
                  <w:rPr>
                    <w:rFonts w:asciiTheme="minorHAnsi" w:hAnsiTheme="minorHAnsi" w:cstheme="minorHAnsi"/>
                    <w:spacing w:val="20"/>
                    <w:sz w:val="22"/>
                    <w:szCs w:val="22"/>
                  </w:rPr>
                </w:pPr>
                <w:r>
                  <w:rPr>
                    <w:rFonts w:asciiTheme="minorHAnsi" w:hAnsiTheme="minorHAnsi" w:cstheme="minorHAnsi"/>
                    <w:b w:val="0"/>
                    <w:sz w:val="20"/>
                    <w:szCs w:val="22"/>
                  </w:rPr>
                  <w:t>FEBRERO</w:t>
                </w:r>
                <w:r w:rsidRPr="00524198">
                  <w:rPr>
                    <w:rFonts w:asciiTheme="minorHAnsi" w:hAnsiTheme="minorHAnsi" w:cstheme="minorHAnsi"/>
                    <w:b w:val="0"/>
                    <w:sz w:val="20"/>
                    <w:szCs w:val="22"/>
                  </w:rPr>
                  <w:t xml:space="preserve"> 1</w:t>
                </w:r>
                <w:r>
                  <w:rPr>
                    <w:rFonts w:asciiTheme="minorHAnsi" w:hAnsiTheme="minorHAnsi" w:cstheme="minorHAnsi"/>
                    <w:b w:val="0"/>
                    <w:sz w:val="20"/>
                    <w:szCs w:val="22"/>
                  </w:rPr>
                  <w:t>4</w:t>
                </w:r>
                <w:r w:rsidRPr="00524198">
                  <w:rPr>
                    <w:rFonts w:asciiTheme="minorHAnsi" w:hAnsiTheme="minorHAnsi" w:cstheme="minorHAnsi"/>
                    <w:b w:val="0"/>
                    <w:sz w:val="20"/>
                    <w:szCs w:val="22"/>
                  </w:rPr>
                  <w:t xml:space="preserve"> DE 2012</w:t>
                </w:r>
              </w:p>
            </w:tc>
          </w:tr>
          <w:tr w:rsidR="00CF4FF1" w14:paraId="64AB3C2B" w14:textId="77777777" w:rsidTr="007B0AB4">
            <w:trPr>
              <w:trHeight w:val="1134"/>
              <w:jc w:val="center"/>
            </w:trPr>
            <w:tc>
              <w:tcPr>
                <w:tcW w:w="6695" w:type="dxa"/>
                <w:vAlign w:val="center"/>
              </w:tcPr>
              <w:p w14:paraId="49671907" w14:textId="77777777" w:rsidR="00CF4FF1" w:rsidRPr="008828FB" w:rsidRDefault="00CF4FF1" w:rsidP="007B0AB4">
                <w:pPr>
                  <w:pStyle w:val="Ttulo"/>
                  <w:widowControl w:val="0"/>
                  <w:rPr>
                    <w:rFonts w:asciiTheme="minorHAnsi" w:hAnsiTheme="minorHAnsi" w:cstheme="minorHAnsi"/>
                    <w:spacing w:val="20"/>
                    <w:sz w:val="24"/>
                    <w:szCs w:val="24"/>
                  </w:rPr>
                </w:pPr>
                <w:r w:rsidRPr="004F6682">
                  <w:rPr>
                    <w:rFonts w:asciiTheme="minorHAnsi" w:hAnsiTheme="minorHAnsi" w:cstheme="minorHAnsi"/>
                    <w:spacing w:val="20"/>
                    <w:sz w:val="24"/>
                    <w:szCs w:val="24"/>
                  </w:rPr>
                  <w:t>ESTADÍSTICA MENSUAL SOBRE ESTABLECIMIENTOS</w:t>
                </w:r>
                <w:r>
                  <w:rPr>
                    <w:rFonts w:asciiTheme="minorHAnsi" w:hAnsiTheme="minorHAnsi" w:cstheme="minorHAnsi"/>
                    <w:spacing w:val="20"/>
                    <w:sz w:val="24"/>
                    <w:szCs w:val="24"/>
                  </w:rPr>
                  <w:br/>
                </w:r>
                <w:r w:rsidRPr="004F6682">
                  <w:rPr>
                    <w:rFonts w:asciiTheme="minorHAnsi" w:hAnsiTheme="minorHAnsi" w:cstheme="minorHAnsi"/>
                    <w:spacing w:val="20"/>
                    <w:sz w:val="24"/>
                    <w:szCs w:val="24"/>
                  </w:rPr>
                  <w:t>MANUFACTUREROS CON PROGRAMA IMMEX</w:t>
                </w:r>
              </w:p>
              <w:p w14:paraId="1337F47E" w14:textId="77777777" w:rsidR="00CF4FF1" w:rsidRPr="008828FB" w:rsidRDefault="00CF4FF1" w:rsidP="007B0AB4">
                <w:pPr>
                  <w:pStyle w:val="Ttulo"/>
                  <w:widowControl w:val="0"/>
                  <w:spacing w:line="280" w:lineRule="exact"/>
                  <w:rPr>
                    <w:rFonts w:cstheme="minorHAnsi"/>
                    <w:b w:val="0"/>
                    <w:sz w:val="20"/>
                    <w:szCs w:val="20"/>
                  </w:rPr>
                </w:pPr>
                <w:r w:rsidRPr="008828FB">
                  <w:rPr>
                    <w:rFonts w:asciiTheme="minorHAnsi" w:hAnsiTheme="minorHAnsi" w:cstheme="minorHAnsi"/>
                    <w:b w:val="0"/>
                    <w:sz w:val="20"/>
                    <w:szCs w:val="20"/>
                  </w:rPr>
                  <w:t xml:space="preserve">CIFRAS DURANTE </w:t>
                </w:r>
                <w:r>
                  <w:rPr>
                    <w:rFonts w:asciiTheme="minorHAnsi" w:hAnsiTheme="minorHAnsi" w:cstheme="minorHAnsi"/>
                    <w:b w:val="0"/>
                    <w:sz w:val="20"/>
                    <w:szCs w:val="20"/>
                  </w:rPr>
                  <w:t xml:space="preserve">NOVIEMBRE </w:t>
                </w:r>
                <w:r w:rsidRPr="008828FB">
                  <w:rPr>
                    <w:rFonts w:asciiTheme="minorHAnsi" w:hAnsiTheme="minorHAnsi" w:cstheme="minorHAnsi"/>
                    <w:b w:val="0"/>
                    <w:sz w:val="20"/>
                    <w:szCs w:val="20"/>
                  </w:rPr>
                  <w:t>DE 201</w:t>
                </w:r>
                <w:r>
                  <w:rPr>
                    <w:rFonts w:asciiTheme="minorHAnsi" w:hAnsiTheme="minorHAnsi" w:cstheme="minorHAnsi"/>
                    <w:b w:val="0"/>
                    <w:sz w:val="20"/>
                    <w:szCs w:val="20"/>
                  </w:rPr>
                  <w:t>1</w:t>
                </w:r>
              </w:p>
            </w:tc>
          </w:tr>
          <w:tr w:rsidR="00CF4FF1" w:rsidRPr="009F3165" w14:paraId="0D02E1DD" w14:textId="77777777" w:rsidTr="007B0AB4">
            <w:trPr>
              <w:trHeight w:val="227"/>
              <w:jc w:val="center"/>
            </w:trPr>
            <w:tc>
              <w:tcPr>
                <w:tcW w:w="6695" w:type="dxa"/>
                <w:shd w:val="clear" w:color="auto" w:fill="D9D9D9" w:themeFill="background1" w:themeFillShade="D9"/>
                <w:vAlign w:val="center"/>
              </w:tcPr>
              <w:p w14:paraId="183038E2" w14:textId="77777777" w:rsidR="00CF4FF1" w:rsidRPr="009F3165" w:rsidRDefault="00CF4FF1" w:rsidP="007B0AB4">
                <w:pPr>
                  <w:jc w:val="center"/>
                  <w:rPr>
                    <w:b/>
                    <w:lang w:val="es-ES"/>
                  </w:rPr>
                </w:pPr>
                <w:r w:rsidRPr="009F3165">
                  <w:rPr>
                    <w:rFonts w:cstheme="minorHAnsi"/>
                    <w:b/>
                    <w:spacing w:val="20"/>
                    <w:sz w:val="20"/>
                    <w:szCs w:val="20"/>
                  </w:rPr>
                  <w:t>INDICADORES ECONÓMICOS DE COYUNTURA</w:t>
                </w:r>
              </w:p>
            </w:tc>
          </w:tr>
        </w:tbl>
        <w:p w14:paraId="429F91C2" w14:textId="77777777" w:rsidR="00CF4FF1" w:rsidRPr="004E148E" w:rsidRDefault="00CF4FF1" w:rsidP="007B0AB4">
          <w:pPr>
            <w:ind w:right="789"/>
            <w:jc w:val="center"/>
            <w:rPr>
              <w:spacing w:val="20"/>
            </w:rPr>
          </w:pPr>
        </w:p>
      </w:tc>
    </w:tr>
  </w:tbl>
  <w:p w14:paraId="7EFF269A" w14:textId="77777777" w:rsidR="00CF4FF1" w:rsidRDefault="00CF4FF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1020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71"/>
      <w:gridCol w:w="6935"/>
    </w:tblGrid>
    <w:tr w:rsidR="00CF4FF1" w14:paraId="00B9D91D" w14:textId="77777777" w:rsidTr="00012EFB">
      <w:trPr>
        <w:trHeight w:val="1871"/>
      </w:trPr>
      <w:tc>
        <w:tcPr>
          <w:tcW w:w="3271" w:type="dxa"/>
        </w:tcPr>
        <w:p w14:paraId="420CD79A" w14:textId="77777777" w:rsidR="00CF4FF1" w:rsidRDefault="006E0FF2" w:rsidP="00012EFB">
          <w:pPr>
            <w:pStyle w:val="Encabezado"/>
          </w:pPr>
          <w:r>
            <w:rPr>
              <w:noProof/>
              <w:lang w:eastAsia="es-MX"/>
            </w:rPr>
            <w:drawing>
              <wp:inline distT="0" distB="0" distL="0" distR="0" wp14:anchorId="01880675" wp14:editId="5A6C71FF">
                <wp:extent cx="828000" cy="972000"/>
                <wp:effectExtent l="0" t="0" r="0" b="0"/>
                <wp:docPr id="12" name="Imagen 12" descr="cid:image002.png@01D4B335.490B1A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0" descr="cid:image002.png@01D4B335.490B1A5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00" cy="97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35" w:type="dxa"/>
          <w:vAlign w:val="center"/>
        </w:tcPr>
        <w:tbl>
          <w:tblPr>
            <w:tblStyle w:val="Tablaconcuadrcula"/>
            <w:tblW w:w="7186" w:type="dxa"/>
            <w:jc w:val="center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ayout w:type="fixed"/>
            <w:tblCellMar>
              <w:top w:w="57" w:type="dxa"/>
              <w:left w:w="57" w:type="dxa"/>
              <w:bottom w:w="57" w:type="dxa"/>
              <w:right w:w="57" w:type="dxa"/>
            </w:tblCellMar>
            <w:tblLook w:val="04A0" w:firstRow="1" w:lastRow="0" w:firstColumn="1" w:lastColumn="0" w:noHBand="0" w:noVBand="1"/>
          </w:tblPr>
          <w:tblGrid>
            <w:gridCol w:w="7186"/>
          </w:tblGrid>
          <w:tr w:rsidR="00CF4FF1" w14:paraId="0D862990" w14:textId="77777777" w:rsidTr="00415767">
            <w:trPr>
              <w:jc w:val="center"/>
            </w:trPr>
            <w:tc>
              <w:tcPr>
                <w:tcW w:w="7186" w:type="dxa"/>
                <w:vAlign w:val="center"/>
              </w:tcPr>
              <w:p w14:paraId="01B8118E" w14:textId="3D712133" w:rsidR="00917628" w:rsidRPr="00954400" w:rsidRDefault="00754080" w:rsidP="00754080">
                <w:pPr>
                  <w:pStyle w:val="Ttulo"/>
                  <w:widowControl w:val="0"/>
                  <w:spacing w:line="200" w:lineRule="exact"/>
                  <w:ind w:right="217"/>
                  <w:jc w:val="right"/>
                  <w:rPr>
                    <w:rFonts w:asciiTheme="minorHAnsi" w:hAnsiTheme="minorHAnsi" w:cstheme="minorHAnsi"/>
                    <w:spacing w:val="20"/>
                    <w:sz w:val="22"/>
                    <w:szCs w:val="22"/>
                  </w:rPr>
                </w:pPr>
                <w:r>
                  <w:rPr>
                    <w:rFonts w:asciiTheme="minorHAnsi" w:hAnsiTheme="minorHAnsi" w:cstheme="minorHAnsi"/>
                    <w:b w:val="0"/>
                    <w:sz w:val="20"/>
                    <w:szCs w:val="22"/>
                  </w:rPr>
                  <w:t>MARZO</w:t>
                </w:r>
                <w:r w:rsidR="00866A8E">
                  <w:rPr>
                    <w:rFonts w:asciiTheme="minorHAnsi" w:hAnsiTheme="minorHAnsi" w:cstheme="minorHAnsi"/>
                    <w:b w:val="0"/>
                    <w:sz w:val="20"/>
                    <w:szCs w:val="22"/>
                  </w:rPr>
                  <w:t xml:space="preserve"> </w:t>
                </w:r>
                <w:r w:rsidR="006E0FF2">
                  <w:rPr>
                    <w:rFonts w:asciiTheme="minorHAnsi" w:hAnsiTheme="minorHAnsi" w:cstheme="minorHAnsi"/>
                    <w:b w:val="0"/>
                    <w:sz w:val="20"/>
                    <w:szCs w:val="22"/>
                  </w:rPr>
                  <w:t>2</w:t>
                </w:r>
                <w:r>
                  <w:rPr>
                    <w:rFonts w:asciiTheme="minorHAnsi" w:hAnsiTheme="minorHAnsi" w:cstheme="minorHAnsi"/>
                    <w:b w:val="0"/>
                    <w:sz w:val="20"/>
                    <w:szCs w:val="22"/>
                  </w:rPr>
                  <w:t>0</w:t>
                </w:r>
                <w:r w:rsidR="00F375F3">
                  <w:rPr>
                    <w:rFonts w:asciiTheme="minorHAnsi" w:hAnsiTheme="minorHAnsi" w:cstheme="minorHAnsi"/>
                    <w:b w:val="0"/>
                    <w:sz w:val="20"/>
                    <w:szCs w:val="22"/>
                  </w:rPr>
                  <w:t xml:space="preserve"> DE 20</w:t>
                </w:r>
                <w:r>
                  <w:rPr>
                    <w:rFonts w:asciiTheme="minorHAnsi" w:hAnsiTheme="minorHAnsi" w:cstheme="minorHAnsi"/>
                    <w:b w:val="0"/>
                    <w:sz w:val="20"/>
                    <w:szCs w:val="22"/>
                  </w:rPr>
                  <w:t>20</w:t>
                </w:r>
              </w:p>
            </w:tc>
          </w:tr>
          <w:tr w:rsidR="00CF4FF1" w14:paraId="73B14043" w14:textId="77777777" w:rsidTr="00415767">
            <w:trPr>
              <w:trHeight w:val="1134"/>
              <w:jc w:val="center"/>
            </w:trPr>
            <w:tc>
              <w:tcPr>
                <w:tcW w:w="7186" w:type="dxa"/>
                <w:vAlign w:val="center"/>
              </w:tcPr>
              <w:p w14:paraId="6EF53CE6" w14:textId="77777777" w:rsidR="00CF4FF1" w:rsidRPr="008828FB" w:rsidRDefault="00AF06E1" w:rsidP="007B0AB4">
                <w:pPr>
                  <w:pStyle w:val="Ttulo"/>
                  <w:widowControl w:val="0"/>
                  <w:rPr>
                    <w:rFonts w:asciiTheme="minorHAnsi" w:hAnsiTheme="minorHAnsi" w:cstheme="minorHAnsi"/>
                    <w:spacing w:val="20"/>
                    <w:sz w:val="24"/>
                    <w:szCs w:val="24"/>
                  </w:rPr>
                </w:pPr>
                <w:r>
                  <w:rPr>
                    <w:rFonts w:asciiTheme="minorHAnsi" w:hAnsiTheme="minorHAnsi" w:cstheme="minorHAnsi"/>
                    <w:spacing w:val="20"/>
                    <w:sz w:val="24"/>
                    <w:szCs w:val="24"/>
                  </w:rPr>
                  <w:t xml:space="preserve">INDICADOR TRIMESTRAL DEL AHORRO </w:t>
                </w:r>
                <w:r w:rsidR="00EE764B">
                  <w:rPr>
                    <w:rFonts w:asciiTheme="minorHAnsi" w:hAnsiTheme="minorHAnsi" w:cstheme="minorHAnsi"/>
                    <w:spacing w:val="20"/>
                    <w:sz w:val="24"/>
                    <w:szCs w:val="24"/>
                  </w:rPr>
                  <w:t>BRUTO</w:t>
                </w:r>
              </w:p>
              <w:p w14:paraId="512E2E40" w14:textId="2E616AC7" w:rsidR="00CF4FF1" w:rsidRPr="008828FB" w:rsidRDefault="00CF4FF1" w:rsidP="00754080">
                <w:pPr>
                  <w:pStyle w:val="Ttulo"/>
                  <w:widowControl w:val="0"/>
                  <w:spacing w:line="280" w:lineRule="exact"/>
                  <w:rPr>
                    <w:rFonts w:cstheme="minorHAnsi"/>
                    <w:b w:val="0"/>
                    <w:sz w:val="20"/>
                    <w:szCs w:val="20"/>
                  </w:rPr>
                </w:pPr>
                <w:r w:rsidRPr="008828FB">
                  <w:rPr>
                    <w:rFonts w:asciiTheme="minorHAnsi" w:hAnsiTheme="minorHAnsi" w:cstheme="minorHAnsi"/>
                    <w:b w:val="0"/>
                    <w:sz w:val="20"/>
                    <w:szCs w:val="20"/>
                  </w:rPr>
                  <w:t xml:space="preserve">CIFRAS DURANTE </w:t>
                </w:r>
                <w:r>
                  <w:rPr>
                    <w:rFonts w:asciiTheme="minorHAnsi" w:hAnsiTheme="minorHAnsi" w:cstheme="minorHAnsi"/>
                    <w:b w:val="0"/>
                    <w:sz w:val="20"/>
                    <w:szCs w:val="20"/>
                  </w:rPr>
                  <w:t>EL</w:t>
                </w:r>
                <w:r w:rsidR="0099212D">
                  <w:rPr>
                    <w:rFonts w:asciiTheme="minorHAnsi" w:hAnsiTheme="minorHAnsi" w:cstheme="minorHAnsi"/>
                    <w:b w:val="0"/>
                    <w:sz w:val="20"/>
                    <w:szCs w:val="20"/>
                  </w:rPr>
                  <w:t xml:space="preserve"> </w:t>
                </w:r>
                <w:r w:rsidR="00AD6A17">
                  <w:rPr>
                    <w:rFonts w:asciiTheme="minorHAnsi" w:hAnsiTheme="minorHAnsi" w:cstheme="minorHAnsi"/>
                    <w:b w:val="0"/>
                    <w:sz w:val="20"/>
                    <w:szCs w:val="20"/>
                  </w:rPr>
                  <w:t>C</w:t>
                </w:r>
                <w:r w:rsidR="00754080">
                  <w:rPr>
                    <w:rFonts w:asciiTheme="minorHAnsi" w:hAnsiTheme="minorHAnsi" w:cstheme="minorHAnsi"/>
                    <w:b w:val="0"/>
                    <w:sz w:val="20"/>
                    <w:szCs w:val="20"/>
                  </w:rPr>
                  <w:t>UA</w:t>
                </w:r>
                <w:r w:rsidR="00AD6A17">
                  <w:rPr>
                    <w:rFonts w:asciiTheme="minorHAnsi" w:hAnsiTheme="minorHAnsi" w:cstheme="minorHAnsi"/>
                    <w:b w:val="0"/>
                    <w:sz w:val="20"/>
                    <w:szCs w:val="20"/>
                  </w:rPr>
                  <w:t>R</w:t>
                </w:r>
                <w:r w:rsidR="00754080">
                  <w:rPr>
                    <w:rFonts w:asciiTheme="minorHAnsi" w:hAnsiTheme="minorHAnsi" w:cstheme="minorHAnsi"/>
                    <w:b w:val="0"/>
                    <w:sz w:val="20"/>
                    <w:szCs w:val="20"/>
                  </w:rPr>
                  <w:t>TO</w:t>
                </w:r>
                <w:r w:rsidR="00B41882">
                  <w:rPr>
                    <w:rFonts w:asciiTheme="minorHAnsi" w:hAnsiTheme="minorHAnsi" w:cstheme="minorHAnsi"/>
                    <w:b w:val="0"/>
                    <w:sz w:val="20"/>
                    <w:szCs w:val="20"/>
                  </w:rPr>
                  <w:t xml:space="preserve"> </w:t>
                </w:r>
                <w:r w:rsidR="0033394E">
                  <w:rPr>
                    <w:rFonts w:asciiTheme="minorHAnsi" w:hAnsiTheme="minorHAnsi" w:cstheme="minorHAnsi"/>
                    <w:b w:val="0"/>
                    <w:sz w:val="20"/>
                    <w:szCs w:val="20"/>
                  </w:rPr>
                  <w:t>T</w:t>
                </w:r>
                <w:r>
                  <w:rPr>
                    <w:rFonts w:asciiTheme="minorHAnsi" w:hAnsiTheme="minorHAnsi" w:cstheme="minorHAnsi"/>
                    <w:b w:val="0"/>
                    <w:sz w:val="20"/>
                    <w:szCs w:val="20"/>
                  </w:rPr>
                  <w:t xml:space="preserve">RIMESTRE </w:t>
                </w:r>
                <w:r w:rsidRPr="008828FB">
                  <w:rPr>
                    <w:rFonts w:asciiTheme="minorHAnsi" w:hAnsiTheme="minorHAnsi" w:cstheme="minorHAnsi"/>
                    <w:b w:val="0"/>
                    <w:sz w:val="20"/>
                    <w:szCs w:val="20"/>
                  </w:rPr>
                  <w:t>DE 201</w:t>
                </w:r>
                <w:r w:rsidR="00B00F3E">
                  <w:rPr>
                    <w:rFonts w:asciiTheme="minorHAnsi" w:hAnsiTheme="minorHAnsi" w:cstheme="minorHAnsi"/>
                    <w:b w:val="0"/>
                    <w:sz w:val="20"/>
                    <w:szCs w:val="20"/>
                  </w:rPr>
                  <w:t>9</w:t>
                </w:r>
              </w:p>
            </w:tc>
          </w:tr>
          <w:tr w:rsidR="00CF4FF1" w:rsidRPr="009F3165" w14:paraId="4F5C3458" w14:textId="77777777" w:rsidTr="00415767">
            <w:trPr>
              <w:trHeight w:val="227"/>
              <w:jc w:val="center"/>
            </w:trPr>
            <w:tc>
              <w:tcPr>
                <w:tcW w:w="7186" w:type="dxa"/>
                <w:shd w:val="clear" w:color="auto" w:fill="D9D9D9" w:themeFill="background1" w:themeFillShade="D9"/>
                <w:vAlign w:val="center"/>
              </w:tcPr>
              <w:p w14:paraId="71FB4392" w14:textId="77777777" w:rsidR="00CF4FF1" w:rsidRPr="009F3165" w:rsidRDefault="00CF4FF1" w:rsidP="007B0AB4">
                <w:pPr>
                  <w:jc w:val="center"/>
                  <w:rPr>
                    <w:b/>
                    <w:lang w:val="es-ES"/>
                  </w:rPr>
                </w:pPr>
                <w:r w:rsidRPr="009F3165">
                  <w:rPr>
                    <w:rFonts w:cstheme="minorHAnsi"/>
                    <w:b/>
                    <w:spacing w:val="20"/>
                    <w:sz w:val="20"/>
                    <w:szCs w:val="20"/>
                  </w:rPr>
                  <w:t>INDICADORES ECONÓMICOS DE COYUNTURA</w:t>
                </w:r>
              </w:p>
            </w:tc>
          </w:tr>
        </w:tbl>
        <w:p w14:paraId="1F50FAFF" w14:textId="77777777" w:rsidR="00CF4FF1" w:rsidRPr="004E148E" w:rsidRDefault="00CF4FF1" w:rsidP="007B0AB4">
          <w:pPr>
            <w:ind w:right="789"/>
            <w:jc w:val="center"/>
            <w:rPr>
              <w:spacing w:val="20"/>
            </w:rPr>
          </w:pPr>
        </w:p>
      </w:tc>
    </w:tr>
  </w:tbl>
  <w:p w14:paraId="74CAE428" w14:textId="77777777" w:rsidR="00CF4FF1" w:rsidRPr="00DD5C92" w:rsidRDefault="00CF4FF1" w:rsidP="004F6682">
    <w:pPr>
      <w:pStyle w:val="Encabezado"/>
      <w:spacing w:after="240"/>
      <w:rPr>
        <w:sz w:val="8"/>
        <w:szCs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998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71"/>
      <w:gridCol w:w="6710"/>
    </w:tblGrid>
    <w:tr w:rsidR="00CF4FF1" w14:paraId="633DE994" w14:textId="77777777" w:rsidTr="00791C38">
      <w:trPr>
        <w:trHeight w:val="1871"/>
      </w:trPr>
      <w:tc>
        <w:tcPr>
          <w:tcW w:w="3345" w:type="dxa"/>
          <w:vAlign w:val="bottom"/>
        </w:tcPr>
        <w:p w14:paraId="632D8700" w14:textId="77777777" w:rsidR="00CF4FF1" w:rsidRDefault="00CF4FF1" w:rsidP="00791C38">
          <w:pPr>
            <w:pStyle w:val="Encabezado"/>
          </w:pPr>
          <w:r>
            <w:rPr>
              <w:noProof/>
              <w:lang w:eastAsia="es-MX"/>
            </w:rPr>
            <w:drawing>
              <wp:inline distT="0" distB="0" distL="0" distR="0" wp14:anchorId="0D5E2606" wp14:editId="6FE55FB6">
                <wp:extent cx="2075815" cy="1165860"/>
                <wp:effectExtent l="19050" t="0" r="635" b="0"/>
                <wp:docPr id="10" name="Imagen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b="28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75815" cy="11658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62" w:type="dxa"/>
          <w:vAlign w:val="center"/>
        </w:tcPr>
        <w:tbl>
          <w:tblPr>
            <w:tblStyle w:val="Tablaconcuadrcula"/>
            <w:tblW w:w="6695" w:type="dxa"/>
            <w:jc w:val="center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ayout w:type="fixed"/>
            <w:tblCellMar>
              <w:top w:w="57" w:type="dxa"/>
              <w:left w:w="57" w:type="dxa"/>
              <w:bottom w:w="57" w:type="dxa"/>
              <w:right w:w="57" w:type="dxa"/>
            </w:tblCellMar>
            <w:tblLook w:val="04A0" w:firstRow="1" w:lastRow="0" w:firstColumn="1" w:lastColumn="0" w:noHBand="0" w:noVBand="1"/>
          </w:tblPr>
          <w:tblGrid>
            <w:gridCol w:w="6695"/>
          </w:tblGrid>
          <w:tr w:rsidR="00CF4FF1" w14:paraId="0CCDEE64" w14:textId="77777777" w:rsidTr="00954400">
            <w:trPr>
              <w:jc w:val="center"/>
            </w:trPr>
            <w:tc>
              <w:tcPr>
                <w:tcW w:w="6695" w:type="dxa"/>
                <w:vAlign w:val="center"/>
              </w:tcPr>
              <w:p w14:paraId="64A0EDC1" w14:textId="77777777" w:rsidR="00CF4FF1" w:rsidRPr="00954400" w:rsidRDefault="00CF4FF1" w:rsidP="00896904">
                <w:pPr>
                  <w:pStyle w:val="Ttulo"/>
                  <w:widowControl w:val="0"/>
                  <w:spacing w:line="200" w:lineRule="exact"/>
                  <w:jc w:val="right"/>
                  <w:rPr>
                    <w:rFonts w:asciiTheme="minorHAnsi" w:hAnsiTheme="minorHAnsi" w:cstheme="minorHAnsi"/>
                    <w:spacing w:val="20"/>
                    <w:sz w:val="22"/>
                    <w:szCs w:val="22"/>
                  </w:rPr>
                </w:pPr>
                <w:r>
                  <w:rPr>
                    <w:rFonts w:asciiTheme="minorHAnsi" w:hAnsiTheme="minorHAnsi" w:cstheme="minorHAnsi"/>
                    <w:b w:val="0"/>
                    <w:sz w:val="20"/>
                    <w:szCs w:val="22"/>
                  </w:rPr>
                  <w:t>FEBRERO</w:t>
                </w:r>
                <w:r w:rsidRPr="00524198">
                  <w:rPr>
                    <w:rFonts w:asciiTheme="minorHAnsi" w:hAnsiTheme="minorHAnsi" w:cstheme="minorHAnsi"/>
                    <w:b w:val="0"/>
                    <w:sz w:val="20"/>
                    <w:szCs w:val="22"/>
                  </w:rPr>
                  <w:t xml:space="preserve"> 1</w:t>
                </w:r>
                <w:r>
                  <w:rPr>
                    <w:rFonts w:asciiTheme="minorHAnsi" w:hAnsiTheme="minorHAnsi" w:cstheme="minorHAnsi"/>
                    <w:b w:val="0"/>
                    <w:sz w:val="20"/>
                    <w:szCs w:val="22"/>
                  </w:rPr>
                  <w:t>4</w:t>
                </w:r>
                <w:r w:rsidRPr="00524198">
                  <w:rPr>
                    <w:rFonts w:asciiTheme="minorHAnsi" w:hAnsiTheme="minorHAnsi" w:cstheme="minorHAnsi"/>
                    <w:b w:val="0"/>
                    <w:sz w:val="20"/>
                    <w:szCs w:val="22"/>
                  </w:rPr>
                  <w:t xml:space="preserve"> DE 2012</w:t>
                </w:r>
              </w:p>
            </w:tc>
          </w:tr>
          <w:tr w:rsidR="00CF4FF1" w14:paraId="46E5C023" w14:textId="77777777" w:rsidTr="00954400">
            <w:trPr>
              <w:trHeight w:val="1134"/>
              <w:jc w:val="center"/>
            </w:trPr>
            <w:tc>
              <w:tcPr>
                <w:tcW w:w="6695" w:type="dxa"/>
                <w:vAlign w:val="center"/>
              </w:tcPr>
              <w:p w14:paraId="533F2DAC" w14:textId="77777777" w:rsidR="00CF4FF1" w:rsidRPr="008828FB" w:rsidRDefault="00CF4FF1" w:rsidP="00954400">
                <w:pPr>
                  <w:pStyle w:val="Ttulo"/>
                  <w:widowControl w:val="0"/>
                  <w:rPr>
                    <w:rFonts w:asciiTheme="minorHAnsi" w:hAnsiTheme="minorHAnsi" w:cstheme="minorHAnsi"/>
                    <w:spacing w:val="20"/>
                    <w:sz w:val="24"/>
                    <w:szCs w:val="24"/>
                  </w:rPr>
                </w:pPr>
                <w:r w:rsidRPr="004F6682">
                  <w:rPr>
                    <w:rFonts w:asciiTheme="minorHAnsi" w:hAnsiTheme="minorHAnsi" w:cstheme="minorHAnsi"/>
                    <w:spacing w:val="20"/>
                    <w:sz w:val="24"/>
                    <w:szCs w:val="24"/>
                  </w:rPr>
                  <w:t>ESTADÍSTICA MENSUAL SOBRE ESTABLECIMIENTOS</w:t>
                </w:r>
                <w:r>
                  <w:rPr>
                    <w:rFonts w:asciiTheme="minorHAnsi" w:hAnsiTheme="minorHAnsi" w:cstheme="minorHAnsi"/>
                    <w:spacing w:val="20"/>
                    <w:sz w:val="24"/>
                    <w:szCs w:val="24"/>
                  </w:rPr>
                  <w:br/>
                </w:r>
                <w:r w:rsidRPr="004F6682">
                  <w:rPr>
                    <w:rFonts w:asciiTheme="minorHAnsi" w:hAnsiTheme="minorHAnsi" w:cstheme="minorHAnsi"/>
                    <w:spacing w:val="20"/>
                    <w:sz w:val="24"/>
                    <w:szCs w:val="24"/>
                  </w:rPr>
                  <w:t>MANUFACTUREROS CON PROGRAMA IMMEX</w:t>
                </w:r>
              </w:p>
              <w:p w14:paraId="39C7F3EE" w14:textId="77777777" w:rsidR="00CF4FF1" w:rsidRPr="008828FB" w:rsidRDefault="00CF4FF1" w:rsidP="00E469FF">
                <w:pPr>
                  <w:pStyle w:val="Ttulo"/>
                  <w:widowControl w:val="0"/>
                  <w:spacing w:line="280" w:lineRule="exact"/>
                  <w:rPr>
                    <w:rFonts w:cstheme="minorHAnsi"/>
                    <w:b w:val="0"/>
                    <w:sz w:val="20"/>
                    <w:szCs w:val="20"/>
                  </w:rPr>
                </w:pPr>
                <w:r w:rsidRPr="008828FB">
                  <w:rPr>
                    <w:rFonts w:asciiTheme="minorHAnsi" w:hAnsiTheme="minorHAnsi" w:cstheme="minorHAnsi"/>
                    <w:b w:val="0"/>
                    <w:sz w:val="20"/>
                    <w:szCs w:val="20"/>
                  </w:rPr>
                  <w:t xml:space="preserve">CIFRAS DURANTE </w:t>
                </w:r>
                <w:r>
                  <w:rPr>
                    <w:rFonts w:asciiTheme="minorHAnsi" w:hAnsiTheme="minorHAnsi" w:cstheme="minorHAnsi"/>
                    <w:b w:val="0"/>
                    <w:sz w:val="20"/>
                    <w:szCs w:val="20"/>
                  </w:rPr>
                  <w:t xml:space="preserve">NOVIEMBRE </w:t>
                </w:r>
                <w:r w:rsidRPr="008828FB">
                  <w:rPr>
                    <w:rFonts w:asciiTheme="minorHAnsi" w:hAnsiTheme="minorHAnsi" w:cstheme="minorHAnsi"/>
                    <w:b w:val="0"/>
                    <w:sz w:val="20"/>
                    <w:szCs w:val="20"/>
                  </w:rPr>
                  <w:t>DE 201</w:t>
                </w:r>
                <w:r>
                  <w:rPr>
                    <w:rFonts w:asciiTheme="minorHAnsi" w:hAnsiTheme="minorHAnsi" w:cstheme="minorHAnsi"/>
                    <w:b w:val="0"/>
                    <w:sz w:val="20"/>
                    <w:szCs w:val="20"/>
                  </w:rPr>
                  <w:t>1</w:t>
                </w:r>
              </w:p>
            </w:tc>
          </w:tr>
          <w:tr w:rsidR="00CF4FF1" w:rsidRPr="009F3165" w14:paraId="27D063A0" w14:textId="77777777" w:rsidTr="00954400">
            <w:trPr>
              <w:trHeight w:val="227"/>
              <w:jc w:val="center"/>
            </w:trPr>
            <w:tc>
              <w:tcPr>
                <w:tcW w:w="6695" w:type="dxa"/>
                <w:shd w:val="clear" w:color="auto" w:fill="D9D9D9" w:themeFill="background1" w:themeFillShade="D9"/>
                <w:vAlign w:val="center"/>
              </w:tcPr>
              <w:p w14:paraId="7708CDE9" w14:textId="77777777" w:rsidR="00CF4FF1" w:rsidRPr="009F3165" w:rsidRDefault="00CF4FF1" w:rsidP="00791C38">
                <w:pPr>
                  <w:jc w:val="center"/>
                  <w:rPr>
                    <w:b/>
                    <w:lang w:val="es-ES"/>
                  </w:rPr>
                </w:pPr>
                <w:r w:rsidRPr="009F3165">
                  <w:rPr>
                    <w:rFonts w:cstheme="minorHAnsi"/>
                    <w:b/>
                    <w:spacing w:val="20"/>
                    <w:sz w:val="20"/>
                    <w:szCs w:val="20"/>
                  </w:rPr>
                  <w:t>INDICADORES ECONÓMICOS DE COYUNTURA</w:t>
                </w:r>
              </w:p>
            </w:tc>
          </w:tr>
        </w:tbl>
        <w:p w14:paraId="008AADE5" w14:textId="77777777" w:rsidR="00CF4FF1" w:rsidRPr="004E148E" w:rsidRDefault="00CF4FF1" w:rsidP="00791C38">
          <w:pPr>
            <w:ind w:right="789"/>
            <w:jc w:val="center"/>
            <w:rPr>
              <w:spacing w:val="20"/>
            </w:rPr>
          </w:pPr>
        </w:p>
      </w:tc>
    </w:tr>
  </w:tbl>
  <w:p w14:paraId="5936C63B" w14:textId="77777777" w:rsidR="00CF4FF1" w:rsidRPr="00CF23F1" w:rsidRDefault="00CF4FF1" w:rsidP="00CF23F1">
    <w:pPr>
      <w:pStyle w:val="Encabezado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CD47E8"/>
    <w:multiLevelType w:val="hybridMultilevel"/>
    <w:tmpl w:val="9F24A11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150B05"/>
    <w:multiLevelType w:val="hybridMultilevel"/>
    <w:tmpl w:val="DA72E8E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58E"/>
    <w:rsid w:val="00000AD7"/>
    <w:rsid w:val="0000148B"/>
    <w:rsid w:val="00003357"/>
    <w:rsid w:val="00005DF8"/>
    <w:rsid w:val="000078DF"/>
    <w:rsid w:val="00010649"/>
    <w:rsid w:val="000117CE"/>
    <w:rsid w:val="00012EFB"/>
    <w:rsid w:val="00013645"/>
    <w:rsid w:val="000145CC"/>
    <w:rsid w:val="000156CD"/>
    <w:rsid w:val="00015940"/>
    <w:rsid w:val="00015A9F"/>
    <w:rsid w:val="00017E01"/>
    <w:rsid w:val="00022436"/>
    <w:rsid w:val="00022CF4"/>
    <w:rsid w:val="000268E6"/>
    <w:rsid w:val="00026FB0"/>
    <w:rsid w:val="00027F6B"/>
    <w:rsid w:val="00031059"/>
    <w:rsid w:val="000316BE"/>
    <w:rsid w:val="000358A4"/>
    <w:rsid w:val="000362AE"/>
    <w:rsid w:val="0004031C"/>
    <w:rsid w:val="00043E03"/>
    <w:rsid w:val="00044408"/>
    <w:rsid w:val="00044423"/>
    <w:rsid w:val="0005021E"/>
    <w:rsid w:val="00051D19"/>
    <w:rsid w:val="00051FBF"/>
    <w:rsid w:val="00052278"/>
    <w:rsid w:val="00053BF4"/>
    <w:rsid w:val="000555B8"/>
    <w:rsid w:val="00055AD4"/>
    <w:rsid w:val="00056391"/>
    <w:rsid w:val="0005770A"/>
    <w:rsid w:val="000606F6"/>
    <w:rsid w:val="00060CE8"/>
    <w:rsid w:val="00061C84"/>
    <w:rsid w:val="0006506C"/>
    <w:rsid w:val="00065299"/>
    <w:rsid w:val="00065EB7"/>
    <w:rsid w:val="00070130"/>
    <w:rsid w:val="00070980"/>
    <w:rsid w:val="00071B61"/>
    <w:rsid w:val="00072331"/>
    <w:rsid w:val="000724F7"/>
    <w:rsid w:val="00072FFA"/>
    <w:rsid w:val="00074D91"/>
    <w:rsid w:val="00076981"/>
    <w:rsid w:val="00080FAD"/>
    <w:rsid w:val="00081D0E"/>
    <w:rsid w:val="000839AD"/>
    <w:rsid w:val="0008415A"/>
    <w:rsid w:val="00086BF2"/>
    <w:rsid w:val="0009072B"/>
    <w:rsid w:val="00090B34"/>
    <w:rsid w:val="0009528F"/>
    <w:rsid w:val="000969EC"/>
    <w:rsid w:val="000A0A5F"/>
    <w:rsid w:val="000A1035"/>
    <w:rsid w:val="000A2BD8"/>
    <w:rsid w:val="000B1B19"/>
    <w:rsid w:val="000B3931"/>
    <w:rsid w:val="000B43CB"/>
    <w:rsid w:val="000B49B5"/>
    <w:rsid w:val="000B5012"/>
    <w:rsid w:val="000C0721"/>
    <w:rsid w:val="000C1BAB"/>
    <w:rsid w:val="000C25C8"/>
    <w:rsid w:val="000C5A4A"/>
    <w:rsid w:val="000C5B1E"/>
    <w:rsid w:val="000C6FDC"/>
    <w:rsid w:val="000D0CFD"/>
    <w:rsid w:val="000D16F0"/>
    <w:rsid w:val="000D1911"/>
    <w:rsid w:val="000D250F"/>
    <w:rsid w:val="000D2B1C"/>
    <w:rsid w:val="000D32CA"/>
    <w:rsid w:val="000D5277"/>
    <w:rsid w:val="000D5896"/>
    <w:rsid w:val="000D5EA4"/>
    <w:rsid w:val="000D654C"/>
    <w:rsid w:val="000D7CC9"/>
    <w:rsid w:val="000E0533"/>
    <w:rsid w:val="000E05BF"/>
    <w:rsid w:val="000E0A2A"/>
    <w:rsid w:val="000E1207"/>
    <w:rsid w:val="000E2864"/>
    <w:rsid w:val="000E2F72"/>
    <w:rsid w:val="000E78BE"/>
    <w:rsid w:val="000F4767"/>
    <w:rsid w:val="000F5F78"/>
    <w:rsid w:val="000F773F"/>
    <w:rsid w:val="00100717"/>
    <w:rsid w:val="00101945"/>
    <w:rsid w:val="00101D31"/>
    <w:rsid w:val="00103046"/>
    <w:rsid w:val="00103A21"/>
    <w:rsid w:val="001046EE"/>
    <w:rsid w:val="00105F5E"/>
    <w:rsid w:val="0010796D"/>
    <w:rsid w:val="001108A3"/>
    <w:rsid w:val="00111C14"/>
    <w:rsid w:val="00111DFA"/>
    <w:rsid w:val="00113C4B"/>
    <w:rsid w:val="00114201"/>
    <w:rsid w:val="0011575F"/>
    <w:rsid w:val="001162D0"/>
    <w:rsid w:val="00121C9A"/>
    <w:rsid w:val="00124635"/>
    <w:rsid w:val="00124A2D"/>
    <w:rsid w:val="001267AD"/>
    <w:rsid w:val="00127B37"/>
    <w:rsid w:val="00132326"/>
    <w:rsid w:val="0013238B"/>
    <w:rsid w:val="00132EB8"/>
    <w:rsid w:val="00134BBE"/>
    <w:rsid w:val="00140140"/>
    <w:rsid w:val="00140B3C"/>
    <w:rsid w:val="00140EA7"/>
    <w:rsid w:val="001427F6"/>
    <w:rsid w:val="0014391D"/>
    <w:rsid w:val="001442BA"/>
    <w:rsid w:val="0014433E"/>
    <w:rsid w:val="00144C95"/>
    <w:rsid w:val="00152827"/>
    <w:rsid w:val="00153E23"/>
    <w:rsid w:val="00155B41"/>
    <w:rsid w:val="00156ACE"/>
    <w:rsid w:val="00160D89"/>
    <w:rsid w:val="0016327D"/>
    <w:rsid w:val="00163637"/>
    <w:rsid w:val="00164826"/>
    <w:rsid w:val="00181384"/>
    <w:rsid w:val="00181667"/>
    <w:rsid w:val="00182952"/>
    <w:rsid w:val="001831DF"/>
    <w:rsid w:val="0018473D"/>
    <w:rsid w:val="001869DF"/>
    <w:rsid w:val="00192C5C"/>
    <w:rsid w:val="0019309A"/>
    <w:rsid w:val="0019390E"/>
    <w:rsid w:val="00196B09"/>
    <w:rsid w:val="001A0F93"/>
    <w:rsid w:val="001A1CD5"/>
    <w:rsid w:val="001A2949"/>
    <w:rsid w:val="001A3325"/>
    <w:rsid w:val="001A5A74"/>
    <w:rsid w:val="001A7C1B"/>
    <w:rsid w:val="001B065C"/>
    <w:rsid w:val="001B06C0"/>
    <w:rsid w:val="001B1949"/>
    <w:rsid w:val="001B1AF4"/>
    <w:rsid w:val="001B2369"/>
    <w:rsid w:val="001B2A97"/>
    <w:rsid w:val="001B2B40"/>
    <w:rsid w:val="001B43BE"/>
    <w:rsid w:val="001B5C6A"/>
    <w:rsid w:val="001B5D2B"/>
    <w:rsid w:val="001B5FF0"/>
    <w:rsid w:val="001B65FD"/>
    <w:rsid w:val="001B7D39"/>
    <w:rsid w:val="001C0318"/>
    <w:rsid w:val="001C3636"/>
    <w:rsid w:val="001C4684"/>
    <w:rsid w:val="001D016D"/>
    <w:rsid w:val="001D37DD"/>
    <w:rsid w:val="001D477E"/>
    <w:rsid w:val="001D5591"/>
    <w:rsid w:val="001D5949"/>
    <w:rsid w:val="001E04F0"/>
    <w:rsid w:val="001E1183"/>
    <w:rsid w:val="001E31E0"/>
    <w:rsid w:val="001E5194"/>
    <w:rsid w:val="001F2A4A"/>
    <w:rsid w:val="001F4676"/>
    <w:rsid w:val="002008A2"/>
    <w:rsid w:val="00201009"/>
    <w:rsid w:val="00202E52"/>
    <w:rsid w:val="00202EFB"/>
    <w:rsid w:val="00204D2D"/>
    <w:rsid w:val="00211BEE"/>
    <w:rsid w:val="00211D1D"/>
    <w:rsid w:val="00211D49"/>
    <w:rsid w:val="00212E69"/>
    <w:rsid w:val="002139B8"/>
    <w:rsid w:val="0021427B"/>
    <w:rsid w:val="00215705"/>
    <w:rsid w:val="0021607A"/>
    <w:rsid w:val="002172BC"/>
    <w:rsid w:val="00220137"/>
    <w:rsid w:val="00222E91"/>
    <w:rsid w:val="002236E0"/>
    <w:rsid w:val="00223BEC"/>
    <w:rsid w:val="00224C0C"/>
    <w:rsid w:val="00224DA5"/>
    <w:rsid w:val="00225DC5"/>
    <w:rsid w:val="00226068"/>
    <w:rsid w:val="00230C7C"/>
    <w:rsid w:val="00230F9A"/>
    <w:rsid w:val="0023193B"/>
    <w:rsid w:val="00233070"/>
    <w:rsid w:val="002347B0"/>
    <w:rsid w:val="0023525C"/>
    <w:rsid w:val="00235B73"/>
    <w:rsid w:val="002364A4"/>
    <w:rsid w:val="00236B57"/>
    <w:rsid w:val="00236CBC"/>
    <w:rsid w:val="00237911"/>
    <w:rsid w:val="00240487"/>
    <w:rsid w:val="00241EB7"/>
    <w:rsid w:val="00242838"/>
    <w:rsid w:val="00242965"/>
    <w:rsid w:val="00242CC2"/>
    <w:rsid w:val="002434F8"/>
    <w:rsid w:val="0024384F"/>
    <w:rsid w:val="00247680"/>
    <w:rsid w:val="00251FEF"/>
    <w:rsid w:val="00253CB4"/>
    <w:rsid w:val="00257663"/>
    <w:rsid w:val="00260C5D"/>
    <w:rsid w:val="00263010"/>
    <w:rsid w:val="00263694"/>
    <w:rsid w:val="00264761"/>
    <w:rsid w:val="002647FE"/>
    <w:rsid w:val="00264B4B"/>
    <w:rsid w:val="0026569B"/>
    <w:rsid w:val="00265D27"/>
    <w:rsid w:val="00265E80"/>
    <w:rsid w:val="00266061"/>
    <w:rsid w:val="00266ACD"/>
    <w:rsid w:val="002719FB"/>
    <w:rsid w:val="00272D92"/>
    <w:rsid w:val="00274010"/>
    <w:rsid w:val="00275CE5"/>
    <w:rsid w:val="002773BF"/>
    <w:rsid w:val="00280486"/>
    <w:rsid w:val="00281D1F"/>
    <w:rsid w:val="00284A23"/>
    <w:rsid w:val="002851AB"/>
    <w:rsid w:val="0028535F"/>
    <w:rsid w:val="00292100"/>
    <w:rsid w:val="002943EB"/>
    <w:rsid w:val="00294440"/>
    <w:rsid w:val="00294A4E"/>
    <w:rsid w:val="00296681"/>
    <w:rsid w:val="00296CD6"/>
    <w:rsid w:val="002A0EAB"/>
    <w:rsid w:val="002A5C27"/>
    <w:rsid w:val="002B0318"/>
    <w:rsid w:val="002B0BE7"/>
    <w:rsid w:val="002B0D6A"/>
    <w:rsid w:val="002B2FAF"/>
    <w:rsid w:val="002B37D1"/>
    <w:rsid w:val="002B38C5"/>
    <w:rsid w:val="002B38D0"/>
    <w:rsid w:val="002C05ED"/>
    <w:rsid w:val="002C094A"/>
    <w:rsid w:val="002C0BFB"/>
    <w:rsid w:val="002C14FD"/>
    <w:rsid w:val="002C164E"/>
    <w:rsid w:val="002C5BD5"/>
    <w:rsid w:val="002C6695"/>
    <w:rsid w:val="002C679C"/>
    <w:rsid w:val="002D02A6"/>
    <w:rsid w:val="002D0BE9"/>
    <w:rsid w:val="002D20C8"/>
    <w:rsid w:val="002D2C95"/>
    <w:rsid w:val="002D2D27"/>
    <w:rsid w:val="002D30EE"/>
    <w:rsid w:val="002D49D6"/>
    <w:rsid w:val="002D4D9E"/>
    <w:rsid w:val="002D5DC7"/>
    <w:rsid w:val="002D77A0"/>
    <w:rsid w:val="002E2567"/>
    <w:rsid w:val="002E4A62"/>
    <w:rsid w:val="002E7F82"/>
    <w:rsid w:val="002F06F7"/>
    <w:rsid w:val="002F0837"/>
    <w:rsid w:val="002F122D"/>
    <w:rsid w:val="002F1B26"/>
    <w:rsid w:val="002F1D72"/>
    <w:rsid w:val="002F41F6"/>
    <w:rsid w:val="002F4295"/>
    <w:rsid w:val="002F4581"/>
    <w:rsid w:val="002F4B45"/>
    <w:rsid w:val="002F553E"/>
    <w:rsid w:val="002F5BBF"/>
    <w:rsid w:val="002F61EF"/>
    <w:rsid w:val="003031DE"/>
    <w:rsid w:val="00305ADF"/>
    <w:rsid w:val="00311F1F"/>
    <w:rsid w:val="00313712"/>
    <w:rsid w:val="003152C0"/>
    <w:rsid w:val="0031647D"/>
    <w:rsid w:val="003208CA"/>
    <w:rsid w:val="00323185"/>
    <w:rsid w:val="00323312"/>
    <w:rsid w:val="0033016D"/>
    <w:rsid w:val="003313C8"/>
    <w:rsid w:val="00332C57"/>
    <w:rsid w:val="00333125"/>
    <w:rsid w:val="003334D6"/>
    <w:rsid w:val="0033394E"/>
    <w:rsid w:val="0033475D"/>
    <w:rsid w:val="003349D0"/>
    <w:rsid w:val="00334A26"/>
    <w:rsid w:val="003357ED"/>
    <w:rsid w:val="00340610"/>
    <w:rsid w:val="00341A4F"/>
    <w:rsid w:val="00341AB9"/>
    <w:rsid w:val="003420F5"/>
    <w:rsid w:val="00342AB6"/>
    <w:rsid w:val="003433B2"/>
    <w:rsid w:val="00343557"/>
    <w:rsid w:val="00345DB4"/>
    <w:rsid w:val="00346918"/>
    <w:rsid w:val="003476D5"/>
    <w:rsid w:val="00347A12"/>
    <w:rsid w:val="00353AFC"/>
    <w:rsid w:val="00353FC3"/>
    <w:rsid w:val="00354B8C"/>
    <w:rsid w:val="00357DA0"/>
    <w:rsid w:val="003622A7"/>
    <w:rsid w:val="0036387A"/>
    <w:rsid w:val="00366112"/>
    <w:rsid w:val="003664E7"/>
    <w:rsid w:val="00367EC8"/>
    <w:rsid w:val="003727A3"/>
    <w:rsid w:val="00373153"/>
    <w:rsid w:val="00376940"/>
    <w:rsid w:val="003771A6"/>
    <w:rsid w:val="00380ED2"/>
    <w:rsid w:val="00381617"/>
    <w:rsid w:val="00382162"/>
    <w:rsid w:val="0038346E"/>
    <w:rsid w:val="003860ED"/>
    <w:rsid w:val="003908FC"/>
    <w:rsid w:val="00391581"/>
    <w:rsid w:val="003918DC"/>
    <w:rsid w:val="0039219B"/>
    <w:rsid w:val="00392278"/>
    <w:rsid w:val="00392B93"/>
    <w:rsid w:val="00392FDC"/>
    <w:rsid w:val="003936B6"/>
    <w:rsid w:val="0039574E"/>
    <w:rsid w:val="003968F9"/>
    <w:rsid w:val="00397679"/>
    <w:rsid w:val="003A189E"/>
    <w:rsid w:val="003A5775"/>
    <w:rsid w:val="003B070B"/>
    <w:rsid w:val="003B0B93"/>
    <w:rsid w:val="003B1187"/>
    <w:rsid w:val="003B1568"/>
    <w:rsid w:val="003B1D2B"/>
    <w:rsid w:val="003B2E4A"/>
    <w:rsid w:val="003B5675"/>
    <w:rsid w:val="003B633E"/>
    <w:rsid w:val="003B72DC"/>
    <w:rsid w:val="003B7920"/>
    <w:rsid w:val="003C0059"/>
    <w:rsid w:val="003C1694"/>
    <w:rsid w:val="003C63EF"/>
    <w:rsid w:val="003D017A"/>
    <w:rsid w:val="003D084B"/>
    <w:rsid w:val="003D411C"/>
    <w:rsid w:val="003D4269"/>
    <w:rsid w:val="003D4284"/>
    <w:rsid w:val="003E0070"/>
    <w:rsid w:val="003E146B"/>
    <w:rsid w:val="003E1C03"/>
    <w:rsid w:val="003E22FB"/>
    <w:rsid w:val="003E3102"/>
    <w:rsid w:val="003E5664"/>
    <w:rsid w:val="003E5807"/>
    <w:rsid w:val="003E61FA"/>
    <w:rsid w:val="003E7BBF"/>
    <w:rsid w:val="003F199C"/>
    <w:rsid w:val="003F2F6F"/>
    <w:rsid w:val="003F313E"/>
    <w:rsid w:val="003F6615"/>
    <w:rsid w:val="00400BAD"/>
    <w:rsid w:val="004016CE"/>
    <w:rsid w:val="00402967"/>
    <w:rsid w:val="00404075"/>
    <w:rsid w:val="0040449C"/>
    <w:rsid w:val="00406186"/>
    <w:rsid w:val="0040647C"/>
    <w:rsid w:val="004067B3"/>
    <w:rsid w:val="00406C12"/>
    <w:rsid w:val="00407326"/>
    <w:rsid w:val="0041324F"/>
    <w:rsid w:val="00414A41"/>
    <w:rsid w:val="00415767"/>
    <w:rsid w:val="00416744"/>
    <w:rsid w:val="00423AB4"/>
    <w:rsid w:val="00423C7F"/>
    <w:rsid w:val="00424F83"/>
    <w:rsid w:val="0042564F"/>
    <w:rsid w:val="00426A71"/>
    <w:rsid w:val="004312F4"/>
    <w:rsid w:val="0043247A"/>
    <w:rsid w:val="004336E2"/>
    <w:rsid w:val="00433801"/>
    <w:rsid w:val="0043464C"/>
    <w:rsid w:val="00435D42"/>
    <w:rsid w:val="00436392"/>
    <w:rsid w:val="00436422"/>
    <w:rsid w:val="00441064"/>
    <w:rsid w:val="004410D9"/>
    <w:rsid w:val="0044244A"/>
    <w:rsid w:val="00442A6F"/>
    <w:rsid w:val="004434C1"/>
    <w:rsid w:val="00445995"/>
    <w:rsid w:val="00450972"/>
    <w:rsid w:val="00453F60"/>
    <w:rsid w:val="0045458E"/>
    <w:rsid w:val="00457FC3"/>
    <w:rsid w:val="00460282"/>
    <w:rsid w:val="004608B9"/>
    <w:rsid w:val="0046122D"/>
    <w:rsid w:val="0047095B"/>
    <w:rsid w:val="004710C7"/>
    <w:rsid w:val="00471C4A"/>
    <w:rsid w:val="00472E4A"/>
    <w:rsid w:val="00475FDB"/>
    <w:rsid w:val="004768E1"/>
    <w:rsid w:val="00477C54"/>
    <w:rsid w:val="00482C64"/>
    <w:rsid w:val="00483413"/>
    <w:rsid w:val="00484AD0"/>
    <w:rsid w:val="00484DBB"/>
    <w:rsid w:val="00484F23"/>
    <w:rsid w:val="00485FD1"/>
    <w:rsid w:val="0048610E"/>
    <w:rsid w:val="00486BFE"/>
    <w:rsid w:val="00486EF6"/>
    <w:rsid w:val="0049003A"/>
    <w:rsid w:val="00492744"/>
    <w:rsid w:val="00492E92"/>
    <w:rsid w:val="00492F59"/>
    <w:rsid w:val="004978E7"/>
    <w:rsid w:val="00497B46"/>
    <w:rsid w:val="004A28B2"/>
    <w:rsid w:val="004A32FE"/>
    <w:rsid w:val="004A478F"/>
    <w:rsid w:val="004A5607"/>
    <w:rsid w:val="004B2F10"/>
    <w:rsid w:val="004B3CA6"/>
    <w:rsid w:val="004B6394"/>
    <w:rsid w:val="004B6D2E"/>
    <w:rsid w:val="004B7854"/>
    <w:rsid w:val="004C071F"/>
    <w:rsid w:val="004C0C5D"/>
    <w:rsid w:val="004C0CEC"/>
    <w:rsid w:val="004C108E"/>
    <w:rsid w:val="004C29AC"/>
    <w:rsid w:val="004C37CA"/>
    <w:rsid w:val="004C3B60"/>
    <w:rsid w:val="004C4427"/>
    <w:rsid w:val="004C6274"/>
    <w:rsid w:val="004C62AA"/>
    <w:rsid w:val="004D0D90"/>
    <w:rsid w:val="004D0E0F"/>
    <w:rsid w:val="004D27D0"/>
    <w:rsid w:val="004D3192"/>
    <w:rsid w:val="004D7635"/>
    <w:rsid w:val="004D7A5D"/>
    <w:rsid w:val="004E0B7F"/>
    <w:rsid w:val="004E15F6"/>
    <w:rsid w:val="004E1C4B"/>
    <w:rsid w:val="004E2164"/>
    <w:rsid w:val="004E254D"/>
    <w:rsid w:val="004E447A"/>
    <w:rsid w:val="004E4EE4"/>
    <w:rsid w:val="004E5941"/>
    <w:rsid w:val="004E7E82"/>
    <w:rsid w:val="004F0EDA"/>
    <w:rsid w:val="004F1394"/>
    <w:rsid w:val="004F252B"/>
    <w:rsid w:val="004F34EF"/>
    <w:rsid w:val="004F3F88"/>
    <w:rsid w:val="004F45F6"/>
    <w:rsid w:val="004F6682"/>
    <w:rsid w:val="004F6F93"/>
    <w:rsid w:val="0050055C"/>
    <w:rsid w:val="00501140"/>
    <w:rsid w:val="00503926"/>
    <w:rsid w:val="0050740A"/>
    <w:rsid w:val="0051273E"/>
    <w:rsid w:val="00512BB6"/>
    <w:rsid w:val="00512E87"/>
    <w:rsid w:val="00513C4F"/>
    <w:rsid w:val="00514437"/>
    <w:rsid w:val="00514A8B"/>
    <w:rsid w:val="00515655"/>
    <w:rsid w:val="00520576"/>
    <w:rsid w:val="00520940"/>
    <w:rsid w:val="0052306F"/>
    <w:rsid w:val="005239C7"/>
    <w:rsid w:val="00523FE4"/>
    <w:rsid w:val="00524198"/>
    <w:rsid w:val="005241B3"/>
    <w:rsid w:val="00524875"/>
    <w:rsid w:val="005255FE"/>
    <w:rsid w:val="00531CB4"/>
    <w:rsid w:val="005328FA"/>
    <w:rsid w:val="00533CBD"/>
    <w:rsid w:val="005348E9"/>
    <w:rsid w:val="00536D99"/>
    <w:rsid w:val="00537036"/>
    <w:rsid w:val="005373EE"/>
    <w:rsid w:val="0054088F"/>
    <w:rsid w:val="00540980"/>
    <w:rsid w:val="00540B84"/>
    <w:rsid w:val="005419FD"/>
    <w:rsid w:val="00543B96"/>
    <w:rsid w:val="0054694B"/>
    <w:rsid w:val="00552F83"/>
    <w:rsid w:val="0055424C"/>
    <w:rsid w:val="00554B75"/>
    <w:rsid w:val="00555174"/>
    <w:rsid w:val="00555C1F"/>
    <w:rsid w:val="005568B3"/>
    <w:rsid w:val="005577E2"/>
    <w:rsid w:val="00561099"/>
    <w:rsid w:val="0056157A"/>
    <w:rsid w:val="00564BDB"/>
    <w:rsid w:val="00567836"/>
    <w:rsid w:val="00570A4A"/>
    <w:rsid w:val="00571DCC"/>
    <w:rsid w:val="005727E5"/>
    <w:rsid w:val="005759CB"/>
    <w:rsid w:val="00576E7E"/>
    <w:rsid w:val="00577551"/>
    <w:rsid w:val="0057797D"/>
    <w:rsid w:val="00581A5A"/>
    <w:rsid w:val="0058231B"/>
    <w:rsid w:val="005836F9"/>
    <w:rsid w:val="00585681"/>
    <w:rsid w:val="005856D4"/>
    <w:rsid w:val="00585F3D"/>
    <w:rsid w:val="00585F8E"/>
    <w:rsid w:val="00586179"/>
    <w:rsid w:val="00586B31"/>
    <w:rsid w:val="00595108"/>
    <w:rsid w:val="005956B1"/>
    <w:rsid w:val="00595C74"/>
    <w:rsid w:val="005A0E10"/>
    <w:rsid w:val="005A1A21"/>
    <w:rsid w:val="005A2907"/>
    <w:rsid w:val="005A2E90"/>
    <w:rsid w:val="005A338A"/>
    <w:rsid w:val="005A352D"/>
    <w:rsid w:val="005A36C2"/>
    <w:rsid w:val="005A39EB"/>
    <w:rsid w:val="005A5151"/>
    <w:rsid w:val="005A597C"/>
    <w:rsid w:val="005A6205"/>
    <w:rsid w:val="005A6B1C"/>
    <w:rsid w:val="005B269F"/>
    <w:rsid w:val="005B4D73"/>
    <w:rsid w:val="005B4E85"/>
    <w:rsid w:val="005B5C91"/>
    <w:rsid w:val="005B60E1"/>
    <w:rsid w:val="005B71B5"/>
    <w:rsid w:val="005B7DBC"/>
    <w:rsid w:val="005C141E"/>
    <w:rsid w:val="005C2C6B"/>
    <w:rsid w:val="005C3706"/>
    <w:rsid w:val="005C3A77"/>
    <w:rsid w:val="005C400E"/>
    <w:rsid w:val="005C5287"/>
    <w:rsid w:val="005C6518"/>
    <w:rsid w:val="005D1D71"/>
    <w:rsid w:val="005D312B"/>
    <w:rsid w:val="005D5413"/>
    <w:rsid w:val="005E06E6"/>
    <w:rsid w:val="005E1943"/>
    <w:rsid w:val="005E19E9"/>
    <w:rsid w:val="005E2AC4"/>
    <w:rsid w:val="005E5626"/>
    <w:rsid w:val="005E5E70"/>
    <w:rsid w:val="005E6DA7"/>
    <w:rsid w:val="005E72B5"/>
    <w:rsid w:val="005E78F8"/>
    <w:rsid w:val="005F0B95"/>
    <w:rsid w:val="005F1646"/>
    <w:rsid w:val="005F2C85"/>
    <w:rsid w:val="005F34FA"/>
    <w:rsid w:val="005F3892"/>
    <w:rsid w:val="005F511A"/>
    <w:rsid w:val="00602B55"/>
    <w:rsid w:val="00602F39"/>
    <w:rsid w:val="00603282"/>
    <w:rsid w:val="0060537A"/>
    <w:rsid w:val="0060646D"/>
    <w:rsid w:val="0061356E"/>
    <w:rsid w:val="00614FA2"/>
    <w:rsid w:val="00616E52"/>
    <w:rsid w:val="006176EC"/>
    <w:rsid w:val="00617C9A"/>
    <w:rsid w:val="00617F22"/>
    <w:rsid w:val="006212A0"/>
    <w:rsid w:val="006213E1"/>
    <w:rsid w:val="006216DF"/>
    <w:rsid w:val="00621FEB"/>
    <w:rsid w:val="0062362B"/>
    <w:rsid w:val="006240D9"/>
    <w:rsid w:val="006245CF"/>
    <w:rsid w:val="00625B2F"/>
    <w:rsid w:val="006305ED"/>
    <w:rsid w:val="00630B5D"/>
    <w:rsid w:val="006322BD"/>
    <w:rsid w:val="00632A33"/>
    <w:rsid w:val="00633DB7"/>
    <w:rsid w:val="00634F12"/>
    <w:rsid w:val="00637701"/>
    <w:rsid w:val="00642732"/>
    <w:rsid w:val="00650A67"/>
    <w:rsid w:val="0065287E"/>
    <w:rsid w:val="00655F40"/>
    <w:rsid w:val="00660799"/>
    <w:rsid w:val="00663366"/>
    <w:rsid w:val="00664E02"/>
    <w:rsid w:val="00665270"/>
    <w:rsid w:val="00670412"/>
    <w:rsid w:val="006711E0"/>
    <w:rsid w:val="00671F90"/>
    <w:rsid w:val="00672C57"/>
    <w:rsid w:val="0067314B"/>
    <w:rsid w:val="006732D5"/>
    <w:rsid w:val="00673570"/>
    <w:rsid w:val="00674084"/>
    <w:rsid w:val="00674C5D"/>
    <w:rsid w:val="006752D1"/>
    <w:rsid w:val="00675E50"/>
    <w:rsid w:val="00676ECD"/>
    <w:rsid w:val="006848B9"/>
    <w:rsid w:val="00684FEF"/>
    <w:rsid w:val="006856D8"/>
    <w:rsid w:val="00685DFA"/>
    <w:rsid w:val="0068617F"/>
    <w:rsid w:val="006861D8"/>
    <w:rsid w:val="006902CF"/>
    <w:rsid w:val="00690D89"/>
    <w:rsid w:val="00693714"/>
    <w:rsid w:val="00696B53"/>
    <w:rsid w:val="006975AD"/>
    <w:rsid w:val="006A0606"/>
    <w:rsid w:val="006A0F42"/>
    <w:rsid w:val="006A1F98"/>
    <w:rsid w:val="006A642D"/>
    <w:rsid w:val="006B243B"/>
    <w:rsid w:val="006B32AA"/>
    <w:rsid w:val="006B384B"/>
    <w:rsid w:val="006B5A9C"/>
    <w:rsid w:val="006B6032"/>
    <w:rsid w:val="006B73AF"/>
    <w:rsid w:val="006C2A10"/>
    <w:rsid w:val="006C3D65"/>
    <w:rsid w:val="006C4EDF"/>
    <w:rsid w:val="006C74BC"/>
    <w:rsid w:val="006D4653"/>
    <w:rsid w:val="006D7256"/>
    <w:rsid w:val="006E0522"/>
    <w:rsid w:val="006E0780"/>
    <w:rsid w:val="006E0FF2"/>
    <w:rsid w:val="006E1673"/>
    <w:rsid w:val="006E4331"/>
    <w:rsid w:val="006E4CAD"/>
    <w:rsid w:val="006E51BC"/>
    <w:rsid w:val="006F0A00"/>
    <w:rsid w:val="006F0A78"/>
    <w:rsid w:val="006F2366"/>
    <w:rsid w:val="006F242E"/>
    <w:rsid w:val="006F2DB2"/>
    <w:rsid w:val="006F30F8"/>
    <w:rsid w:val="006F3718"/>
    <w:rsid w:val="006F4E61"/>
    <w:rsid w:val="006F5352"/>
    <w:rsid w:val="006F5D90"/>
    <w:rsid w:val="006F5E2D"/>
    <w:rsid w:val="006F6128"/>
    <w:rsid w:val="0070096A"/>
    <w:rsid w:val="00700F26"/>
    <w:rsid w:val="0070129D"/>
    <w:rsid w:val="00701EE2"/>
    <w:rsid w:val="007024F1"/>
    <w:rsid w:val="00703371"/>
    <w:rsid w:val="007037F9"/>
    <w:rsid w:val="00703A09"/>
    <w:rsid w:val="00703D2C"/>
    <w:rsid w:val="00704613"/>
    <w:rsid w:val="00705C95"/>
    <w:rsid w:val="007076E6"/>
    <w:rsid w:val="00707B3E"/>
    <w:rsid w:val="00710A21"/>
    <w:rsid w:val="00711F8D"/>
    <w:rsid w:val="007133F7"/>
    <w:rsid w:val="007134C9"/>
    <w:rsid w:val="007136BA"/>
    <w:rsid w:val="00714AEE"/>
    <w:rsid w:val="007150E9"/>
    <w:rsid w:val="00717367"/>
    <w:rsid w:val="007218BD"/>
    <w:rsid w:val="00721A4F"/>
    <w:rsid w:val="00721C41"/>
    <w:rsid w:val="00723C8B"/>
    <w:rsid w:val="007250CD"/>
    <w:rsid w:val="00726255"/>
    <w:rsid w:val="00730089"/>
    <w:rsid w:val="0073341A"/>
    <w:rsid w:val="00734C45"/>
    <w:rsid w:val="00737AC7"/>
    <w:rsid w:val="007406D6"/>
    <w:rsid w:val="00741A13"/>
    <w:rsid w:val="00744CC2"/>
    <w:rsid w:val="00745372"/>
    <w:rsid w:val="00747A12"/>
    <w:rsid w:val="00750570"/>
    <w:rsid w:val="00750948"/>
    <w:rsid w:val="007518FC"/>
    <w:rsid w:val="00752F72"/>
    <w:rsid w:val="00754080"/>
    <w:rsid w:val="00755BF5"/>
    <w:rsid w:val="00757BBD"/>
    <w:rsid w:val="007621B3"/>
    <w:rsid w:val="00762719"/>
    <w:rsid w:val="007638B0"/>
    <w:rsid w:val="00764E15"/>
    <w:rsid w:val="00765B24"/>
    <w:rsid w:val="0076691C"/>
    <w:rsid w:val="007707E1"/>
    <w:rsid w:val="00772AF0"/>
    <w:rsid w:val="00780063"/>
    <w:rsid w:val="007801DB"/>
    <w:rsid w:val="00781576"/>
    <w:rsid w:val="00781894"/>
    <w:rsid w:val="00783EE7"/>
    <w:rsid w:val="00784814"/>
    <w:rsid w:val="00785423"/>
    <w:rsid w:val="00785860"/>
    <w:rsid w:val="00791C38"/>
    <w:rsid w:val="00792B4E"/>
    <w:rsid w:val="00792DA2"/>
    <w:rsid w:val="00793509"/>
    <w:rsid w:val="007937E0"/>
    <w:rsid w:val="00794773"/>
    <w:rsid w:val="007951DB"/>
    <w:rsid w:val="007965AE"/>
    <w:rsid w:val="007A047A"/>
    <w:rsid w:val="007A1005"/>
    <w:rsid w:val="007A391A"/>
    <w:rsid w:val="007A3D64"/>
    <w:rsid w:val="007A5B97"/>
    <w:rsid w:val="007A5CA9"/>
    <w:rsid w:val="007A6FF5"/>
    <w:rsid w:val="007B0AB4"/>
    <w:rsid w:val="007B14E4"/>
    <w:rsid w:val="007B33CD"/>
    <w:rsid w:val="007B39ED"/>
    <w:rsid w:val="007B4B79"/>
    <w:rsid w:val="007B5F79"/>
    <w:rsid w:val="007B6059"/>
    <w:rsid w:val="007B7E3E"/>
    <w:rsid w:val="007C0314"/>
    <w:rsid w:val="007C3824"/>
    <w:rsid w:val="007C45EE"/>
    <w:rsid w:val="007C48BB"/>
    <w:rsid w:val="007C5F32"/>
    <w:rsid w:val="007C66A5"/>
    <w:rsid w:val="007D1B5D"/>
    <w:rsid w:val="007D26A1"/>
    <w:rsid w:val="007D29B3"/>
    <w:rsid w:val="007D36F1"/>
    <w:rsid w:val="007D3E48"/>
    <w:rsid w:val="007D4CC9"/>
    <w:rsid w:val="007D7AED"/>
    <w:rsid w:val="007E0BB8"/>
    <w:rsid w:val="007E17DC"/>
    <w:rsid w:val="007E2EAF"/>
    <w:rsid w:val="007E3706"/>
    <w:rsid w:val="007E4A48"/>
    <w:rsid w:val="007E4DBD"/>
    <w:rsid w:val="007E5865"/>
    <w:rsid w:val="007E784E"/>
    <w:rsid w:val="007F0810"/>
    <w:rsid w:val="007F154C"/>
    <w:rsid w:val="007F3C31"/>
    <w:rsid w:val="00801314"/>
    <w:rsid w:val="0080319C"/>
    <w:rsid w:val="008042C3"/>
    <w:rsid w:val="00804C19"/>
    <w:rsid w:val="008111E3"/>
    <w:rsid w:val="00813F85"/>
    <w:rsid w:val="00814E11"/>
    <w:rsid w:val="00815C63"/>
    <w:rsid w:val="00816733"/>
    <w:rsid w:val="00820103"/>
    <w:rsid w:val="00821A70"/>
    <w:rsid w:val="00821B44"/>
    <w:rsid w:val="00821F86"/>
    <w:rsid w:val="00822145"/>
    <w:rsid w:val="0082290C"/>
    <w:rsid w:val="008234F4"/>
    <w:rsid w:val="00824196"/>
    <w:rsid w:val="008256AE"/>
    <w:rsid w:val="008263B5"/>
    <w:rsid w:val="0083033A"/>
    <w:rsid w:val="00831912"/>
    <w:rsid w:val="00831B89"/>
    <w:rsid w:val="00833E50"/>
    <w:rsid w:val="008349CA"/>
    <w:rsid w:val="00835E68"/>
    <w:rsid w:val="00836B17"/>
    <w:rsid w:val="0083716F"/>
    <w:rsid w:val="00837967"/>
    <w:rsid w:val="008417D8"/>
    <w:rsid w:val="00844239"/>
    <w:rsid w:val="0084446E"/>
    <w:rsid w:val="00844672"/>
    <w:rsid w:val="00845219"/>
    <w:rsid w:val="0085135F"/>
    <w:rsid w:val="00852FA5"/>
    <w:rsid w:val="00854D8D"/>
    <w:rsid w:val="00855CE3"/>
    <w:rsid w:val="00856904"/>
    <w:rsid w:val="00856F45"/>
    <w:rsid w:val="008600B8"/>
    <w:rsid w:val="00861B5E"/>
    <w:rsid w:val="00861BAB"/>
    <w:rsid w:val="00861EC1"/>
    <w:rsid w:val="0086249B"/>
    <w:rsid w:val="008639A7"/>
    <w:rsid w:val="008658B1"/>
    <w:rsid w:val="00866A8E"/>
    <w:rsid w:val="00867F17"/>
    <w:rsid w:val="008710EF"/>
    <w:rsid w:val="00871FD9"/>
    <w:rsid w:val="00873A34"/>
    <w:rsid w:val="00875982"/>
    <w:rsid w:val="0087773E"/>
    <w:rsid w:val="00882F7F"/>
    <w:rsid w:val="008831C1"/>
    <w:rsid w:val="008835C1"/>
    <w:rsid w:val="008841B8"/>
    <w:rsid w:val="008849A1"/>
    <w:rsid w:val="00892250"/>
    <w:rsid w:val="00896904"/>
    <w:rsid w:val="008974B5"/>
    <w:rsid w:val="008979C3"/>
    <w:rsid w:val="008979F1"/>
    <w:rsid w:val="00897EFB"/>
    <w:rsid w:val="008A06EB"/>
    <w:rsid w:val="008A0A8B"/>
    <w:rsid w:val="008A2021"/>
    <w:rsid w:val="008A29D2"/>
    <w:rsid w:val="008A60B4"/>
    <w:rsid w:val="008A70F9"/>
    <w:rsid w:val="008A7B6F"/>
    <w:rsid w:val="008B252F"/>
    <w:rsid w:val="008B355F"/>
    <w:rsid w:val="008B5D99"/>
    <w:rsid w:val="008B6577"/>
    <w:rsid w:val="008C0CB7"/>
    <w:rsid w:val="008C1214"/>
    <w:rsid w:val="008C3DCC"/>
    <w:rsid w:val="008C4791"/>
    <w:rsid w:val="008C5A3F"/>
    <w:rsid w:val="008C5E01"/>
    <w:rsid w:val="008C5EAC"/>
    <w:rsid w:val="008C665E"/>
    <w:rsid w:val="008D0D0C"/>
    <w:rsid w:val="008E0C7A"/>
    <w:rsid w:val="008E1923"/>
    <w:rsid w:val="008E1C90"/>
    <w:rsid w:val="008E3F05"/>
    <w:rsid w:val="008E4BD5"/>
    <w:rsid w:val="008E6658"/>
    <w:rsid w:val="008E6897"/>
    <w:rsid w:val="008E71DB"/>
    <w:rsid w:val="008E74A0"/>
    <w:rsid w:val="008F173E"/>
    <w:rsid w:val="008F2C7E"/>
    <w:rsid w:val="008F4C7B"/>
    <w:rsid w:val="008F4E3E"/>
    <w:rsid w:val="008F6330"/>
    <w:rsid w:val="008F6376"/>
    <w:rsid w:val="008F7842"/>
    <w:rsid w:val="008F78ED"/>
    <w:rsid w:val="008F7F10"/>
    <w:rsid w:val="009005C7"/>
    <w:rsid w:val="00902065"/>
    <w:rsid w:val="00903321"/>
    <w:rsid w:val="0090406E"/>
    <w:rsid w:val="00904C26"/>
    <w:rsid w:val="00905351"/>
    <w:rsid w:val="00905650"/>
    <w:rsid w:val="009063E4"/>
    <w:rsid w:val="00907C48"/>
    <w:rsid w:val="00910051"/>
    <w:rsid w:val="00910289"/>
    <w:rsid w:val="00910F7B"/>
    <w:rsid w:val="009146AF"/>
    <w:rsid w:val="00914C26"/>
    <w:rsid w:val="00915978"/>
    <w:rsid w:val="00917198"/>
    <w:rsid w:val="009174F3"/>
    <w:rsid w:val="00917628"/>
    <w:rsid w:val="00917A45"/>
    <w:rsid w:val="00920B2A"/>
    <w:rsid w:val="00921615"/>
    <w:rsid w:val="009277B0"/>
    <w:rsid w:val="00931AC9"/>
    <w:rsid w:val="00933436"/>
    <w:rsid w:val="009339B3"/>
    <w:rsid w:val="00933DA2"/>
    <w:rsid w:val="009347FD"/>
    <w:rsid w:val="00937112"/>
    <w:rsid w:val="00937197"/>
    <w:rsid w:val="0093738E"/>
    <w:rsid w:val="00943850"/>
    <w:rsid w:val="00946FA7"/>
    <w:rsid w:val="00947205"/>
    <w:rsid w:val="00947A34"/>
    <w:rsid w:val="00953893"/>
    <w:rsid w:val="009542CD"/>
    <w:rsid w:val="00954400"/>
    <w:rsid w:val="00955011"/>
    <w:rsid w:val="009568D6"/>
    <w:rsid w:val="00956A7E"/>
    <w:rsid w:val="00957A78"/>
    <w:rsid w:val="0096122D"/>
    <w:rsid w:val="009653FA"/>
    <w:rsid w:val="0096633A"/>
    <w:rsid w:val="009674A7"/>
    <w:rsid w:val="00967F31"/>
    <w:rsid w:val="00970212"/>
    <w:rsid w:val="009716E9"/>
    <w:rsid w:val="00973CC3"/>
    <w:rsid w:val="00984051"/>
    <w:rsid w:val="00985151"/>
    <w:rsid w:val="00985914"/>
    <w:rsid w:val="00985C05"/>
    <w:rsid w:val="00987874"/>
    <w:rsid w:val="00987C76"/>
    <w:rsid w:val="00990AD5"/>
    <w:rsid w:val="0099212D"/>
    <w:rsid w:val="00992B7B"/>
    <w:rsid w:val="00994443"/>
    <w:rsid w:val="009946E5"/>
    <w:rsid w:val="00995F0F"/>
    <w:rsid w:val="009969E1"/>
    <w:rsid w:val="009974CB"/>
    <w:rsid w:val="009978BA"/>
    <w:rsid w:val="009A1063"/>
    <w:rsid w:val="009A1BFA"/>
    <w:rsid w:val="009A6914"/>
    <w:rsid w:val="009A730E"/>
    <w:rsid w:val="009A7917"/>
    <w:rsid w:val="009A7F92"/>
    <w:rsid w:val="009B045A"/>
    <w:rsid w:val="009B0BA1"/>
    <w:rsid w:val="009B1018"/>
    <w:rsid w:val="009B24AB"/>
    <w:rsid w:val="009C1D4D"/>
    <w:rsid w:val="009C2C9C"/>
    <w:rsid w:val="009C5F2D"/>
    <w:rsid w:val="009C6E9F"/>
    <w:rsid w:val="009C7F84"/>
    <w:rsid w:val="009D3DFF"/>
    <w:rsid w:val="009D4128"/>
    <w:rsid w:val="009D457E"/>
    <w:rsid w:val="009D4698"/>
    <w:rsid w:val="009D68CC"/>
    <w:rsid w:val="009D6E2D"/>
    <w:rsid w:val="009E277C"/>
    <w:rsid w:val="009E2F7A"/>
    <w:rsid w:val="009E3CE8"/>
    <w:rsid w:val="009F16B3"/>
    <w:rsid w:val="009F1F30"/>
    <w:rsid w:val="009F232E"/>
    <w:rsid w:val="009F2D71"/>
    <w:rsid w:val="009F4D0F"/>
    <w:rsid w:val="00A03A0D"/>
    <w:rsid w:val="00A04494"/>
    <w:rsid w:val="00A06271"/>
    <w:rsid w:val="00A06684"/>
    <w:rsid w:val="00A1189D"/>
    <w:rsid w:val="00A12B37"/>
    <w:rsid w:val="00A140C5"/>
    <w:rsid w:val="00A1478A"/>
    <w:rsid w:val="00A170FD"/>
    <w:rsid w:val="00A208B5"/>
    <w:rsid w:val="00A21BFF"/>
    <w:rsid w:val="00A231AB"/>
    <w:rsid w:val="00A238BC"/>
    <w:rsid w:val="00A27605"/>
    <w:rsid w:val="00A27C42"/>
    <w:rsid w:val="00A30352"/>
    <w:rsid w:val="00A30FD6"/>
    <w:rsid w:val="00A32778"/>
    <w:rsid w:val="00A32F08"/>
    <w:rsid w:val="00A34805"/>
    <w:rsid w:val="00A34D2C"/>
    <w:rsid w:val="00A37A4C"/>
    <w:rsid w:val="00A40223"/>
    <w:rsid w:val="00A4110F"/>
    <w:rsid w:val="00A41219"/>
    <w:rsid w:val="00A41E62"/>
    <w:rsid w:val="00A45033"/>
    <w:rsid w:val="00A45534"/>
    <w:rsid w:val="00A47127"/>
    <w:rsid w:val="00A5285E"/>
    <w:rsid w:val="00A52D7C"/>
    <w:rsid w:val="00A53DBF"/>
    <w:rsid w:val="00A55BD2"/>
    <w:rsid w:val="00A560FF"/>
    <w:rsid w:val="00A629CD"/>
    <w:rsid w:val="00A63AF5"/>
    <w:rsid w:val="00A659F9"/>
    <w:rsid w:val="00A670AE"/>
    <w:rsid w:val="00A70C41"/>
    <w:rsid w:val="00A72166"/>
    <w:rsid w:val="00A7286E"/>
    <w:rsid w:val="00A72E0C"/>
    <w:rsid w:val="00A7408A"/>
    <w:rsid w:val="00A74B64"/>
    <w:rsid w:val="00A757AD"/>
    <w:rsid w:val="00A76E60"/>
    <w:rsid w:val="00A82748"/>
    <w:rsid w:val="00A84A85"/>
    <w:rsid w:val="00A868B1"/>
    <w:rsid w:val="00A915FC"/>
    <w:rsid w:val="00A93602"/>
    <w:rsid w:val="00A955F2"/>
    <w:rsid w:val="00A96075"/>
    <w:rsid w:val="00A96BAD"/>
    <w:rsid w:val="00A97083"/>
    <w:rsid w:val="00A97FFE"/>
    <w:rsid w:val="00AA05DA"/>
    <w:rsid w:val="00AA1FE5"/>
    <w:rsid w:val="00AA310E"/>
    <w:rsid w:val="00AA72F5"/>
    <w:rsid w:val="00AB0A41"/>
    <w:rsid w:val="00AB10A4"/>
    <w:rsid w:val="00AB2624"/>
    <w:rsid w:val="00AB2B84"/>
    <w:rsid w:val="00AB50EF"/>
    <w:rsid w:val="00AB6542"/>
    <w:rsid w:val="00AB6D67"/>
    <w:rsid w:val="00AC0371"/>
    <w:rsid w:val="00AC22C0"/>
    <w:rsid w:val="00AC23A3"/>
    <w:rsid w:val="00AC394A"/>
    <w:rsid w:val="00AC4C3B"/>
    <w:rsid w:val="00AC4EC6"/>
    <w:rsid w:val="00AC52AE"/>
    <w:rsid w:val="00AC68BC"/>
    <w:rsid w:val="00AC7D45"/>
    <w:rsid w:val="00AD0B01"/>
    <w:rsid w:val="00AD3883"/>
    <w:rsid w:val="00AD4A9A"/>
    <w:rsid w:val="00AD536C"/>
    <w:rsid w:val="00AD6A17"/>
    <w:rsid w:val="00AD78FB"/>
    <w:rsid w:val="00AD7F6C"/>
    <w:rsid w:val="00AE072F"/>
    <w:rsid w:val="00AE0C1F"/>
    <w:rsid w:val="00AE0DAA"/>
    <w:rsid w:val="00AE23D4"/>
    <w:rsid w:val="00AE4278"/>
    <w:rsid w:val="00AE47E5"/>
    <w:rsid w:val="00AF06E1"/>
    <w:rsid w:val="00AF2BF2"/>
    <w:rsid w:val="00AF332B"/>
    <w:rsid w:val="00AF346D"/>
    <w:rsid w:val="00AF463F"/>
    <w:rsid w:val="00AF477A"/>
    <w:rsid w:val="00AF7051"/>
    <w:rsid w:val="00AF7326"/>
    <w:rsid w:val="00B00165"/>
    <w:rsid w:val="00B00F3E"/>
    <w:rsid w:val="00B01620"/>
    <w:rsid w:val="00B02102"/>
    <w:rsid w:val="00B03287"/>
    <w:rsid w:val="00B05E38"/>
    <w:rsid w:val="00B077ED"/>
    <w:rsid w:val="00B07BF8"/>
    <w:rsid w:val="00B103E0"/>
    <w:rsid w:val="00B139B3"/>
    <w:rsid w:val="00B158DB"/>
    <w:rsid w:val="00B20AD4"/>
    <w:rsid w:val="00B23E0B"/>
    <w:rsid w:val="00B23E16"/>
    <w:rsid w:val="00B24599"/>
    <w:rsid w:val="00B2570D"/>
    <w:rsid w:val="00B3174F"/>
    <w:rsid w:val="00B32C87"/>
    <w:rsid w:val="00B33891"/>
    <w:rsid w:val="00B35104"/>
    <w:rsid w:val="00B3563D"/>
    <w:rsid w:val="00B36B28"/>
    <w:rsid w:val="00B3749F"/>
    <w:rsid w:val="00B40EFB"/>
    <w:rsid w:val="00B41882"/>
    <w:rsid w:val="00B41F8B"/>
    <w:rsid w:val="00B43473"/>
    <w:rsid w:val="00B4646E"/>
    <w:rsid w:val="00B46B61"/>
    <w:rsid w:val="00B5600D"/>
    <w:rsid w:val="00B57B52"/>
    <w:rsid w:val="00B613CA"/>
    <w:rsid w:val="00B61D08"/>
    <w:rsid w:val="00B62396"/>
    <w:rsid w:val="00B6253A"/>
    <w:rsid w:val="00B6311F"/>
    <w:rsid w:val="00B64F75"/>
    <w:rsid w:val="00B66173"/>
    <w:rsid w:val="00B67523"/>
    <w:rsid w:val="00B67610"/>
    <w:rsid w:val="00B7079E"/>
    <w:rsid w:val="00B71856"/>
    <w:rsid w:val="00B71CB7"/>
    <w:rsid w:val="00B74AE9"/>
    <w:rsid w:val="00B7506D"/>
    <w:rsid w:val="00B75B9A"/>
    <w:rsid w:val="00B75CD9"/>
    <w:rsid w:val="00B76395"/>
    <w:rsid w:val="00B77C47"/>
    <w:rsid w:val="00B81315"/>
    <w:rsid w:val="00B815AF"/>
    <w:rsid w:val="00B822A1"/>
    <w:rsid w:val="00B837FE"/>
    <w:rsid w:val="00B83863"/>
    <w:rsid w:val="00B84C84"/>
    <w:rsid w:val="00B856B9"/>
    <w:rsid w:val="00B87BAD"/>
    <w:rsid w:val="00B93669"/>
    <w:rsid w:val="00B94198"/>
    <w:rsid w:val="00B946B1"/>
    <w:rsid w:val="00B94BA2"/>
    <w:rsid w:val="00B958BC"/>
    <w:rsid w:val="00B96B7F"/>
    <w:rsid w:val="00B974DD"/>
    <w:rsid w:val="00BA04B7"/>
    <w:rsid w:val="00BA162C"/>
    <w:rsid w:val="00BA1C9E"/>
    <w:rsid w:val="00BA1D62"/>
    <w:rsid w:val="00BA7371"/>
    <w:rsid w:val="00BB08E6"/>
    <w:rsid w:val="00BB250F"/>
    <w:rsid w:val="00BB3093"/>
    <w:rsid w:val="00BB4072"/>
    <w:rsid w:val="00BB610D"/>
    <w:rsid w:val="00BB6EF1"/>
    <w:rsid w:val="00BB6F7D"/>
    <w:rsid w:val="00BB7BDA"/>
    <w:rsid w:val="00BC18C1"/>
    <w:rsid w:val="00BC2582"/>
    <w:rsid w:val="00BC3D71"/>
    <w:rsid w:val="00BC3FB0"/>
    <w:rsid w:val="00BC41A0"/>
    <w:rsid w:val="00BC4639"/>
    <w:rsid w:val="00BC6CC5"/>
    <w:rsid w:val="00BC743F"/>
    <w:rsid w:val="00BD1A4D"/>
    <w:rsid w:val="00BD1B7A"/>
    <w:rsid w:val="00BD284A"/>
    <w:rsid w:val="00BD5B3B"/>
    <w:rsid w:val="00BD69F7"/>
    <w:rsid w:val="00BD7D6C"/>
    <w:rsid w:val="00BE02FC"/>
    <w:rsid w:val="00BE0FBB"/>
    <w:rsid w:val="00BE1256"/>
    <w:rsid w:val="00BE1680"/>
    <w:rsid w:val="00BE193E"/>
    <w:rsid w:val="00BE3311"/>
    <w:rsid w:val="00BE3402"/>
    <w:rsid w:val="00BE6DD7"/>
    <w:rsid w:val="00BE77E9"/>
    <w:rsid w:val="00BF0310"/>
    <w:rsid w:val="00BF19F1"/>
    <w:rsid w:val="00BF4853"/>
    <w:rsid w:val="00BF4EFC"/>
    <w:rsid w:val="00BF6B5A"/>
    <w:rsid w:val="00C00D52"/>
    <w:rsid w:val="00C07657"/>
    <w:rsid w:val="00C07FC8"/>
    <w:rsid w:val="00C1004A"/>
    <w:rsid w:val="00C10D46"/>
    <w:rsid w:val="00C11533"/>
    <w:rsid w:val="00C11E7B"/>
    <w:rsid w:val="00C129C8"/>
    <w:rsid w:val="00C13D38"/>
    <w:rsid w:val="00C14034"/>
    <w:rsid w:val="00C1413D"/>
    <w:rsid w:val="00C14321"/>
    <w:rsid w:val="00C1439A"/>
    <w:rsid w:val="00C147B4"/>
    <w:rsid w:val="00C16302"/>
    <w:rsid w:val="00C166CC"/>
    <w:rsid w:val="00C167F0"/>
    <w:rsid w:val="00C173FC"/>
    <w:rsid w:val="00C17EA0"/>
    <w:rsid w:val="00C20217"/>
    <w:rsid w:val="00C21152"/>
    <w:rsid w:val="00C23BB8"/>
    <w:rsid w:val="00C26C6A"/>
    <w:rsid w:val="00C33083"/>
    <w:rsid w:val="00C334E7"/>
    <w:rsid w:val="00C34CC5"/>
    <w:rsid w:val="00C37087"/>
    <w:rsid w:val="00C40B47"/>
    <w:rsid w:val="00C40F24"/>
    <w:rsid w:val="00C42040"/>
    <w:rsid w:val="00C42DB0"/>
    <w:rsid w:val="00C44D1C"/>
    <w:rsid w:val="00C45AB5"/>
    <w:rsid w:val="00C46880"/>
    <w:rsid w:val="00C46E4C"/>
    <w:rsid w:val="00C50D19"/>
    <w:rsid w:val="00C52DE6"/>
    <w:rsid w:val="00C60248"/>
    <w:rsid w:val="00C625C6"/>
    <w:rsid w:val="00C63250"/>
    <w:rsid w:val="00C63C59"/>
    <w:rsid w:val="00C66405"/>
    <w:rsid w:val="00C6785D"/>
    <w:rsid w:val="00C7001F"/>
    <w:rsid w:val="00C71713"/>
    <w:rsid w:val="00C71940"/>
    <w:rsid w:val="00C71D82"/>
    <w:rsid w:val="00C7407B"/>
    <w:rsid w:val="00C74128"/>
    <w:rsid w:val="00C75A03"/>
    <w:rsid w:val="00C75E15"/>
    <w:rsid w:val="00C7713F"/>
    <w:rsid w:val="00C7737C"/>
    <w:rsid w:val="00C80AAB"/>
    <w:rsid w:val="00C826B6"/>
    <w:rsid w:val="00C82AA3"/>
    <w:rsid w:val="00C8328D"/>
    <w:rsid w:val="00C85EE3"/>
    <w:rsid w:val="00C94488"/>
    <w:rsid w:val="00CA11E8"/>
    <w:rsid w:val="00CA2ECE"/>
    <w:rsid w:val="00CA353A"/>
    <w:rsid w:val="00CA4A3A"/>
    <w:rsid w:val="00CA67A4"/>
    <w:rsid w:val="00CB0ED1"/>
    <w:rsid w:val="00CB14D0"/>
    <w:rsid w:val="00CB3BE8"/>
    <w:rsid w:val="00CB42EE"/>
    <w:rsid w:val="00CB713C"/>
    <w:rsid w:val="00CB73AE"/>
    <w:rsid w:val="00CB7D8C"/>
    <w:rsid w:val="00CC2C51"/>
    <w:rsid w:val="00CC2CA2"/>
    <w:rsid w:val="00CC2E59"/>
    <w:rsid w:val="00CC3221"/>
    <w:rsid w:val="00CC3E4B"/>
    <w:rsid w:val="00CC6552"/>
    <w:rsid w:val="00CC6EA4"/>
    <w:rsid w:val="00CC6F4B"/>
    <w:rsid w:val="00CC7804"/>
    <w:rsid w:val="00CD03B1"/>
    <w:rsid w:val="00CD19A6"/>
    <w:rsid w:val="00CD4227"/>
    <w:rsid w:val="00CD55A2"/>
    <w:rsid w:val="00CE1D82"/>
    <w:rsid w:val="00CE2940"/>
    <w:rsid w:val="00CE4B23"/>
    <w:rsid w:val="00CE66BB"/>
    <w:rsid w:val="00CF0032"/>
    <w:rsid w:val="00CF1D15"/>
    <w:rsid w:val="00CF23F1"/>
    <w:rsid w:val="00CF246A"/>
    <w:rsid w:val="00CF2A26"/>
    <w:rsid w:val="00CF432C"/>
    <w:rsid w:val="00CF4FF1"/>
    <w:rsid w:val="00D01A70"/>
    <w:rsid w:val="00D03DA4"/>
    <w:rsid w:val="00D040B2"/>
    <w:rsid w:val="00D0477C"/>
    <w:rsid w:val="00D049AC"/>
    <w:rsid w:val="00D059B4"/>
    <w:rsid w:val="00D0664C"/>
    <w:rsid w:val="00D066C7"/>
    <w:rsid w:val="00D108A6"/>
    <w:rsid w:val="00D129A9"/>
    <w:rsid w:val="00D12C46"/>
    <w:rsid w:val="00D13141"/>
    <w:rsid w:val="00D1507C"/>
    <w:rsid w:val="00D16AFC"/>
    <w:rsid w:val="00D229D2"/>
    <w:rsid w:val="00D24D51"/>
    <w:rsid w:val="00D25284"/>
    <w:rsid w:val="00D27797"/>
    <w:rsid w:val="00D30071"/>
    <w:rsid w:val="00D31F7A"/>
    <w:rsid w:val="00D359C7"/>
    <w:rsid w:val="00D35D29"/>
    <w:rsid w:val="00D3645A"/>
    <w:rsid w:val="00D37D1C"/>
    <w:rsid w:val="00D42019"/>
    <w:rsid w:val="00D424EE"/>
    <w:rsid w:val="00D46BEA"/>
    <w:rsid w:val="00D47BEC"/>
    <w:rsid w:val="00D47EAA"/>
    <w:rsid w:val="00D52FD6"/>
    <w:rsid w:val="00D5315F"/>
    <w:rsid w:val="00D53385"/>
    <w:rsid w:val="00D54718"/>
    <w:rsid w:val="00D56EBE"/>
    <w:rsid w:val="00D603B3"/>
    <w:rsid w:val="00D62DBC"/>
    <w:rsid w:val="00D62E13"/>
    <w:rsid w:val="00D63149"/>
    <w:rsid w:val="00D645C6"/>
    <w:rsid w:val="00D70167"/>
    <w:rsid w:val="00D708FF"/>
    <w:rsid w:val="00D70D3F"/>
    <w:rsid w:val="00D723FE"/>
    <w:rsid w:val="00D73817"/>
    <w:rsid w:val="00D76C44"/>
    <w:rsid w:val="00D76D0A"/>
    <w:rsid w:val="00D76F7C"/>
    <w:rsid w:val="00D774CC"/>
    <w:rsid w:val="00D77979"/>
    <w:rsid w:val="00D85B98"/>
    <w:rsid w:val="00D864AC"/>
    <w:rsid w:val="00D864EC"/>
    <w:rsid w:val="00D879E6"/>
    <w:rsid w:val="00D87A82"/>
    <w:rsid w:val="00D90882"/>
    <w:rsid w:val="00D91325"/>
    <w:rsid w:val="00D91417"/>
    <w:rsid w:val="00D921A4"/>
    <w:rsid w:val="00D944CE"/>
    <w:rsid w:val="00D96D5A"/>
    <w:rsid w:val="00D96E04"/>
    <w:rsid w:val="00D96E8A"/>
    <w:rsid w:val="00D978E3"/>
    <w:rsid w:val="00DA0522"/>
    <w:rsid w:val="00DA2736"/>
    <w:rsid w:val="00DA3AE4"/>
    <w:rsid w:val="00DA4B1E"/>
    <w:rsid w:val="00DA6498"/>
    <w:rsid w:val="00DA6619"/>
    <w:rsid w:val="00DA678C"/>
    <w:rsid w:val="00DA7569"/>
    <w:rsid w:val="00DB1227"/>
    <w:rsid w:val="00DB1BB9"/>
    <w:rsid w:val="00DB3F99"/>
    <w:rsid w:val="00DB5312"/>
    <w:rsid w:val="00DB6434"/>
    <w:rsid w:val="00DC0462"/>
    <w:rsid w:val="00DC2AD6"/>
    <w:rsid w:val="00DC470E"/>
    <w:rsid w:val="00DC741D"/>
    <w:rsid w:val="00DD06C4"/>
    <w:rsid w:val="00DD2228"/>
    <w:rsid w:val="00DD3A6A"/>
    <w:rsid w:val="00DD492F"/>
    <w:rsid w:val="00DD5C92"/>
    <w:rsid w:val="00DE0EEB"/>
    <w:rsid w:val="00DE0FB8"/>
    <w:rsid w:val="00DE1D55"/>
    <w:rsid w:val="00DE1F0A"/>
    <w:rsid w:val="00DE2344"/>
    <w:rsid w:val="00DE279F"/>
    <w:rsid w:val="00DE2FB8"/>
    <w:rsid w:val="00DE3ADC"/>
    <w:rsid w:val="00DE4177"/>
    <w:rsid w:val="00DE672E"/>
    <w:rsid w:val="00DF2088"/>
    <w:rsid w:val="00DF24DB"/>
    <w:rsid w:val="00DF2756"/>
    <w:rsid w:val="00DF2E81"/>
    <w:rsid w:val="00DF30CD"/>
    <w:rsid w:val="00DF3233"/>
    <w:rsid w:val="00DF4D0C"/>
    <w:rsid w:val="00DF5814"/>
    <w:rsid w:val="00DF7F8C"/>
    <w:rsid w:val="00E01CD9"/>
    <w:rsid w:val="00E0323F"/>
    <w:rsid w:val="00E1193E"/>
    <w:rsid w:val="00E11DB5"/>
    <w:rsid w:val="00E14097"/>
    <w:rsid w:val="00E1480C"/>
    <w:rsid w:val="00E16DBB"/>
    <w:rsid w:val="00E2068A"/>
    <w:rsid w:val="00E22956"/>
    <w:rsid w:val="00E24AC5"/>
    <w:rsid w:val="00E25A68"/>
    <w:rsid w:val="00E26B16"/>
    <w:rsid w:val="00E27040"/>
    <w:rsid w:val="00E3047A"/>
    <w:rsid w:val="00E3324D"/>
    <w:rsid w:val="00E33EA8"/>
    <w:rsid w:val="00E34627"/>
    <w:rsid w:val="00E3575D"/>
    <w:rsid w:val="00E36A7F"/>
    <w:rsid w:val="00E40DD5"/>
    <w:rsid w:val="00E4346B"/>
    <w:rsid w:val="00E441B8"/>
    <w:rsid w:val="00E4541E"/>
    <w:rsid w:val="00E469FF"/>
    <w:rsid w:val="00E507BD"/>
    <w:rsid w:val="00E530A2"/>
    <w:rsid w:val="00E54456"/>
    <w:rsid w:val="00E54583"/>
    <w:rsid w:val="00E60474"/>
    <w:rsid w:val="00E625B5"/>
    <w:rsid w:val="00E64FBD"/>
    <w:rsid w:val="00E66A3E"/>
    <w:rsid w:val="00E66FEC"/>
    <w:rsid w:val="00E70232"/>
    <w:rsid w:val="00E7057E"/>
    <w:rsid w:val="00E7078A"/>
    <w:rsid w:val="00E714BE"/>
    <w:rsid w:val="00E7219D"/>
    <w:rsid w:val="00E73C46"/>
    <w:rsid w:val="00E74B6C"/>
    <w:rsid w:val="00E74F28"/>
    <w:rsid w:val="00E76361"/>
    <w:rsid w:val="00E8218D"/>
    <w:rsid w:val="00E859B5"/>
    <w:rsid w:val="00E904EB"/>
    <w:rsid w:val="00E909AD"/>
    <w:rsid w:val="00E91B02"/>
    <w:rsid w:val="00E93C4B"/>
    <w:rsid w:val="00E94316"/>
    <w:rsid w:val="00E9658A"/>
    <w:rsid w:val="00EA20C6"/>
    <w:rsid w:val="00EA3500"/>
    <w:rsid w:val="00EA6CC7"/>
    <w:rsid w:val="00EA708A"/>
    <w:rsid w:val="00EB09F8"/>
    <w:rsid w:val="00EB1996"/>
    <w:rsid w:val="00EB29B8"/>
    <w:rsid w:val="00EB3B60"/>
    <w:rsid w:val="00EB3FA9"/>
    <w:rsid w:val="00EB5469"/>
    <w:rsid w:val="00EB703B"/>
    <w:rsid w:val="00EB7BE5"/>
    <w:rsid w:val="00EC1757"/>
    <w:rsid w:val="00EC1C66"/>
    <w:rsid w:val="00EC3439"/>
    <w:rsid w:val="00EC3836"/>
    <w:rsid w:val="00EC46EF"/>
    <w:rsid w:val="00EC5826"/>
    <w:rsid w:val="00EC7349"/>
    <w:rsid w:val="00ED08D7"/>
    <w:rsid w:val="00ED0DA1"/>
    <w:rsid w:val="00ED0DF6"/>
    <w:rsid w:val="00ED0FC7"/>
    <w:rsid w:val="00ED1B5C"/>
    <w:rsid w:val="00ED312C"/>
    <w:rsid w:val="00ED36E5"/>
    <w:rsid w:val="00ED40C6"/>
    <w:rsid w:val="00ED6842"/>
    <w:rsid w:val="00EE0B37"/>
    <w:rsid w:val="00EE1263"/>
    <w:rsid w:val="00EE1E05"/>
    <w:rsid w:val="00EE5B70"/>
    <w:rsid w:val="00EE764B"/>
    <w:rsid w:val="00EF05DE"/>
    <w:rsid w:val="00EF0CF3"/>
    <w:rsid w:val="00EF21F1"/>
    <w:rsid w:val="00EF32B2"/>
    <w:rsid w:val="00EF3940"/>
    <w:rsid w:val="00EF575A"/>
    <w:rsid w:val="00F003F0"/>
    <w:rsid w:val="00F018D7"/>
    <w:rsid w:val="00F01E36"/>
    <w:rsid w:val="00F03628"/>
    <w:rsid w:val="00F05518"/>
    <w:rsid w:val="00F0599E"/>
    <w:rsid w:val="00F0738E"/>
    <w:rsid w:val="00F07726"/>
    <w:rsid w:val="00F0785E"/>
    <w:rsid w:val="00F10DDC"/>
    <w:rsid w:val="00F11AEC"/>
    <w:rsid w:val="00F13ED5"/>
    <w:rsid w:val="00F145CB"/>
    <w:rsid w:val="00F26BFD"/>
    <w:rsid w:val="00F304C5"/>
    <w:rsid w:val="00F31A8D"/>
    <w:rsid w:val="00F322FC"/>
    <w:rsid w:val="00F3259C"/>
    <w:rsid w:val="00F3311B"/>
    <w:rsid w:val="00F33D1C"/>
    <w:rsid w:val="00F34729"/>
    <w:rsid w:val="00F34C34"/>
    <w:rsid w:val="00F375F3"/>
    <w:rsid w:val="00F41A96"/>
    <w:rsid w:val="00F42879"/>
    <w:rsid w:val="00F42B1A"/>
    <w:rsid w:val="00F43023"/>
    <w:rsid w:val="00F4307F"/>
    <w:rsid w:val="00F440BB"/>
    <w:rsid w:val="00F4503D"/>
    <w:rsid w:val="00F456D1"/>
    <w:rsid w:val="00F45F62"/>
    <w:rsid w:val="00F504B1"/>
    <w:rsid w:val="00F50C2F"/>
    <w:rsid w:val="00F517F5"/>
    <w:rsid w:val="00F5735E"/>
    <w:rsid w:val="00F63FED"/>
    <w:rsid w:val="00F64245"/>
    <w:rsid w:val="00F700F1"/>
    <w:rsid w:val="00F712C0"/>
    <w:rsid w:val="00F71841"/>
    <w:rsid w:val="00F730B0"/>
    <w:rsid w:val="00F76CF6"/>
    <w:rsid w:val="00F77360"/>
    <w:rsid w:val="00F805BF"/>
    <w:rsid w:val="00F81F54"/>
    <w:rsid w:val="00F82FBA"/>
    <w:rsid w:val="00F83CC2"/>
    <w:rsid w:val="00F843AD"/>
    <w:rsid w:val="00F860FB"/>
    <w:rsid w:val="00F87467"/>
    <w:rsid w:val="00F87650"/>
    <w:rsid w:val="00F92C3D"/>
    <w:rsid w:val="00F93F59"/>
    <w:rsid w:val="00F94F14"/>
    <w:rsid w:val="00F956F7"/>
    <w:rsid w:val="00FA20C2"/>
    <w:rsid w:val="00FA3CB0"/>
    <w:rsid w:val="00FA5B9F"/>
    <w:rsid w:val="00FA66B7"/>
    <w:rsid w:val="00FA6B5A"/>
    <w:rsid w:val="00FB08F4"/>
    <w:rsid w:val="00FB179C"/>
    <w:rsid w:val="00FB301D"/>
    <w:rsid w:val="00FB5227"/>
    <w:rsid w:val="00FB5407"/>
    <w:rsid w:val="00FB5C90"/>
    <w:rsid w:val="00FB740D"/>
    <w:rsid w:val="00FC21E6"/>
    <w:rsid w:val="00FC7AB2"/>
    <w:rsid w:val="00FD46BA"/>
    <w:rsid w:val="00FE125D"/>
    <w:rsid w:val="00FE1291"/>
    <w:rsid w:val="00FE6997"/>
    <w:rsid w:val="00FE6D4E"/>
    <w:rsid w:val="00FE7707"/>
    <w:rsid w:val="00FF0084"/>
    <w:rsid w:val="00FF0DE8"/>
    <w:rsid w:val="00FF2C6C"/>
    <w:rsid w:val="00FF451F"/>
    <w:rsid w:val="00FF51F2"/>
    <w:rsid w:val="00FF5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3AA1F60"/>
  <w15:docId w15:val="{D696DA27-3C01-4240-9D85-990F32530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0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458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notaalpie">
    <w:name w:val="footnote reference"/>
    <w:basedOn w:val="Fuentedeprrafopredeter"/>
    <w:rsid w:val="0045458E"/>
    <w:rPr>
      <w:vertAlign w:val="superscript"/>
    </w:rPr>
  </w:style>
  <w:style w:type="paragraph" w:styleId="Textonotapie">
    <w:name w:val="footnote text"/>
    <w:basedOn w:val="Normal"/>
    <w:link w:val="TextonotapieCar"/>
    <w:unhideWhenUsed/>
    <w:rsid w:val="0045458E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rsid w:val="0045458E"/>
    <w:rPr>
      <w:sz w:val="20"/>
      <w:szCs w:val="20"/>
    </w:rPr>
  </w:style>
  <w:style w:type="paragraph" w:styleId="Prrafodelista">
    <w:name w:val="List Paragraph"/>
    <w:basedOn w:val="Normal"/>
    <w:uiPriority w:val="34"/>
    <w:qFormat/>
    <w:rsid w:val="0045458E"/>
    <w:pPr>
      <w:ind w:left="720"/>
      <w:contextualSpacing/>
    </w:pPr>
  </w:style>
  <w:style w:type="paragraph" w:styleId="Textoindependiente">
    <w:name w:val="Body Text"/>
    <w:basedOn w:val="Normal"/>
    <w:link w:val="TextoindependienteCar"/>
    <w:rsid w:val="0045458E"/>
    <w:pPr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es-MX"/>
    </w:rPr>
  </w:style>
  <w:style w:type="character" w:customStyle="1" w:styleId="TextoindependienteCar">
    <w:name w:val="Texto independiente Car"/>
    <w:basedOn w:val="Fuentedeprrafopredeter"/>
    <w:link w:val="Textoindependiente"/>
    <w:rsid w:val="0045458E"/>
    <w:rPr>
      <w:rFonts w:ascii="Arial" w:eastAsia="Times New Roman" w:hAnsi="Arial" w:cs="Arial"/>
      <w:sz w:val="24"/>
      <w:szCs w:val="24"/>
      <w:lang w:eastAsia="es-MX"/>
    </w:rPr>
  </w:style>
  <w:style w:type="table" w:styleId="Tablaconcuadrcula">
    <w:name w:val="Table Grid"/>
    <w:basedOn w:val="Tablanormal"/>
    <w:rsid w:val="004545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545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458E"/>
    <w:rPr>
      <w:rFonts w:ascii="Tahoma" w:hAnsi="Tahoma" w:cs="Tahoma"/>
      <w:sz w:val="16"/>
      <w:szCs w:val="16"/>
    </w:rPr>
  </w:style>
  <w:style w:type="paragraph" w:styleId="Ttulo">
    <w:name w:val="Title"/>
    <w:basedOn w:val="Normal"/>
    <w:link w:val="TtuloCar"/>
    <w:qFormat/>
    <w:rsid w:val="0045458E"/>
    <w:pPr>
      <w:spacing w:after="0" w:line="240" w:lineRule="auto"/>
      <w:jc w:val="center"/>
    </w:pPr>
    <w:rPr>
      <w:rFonts w:ascii="Arial" w:eastAsia="Times New Roman" w:hAnsi="Arial" w:cs="Arial"/>
      <w:b/>
      <w:sz w:val="32"/>
      <w:szCs w:val="32"/>
      <w:lang w:val="es-ES" w:eastAsia="es-MX"/>
    </w:rPr>
  </w:style>
  <w:style w:type="character" w:customStyle="1" w:styleId="TtuloCar">
    <w:name w:val="Título Car"/>
    <w:basedOn w:val="Fuentedeprrafopredeter"/>
    <w:link w:val="Ttulo"/>
    <w:rsid w:val="0045458E"/>
    <w:rPr>
      <w:rFonts w:ascii="Arial" w:eastAsia="Times New Roman" w:hAnsi="Arial" w:cs="Arial"/>
      <w:b/>
      <w:sz w:val="32"/>
      <w:szCs w:val="32"/>
      <w:lang w:val="es-ES" w:eastAsia="es-MX"/>
    </w:rPr>
  </w:style>
  <w:style w:type="character" w:styleId="Hipervnculo">
    <w:name w:val="Hyperlink"/>
    <w:basedOn w:val="Fuentedeprrafopredeter"/>
    <w:uiPriority w:val="99"/>
    <w:unhideWhenUsed/>
    <w:rsid w:val="008E6658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nhideWhenUsed/>
    <w:rsid w:val="00755BF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55BF5"/>
  </w:style>
  <w:style w:type="paragraph" w:styleId="Piedepgina">
    <w:name w:val="footer"/>
    <w:basedOn w:val="Normal"/>
    <w:link w:val="PiedepginaCar"/>
    <w:uiPriority w:val="99"/>
    <w:unhideWhenUsed/>
    <w:rsid w:val="00755BF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55BF5"/>
  </w:style>
  <w:style w:type="paragraph" w:styleId="TDC6">
    <w:name w:val="toc 6"/>
    <w:basedOn w:val="Normal"/>
    <w:next w:val="Normal"/>
    <w:autoRedefine/>
    <w:semiHidden/>
    <w:rsid w:val="009005C7"/>
    <w:pPr>
      <w:keepLines/>
      <w:widowControl w:val="0"/>
      <w:tabs>
        <w:tab w:val="left" w:leader="dot" w:pos="8079"/>
        <w:tab w:val="right" w:pos="8505"/>
      </w:tabs>
      <w:spacing w:after="0" w:line="240" w:lineRule="auto"/>
      <w:ind w:left="3544" w:right="850"/>
      <w:jc w:val="both"/>
    </w:pPr>
    <w:rPr>
      <w:rFonts w:ascii="Arial" w:eastAsia="Times New Roman" w:hAnsi="Arial" w:cs="Times New Roman"/>
      <w:snapToGrid w:val="0"/>
      <w:sz w:val="24"/>
      <w:szCs w:val="20"/>
      <w:lang w:eastAsia="es-ES"/>
    </w:rPr>
  </w:style>
  <w:style w:type="paragraph" w:customStyle="1" w:styleId="p0">
    <w:name w:val="p0"/>
    <w:basedOn w:val="Normal"/>
    <w:rsid w:val="009005C7"/>
    <w:pPr>
      <w:keepLines/>
      <w:widowControl w:val="0"/>
      <w:spacing w:before="360" w:after="0" w:line="240" w:lineRule="auto"/>
      <w:jc w:val="both"/>
    </w:pPr>
    <w:rPr>
      <w:rFonts w:ascii="Arial" w:eastAsia="Times New Roman" w:hAnsi="Arial" w:cs="Times New Roman"/>
      <w:snapToGrid w:val="0"/>
      <w:color w:val="0000FF"/>
      <w:sz w:val="24"/>
      <w:szCs w:val="20"/>
      <w:lang w:eastAsia="es-ES"/>
    </w:rPr>
  </w:style>
  <w:style w:type="paragraph" w:customStyle="1" w:styleId="parr2">
    <w:name w:val="parr2"/>
    <w:basedOn w:val="Normal"/>
    <w:rsid w:val="0043247A"/>
    <w:pPr>
      <w:spacing w:before="600" w:after="0" w:line="240" w:lineRule="auto"/>
      <w:ind w:left="567" w:right="15"/>
      <w:jc w:val="both"/>
    </w:pPr>
    <w:rPr>
      <w:rFonts w:ascii="Arial" w:eastAsia="Times New Roman" w:hAnsi="Arial" w:cs="Times New Roman"/>
      <w:sz w:val="24"/>
      <w:szCs w:val="20"/>
      <w:lang w:val="es-ES_tradnl" w:eastAsia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492F59"/>
    <w:rPr>
      <w:color w:val="800080" w:themeColor="followedHyperlink"/>
      <w:u w:val="single"/>
    </w:rPr>
  </w:style>
  <w:style w:type="paragraph" w:customStyle="1" w:styleId="not31">
    <w:name w:val="not31"/>
    <w:basedOn w:val="Normal"/>
    <w:rsid w:val="00B41882"/>
    <w:pPr>
      <w:keepLines/>
      <w:spacing w:before="480" w:after="0" w:line="240" w:lineRule="auto"/>
      <w:ind w:right="14"/>
      <w:jc w:val="both"/>
    </w:pPr>
    <w:rPr>
      <w:rFonts w:ascii="Arial" w:eastAsia="Times New Roman" w:hAnsi="Arial" w:cs="Times New Roman"/>
      <w:color w:val="0000FF"/>
      <w:sz w:val="24"/>
      <w:szCs w:val="20"/>
      <w:lang w:val="es-ES_tradnl" w:eastAsia="es-ES"/>
    </w:rPr>
  </w:style>
  <w:style w:type="paragraph" w:customStyle="1" w:styleId="color">
    <w:name w:val="color"/>
    <w:basedOn w:val="Normal"/>
    <w:rsid w:val="00CB42EE"/>
    <w:pPr>
      <w:widowControl w:val="0"/>
      <w:spacing w:before="240" w:after="0" w:line="240" w:lineRule="auto"/>
      <w:jc w:val="both"/>
    </w:pPr>
    <w:rPr>
      <w:rFonts w:ascii="Arial" w:eastAsia="Times New Roman" w:hAnsi="Arial" w:cs="Times New Roman"/>
      <w:i/>
      <w:color w:val="0000FF"/>
      <w:sz w:val="24"/>
      <w:szCs w:val="20"/>
      <w:lang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D774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967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5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2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7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3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3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7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1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negi.org.mx/sistemas/bie/default.aspx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chart" Target="charts/chart3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4B335.490B1A50" TargetMode="External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D:\Trabajos%20Monica\Documents\Ahorro%20Bruto\Gr&#225;fica%20ahorro%20desestacionalizada%20y%20tendencia%20segund%20trim).xlsm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D:\Trabajos%20Monica\Documents\Ahorro%20Bruto\Gr&#225;fica%20ahorro%20desestacionalizada%20y%20tendencia%20segund%20trim).xlsm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D:\Trabajos%20Monica\Documents\Ahorro%20Bruto\Gr&#225;fica%20ahorro%20desestacionalizada%20y%20tendencia%20segund%20trim).xlsm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27"/>
    </mc:Choice>
    <mc:Fallback>
      <c:style val="27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3580563907675033"/>
          <c:y val="2.4492411085430238E-2"/>
          <c:w val="0.83787956737965963"/>
          <c:h val="0.81211954070389314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Datos!$E$5</c:f>
              <c:strCache>
                <c:ptCount val="1"/>
                <c:pt idx="0">
                  <c:v>Serie Desestacionalizada</c:v>
                </c:pt>
              </c:strCache>
            </c:strRef>
          </c:tx>
          <c:spPr>
            <a:solidFill>
              <a:schemeClr val="accent3">
                <a:lumMod val="75000"/>
              </a:schemeClr>
            </a:solidFill>
            <a:effectLst/>
            <a:scene3d>
              <a:camera prst="orthographicFront"/>
              <a:lightRig rig="threePt" dir="t">
                <a:rot lat="0" lon="0" rev="1200000"/>
              </a:lightRig>
            </a:scene3d>
            <a:sp3d/>
          </c:spPr>
          <c:invertIfNegative val="0"/>
          <c:dLbls>
            <c:delete val="1"/>
          </c:dLbls>
          <c:cat>
            <c:multiLvlStrRef>
              <c:f>Datos!$A$26:$B$73</c:f>
              <c:multiLvlStrCache>
                <c:ptCount val="48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I</c:v>
                  </c:pt>
                  <c:pt idx="5">
                    <c:v>II</c:v>
                  </c:pt>
                  <c:pt idx="6">
                    <c:v>III</c:v>
                  </c:pt>
                  <c:pt idx="7">
                    <c:v>IV</c:v>
                  </c:pt>
                  <c:pt idx="8">
                    <c:v>I</c:v>
                  </c:pt>
                  <c:pt idx="9">
                    <c:v>II</c:v>
                  </c:pt>
                  <c:pt idx="10">
                    <c:v>III</c:v>
                  </c:pt>
                  <c:pt idx="11">
                    <c:v>IV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I</c:v>
                  </c:pt>
                  <c:pt idx="17">
                    <c:v>II</c:v>
                  </c:pt>
                  <c:pt idx="18">
                    <c:v>III</c:v>
                  </c:pt>
                  <c:pt idx="19">
                    <c:v>IV</c:v>
                  </c:pt>
                  <c:pt idx="20">
                    <c:v>I</c:v>
                  </c:pt>
                  <c:pt idx="21">
                    <c:v>II</c:v>
                  </c:pt>
                  <c:pt idx="22">
                    <c:v>III</c:v>
                  </c:pt>
                  <c:pt idx="23">
                    <c:v>IV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I</c:v>
                  </c:pt>
                  <c:pt idx="29">
                    <c:v>II</c:v>
                  </c:pt>
                  <c:pt idx="30">
                    <c:v>III</c:v>
                  </c:pt>
                  <c:pt idx="31">
                    <c:v>IV</c:v>
                  </c:pt>
                  <c:pt idx="32">
                    <c:v>I</c:v>
                  </c:pt>
                  <c:pt idx="33">
                    <c:v>II</c:v>
                  </c:pt>
                  <c:pt idx="34">
                    <c:v>III</c:v>
                  </c:pt>
                  <c:pt idx="35">
                    <c:v>IV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I</c:v>
                  </c:pt>
                  <c:pt idx="41">
                    <c:v>II</c:v>
                  </c:pt>
                  <c:pt idx="42">
                    <c:v>III</c:v>
                  </c:pt>
                  <c:pt idx="43">
                    <c:v>IV</c:v>
                  </c:pt>
                  <c:pt idx="44">
                    <c:v>I</c:v>
                  </c:pt>
                  <c:pt idx="45">
                    <c:v>II</c:v>
                  </c:pt>
                  <c:pt idx="46">
                    <c:v>III</c:v>
                  </c:pt>
                  <c:pt idx="47">
                    <c:v>IV</c:v>
                  </c:pt>
                </c:lvl>
                <c:lvl>
                  <c:pt idx="0">
                    <c:v>2008</c:v>
                  </c:pt>
                  <c:pt idx="4">
                    <c:v>2009</c:v>
                  </c:pt>
                  <c:pt idx="8">
                    <c:v>2010</c:v>
                  </c:pt>
                  <c:pt idx="12">
                    <c:v>2011</c:v>
                  </c:pt>
                  <c:pt idx="16">
                    <c:v>2012</c:v>
                  </c:pt>
                  <c:pt idx="20">
                    <c:v>2013</c:v>
                  </c:pt>
                  <c:pt idx="24">
                    <c:v>2014</c:v>
                  </c:pt>
                  <c:pt idx="28">
                    <c:v>2015</c:v>
                  </c:pt>
                  <c:pt idx="32">
                    <c:v>2016</c:v>
                  </c:pt>
                  <c:pt idx="36">
                    <c:v>2017</c:v>
                  </c:pt>
                  <c:pt idx="40">
                    <c:v>2018</c:v>
                  </c:pt>
                  <c:pt idx="44">
                    <c:v>2019</c:v>
                  </c:pt>
                </c:lvl>
              </c:multiLvlStrCache>
            </c:multiLvlStrRef>
          </c:cat>
          <c:val>
            <c:numRef>
              <c:f>Datos!$C$26:$C$73</c:f>
              <c:numCache>
                <c:formatCode>0.0</c:formatCode>
                <c:ptCount val="48"/>
                <c:pt idx="0">
                  <c:v>2787621.3562473301</c:v>
                </c:pt>
                <c:pt idx="1">
                  <c:v>2961783.22179151</c:v>
                </c:pt>
                <c:pt idx="2">
                  <c:v>3020507.4904728001</c:v>
                </c:pt>
                <c:pt idx="3">
                  <c:v>3128266.0185672501</c:v>
                </c:pt>
                <c:pt idx="4">
                  <c:v>2711278.3715630001</c:v>
                </c:pt>
                <c:pt idx="5">
                  <c:v>2704318.0712053799</c:v>
                </c:pt>
                <c:pt idx="6">
                  <c:v>2837624.9302175399</c:v>
                </c:pt>
                <c:pt idx="7">
                  <c:v>2874173.2771271798</c:v>
                </c:pt>
                <c:pt idx="8">
                  <c:v>2996466.4674134799</c:v>
                </c:pt>
                <c:pt idx="9">
                  <c:v>3025806.2321518199</c:v>
                </c:pt>
                <c:pt idx="10">
                  <c:v>3035656.4571539802</c:v>
                </c:pt>
                <c:pt idx="11">
                  <c:v>3117562.44172354</c:v>
                </c:pt>
                <c:pt idx="12">
                  <c:v>3143926.3760268302</c:v>
                </c:pt>
                <c:pt idx="13">
                  <c:v>3306760.66676204</c:v>
                </c:pt>
                <c:pt idx="14">
                  <c:v>3476554.6272794101</c:v>
                </c:pt>
                <c:pt idx="15">
                  <c:v>3714448.4652433698</c:v>
                </c:pt>
                <c:pt idx="16">
                  <c:v>3699501.8471972598</c:v>
                </c:pt>
                <c:pt idx="17">
                  <c:v>3837894.0841787602</c:v>
                </c:pt>
                <c:pt idx="18">
                  <c:v>3828140.2373683401</c:v>
                </c:pt>
                <c:pt idx="19">
                  <c:v>3752332.4978458602</c:v>
                </c:pt>
                <c:pt idx="20">
                  <c:v>3707975.1247450202</c:v>
                </c:pt>
                <c:pt idx="21">
                  <c:v>3672473.0941391499</c:v>
                </c:pt>
                <c:pt idx="22">
                  <c:v>3630721.57560274</c:v>
                </c:pt>
                <c:pt idx="23">
                  <c:v>3641953.3971603601</c:v>
                </c:pt>
                <c:pt idx="24">
                  <c:v>3683481.4753035801</c:v>
                </c:pt>
                <c:pt idx="25">
                  <c:v>3745447.8866896401</c:v>
                </c:pt>
                <c:pt idx="26">
                  <c:v>3877667.2762474702</c:v>
                </c:pt>
                <c:pt idx="27">
                  <c:v>4008171.7403672198</c:v>
                </c:pt>
                <c:pt idx="28">
                  <c:v>4101774.7180352402</c:v>
                </c:pt>
                <c:pt idx="29">
                  <c:v>4255033.4288193099</c:v>
                </c:pt>
                <c:pt idx="30">
                  <c:v>4501631.5937747704</c:v>
                </c:pt>
                <c:pt idx="31">
                  <c:v>4434041.4688549899</c:v>
                </c:pt>
                <c:pt idx="32">
                  <c:v>4651744.2165342998</c:v>
                </c:pt>
                <c:pt idx="33">
                  <c:v>4688761.5867320802</c:v>
                </c:pt>
                <c:pt idx="34">
                  <c:v>4827394.4870398799</c:v>
                </c:pt>
                <c:pt idx="35">
                  <c:v>4980336.73946926</c:v>
                </c:pt>
                <c:pt idx="36">
                  <c:v>5062487.4697350496</c:v>
                </c:pt>
                <c:pt idx="37">
                  <c:v>5007840.9574880097</c:v>
                </c:pt>
                <c:pt idx="38">
                  <c:v>4984077.8612302998</c:v>
                </c:pt>
                <c:pt idx="39">
                  <c:v>5098751.9422124699</c:v>
                </c:pt>
                <c:pt idx="40">
                  <c:v>5240006.6705032401</c:v>
                </c:pt>
                <c:pt idx="41">
                  <c:v>5397254.21625451</c:v>
                </c:pt>
                <c:pt idx="42">
                  <c:v>5410824.3952821698</c:v>
                </c:pt>
                <c:pt idx="43">
                  <c:v>5345625.3989770804</c:v>
                </c:pt>
                <c:pt idx="44">
                  <c:v>5316966.3306662096</c:v>
                </c:pt>
                <c:pt idx="45">
                  <c:v>5206634.9367218995</c:v>
                </c:pt>
                <c:pt idx="46">
                  <c:v>5164243.4419092704</c:v>
                </c:pt>
                <c:pt idx="47">
                  <c:v>5069285.0824164599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EBC-4FB3-BAC3-BDFE23E3A68F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40"/>
        <c:axId val="316923456"/>
        <c:axId val="316917184"/>
      </c:barChart>
      <c:lineChart>
        <c:grouping val="standard"/>
        <c:varyColors val="0"/>
        <c:ser>
          <c:idx val="1"/>
          <c:order val="1"/>
          <c:tx>
            <c:strRef>
              <c:f>Datos!$F$5</c:f>
              <c:strCache>
                <c:ptCount val="1"/>
                <c:pt idx="0">
                  <c:v>Tendencia-Ciclo</c:v>
                </c:pt>
              </c:strCache>
            </c:strRef>
          </c:tx>
          <c:spPr>
            <a:ln w="15875">
              <a:solidFill>
                <a:srgbClr val="FF0000"/>
              </a:solidFill>
            </a:ln>
          </c:spPr>
          <c:marker>
            <c:symbol val="none"/>
          </c:marker>
          <c:cat>
            <c:multiLvlStrRef>
              <c:f>Datos!$A$26:$B$73</c:f>
              <c:multiLvlStrCache>
                <c:ptCount val="48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I</c:v>
                  </c:pt>
                  <c:pt idx="5">
                    <c:v>II</c:v>
                  </c:pt>
                  <c:pt idx="6">
                    <c:v>III</c:v>
                  </c:pt>
                  <c:pt idx="7">
                    <c:v>IV</c:v>
                  </c:pt>
                  <c:pt idx="8">
                    <c:v>I</c:v>
                  </c:pt>
                  <c:pt idx="9">
                    <c:v>II</c:v>
                  </c:pt>
                  <c:pt idx="10">
                    <c:v>III</c:v>
                  </c:pt>
                  <c:pt idx="11">
                    <c:v>IV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I</c:v>
                  </c:pt>
                  <c:pt idx="17">
                    <c:v>II</c:v>
                  </c:pt>
                  <c:pt idx="18">
                    <c:v>III</c:v>
                  </c:pt>
                  <c:pt idx="19">
                    <c:v>IV</c:v>
                  </c:pt>
                  <c:pt idx="20">
                    <c:v>I</c:v>
                  </c:pt>
                  <c:pt idx="21">
                    <c:v>II</c:v>
                  </c:pt>
                  <c:pt idx="22">
                    <c:v>III</c:v>
                  </c:pt>
                  <c:pt idx="23">
                    <c:v>IV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I</c:v>
                  </c:pt>
                  <c:pt idx="29">
                    <c:v>II</c:v>
                  </c:pt>
                  <c:pt idx="30">
                    <c:v>III</c:v>
                  </c:pt>
                  <c:pt idx="31">
                    <c:v>IV</c:v>
                  </c:pt>
                  <c:pt idx="32">
                    <c:v>I</c:v>
                  </c:pt>
                  <c:pt idx="33">
                    <c:v>II</c:v>
                  </c:pt>
                  <c:pt idx="34">
                    <c:v>III</c:v>
                  </c:pt>
                  <c:pt idx="35">
                    <c:v>IV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I</c:v>
                  </c:pt>
                  <c:pt idx="41">
                    <c:v>II</c:v>
                  </c:pt>
                  <c:pt idx="42">
                    <c:v>III</c:v>
                  </c:pt>
                  <c:pt idx="43">
                    <c:v>IV</c:v>
                  </c:pt>
                  <c:pt idx="44">
                    <c:v>I</c:v>
                  </c:pt>
                  <c:pt idx="45">
                    <c:v>II</c:v>
                  </c:pt>
                  <c:pt idx="46">
                    <c:v>III</c:v>
                  </c:pt>
                  <c:pt idx="47">
                    <c:v>IV</c:v>
                  </c:pt>
                </c:lvl>
                <c:lvl>
                  <c:pt idx="0">
                    <c:v>2008</c:v>
                  </c:pt>
                  <c:pt idx="4">
                    <c:v>2009</c:v>
                  </c:pt>
                  <c:pt idx="8">
                    <c:v>2010</c:v>
                  </c:pt>
                  <c:pt idx="12">
                    <c:v>2011</c:v>
                  </c:pt>
                  <c:pt idx="16">
                    <c:v>2012</c:v>
                  </c:pt>
                  <c:pt idx="20">
                    <c:v>2013</c:v>
                  </c:pt>
                  <c:pt idx="24">
                    <c:v>2014</c:v>
                  </c:pt>
                  <c:pt idx="28">
                    <c:v>2015</c:v>
                  </c:pt>
                  <c:pt idx="32">
                    <c:v>2016</c:v>
                  </c:pt>
                  <c:pt idx="36">
                    <c:v>2017</c:v>
                  </c:pt>
                  <c:pt idx="40">
                    <c:v>2018</c:v>
                  </c:pt>
                  <c:pt idx="44">
                    <c:v>2019</c:v>
                  </c:pt>
                </c:lvl>
              </c:multiLvlStrCache>
            </c:multiLvlStrRef>
          </c:cat>
          <c:val>
            <c:numRef>
              <c:f>Datos!$D$26:$D$73</c:f>
              <c:numCache>
                <c:formatCode>0.0</c:formatCode>
                <c:ptCount val="48"/>
                <c:pt idx="0">
                  <c:v>2864212.34655465</c:v>
                </c:pt>
                <c:pt idx="1">
                  <c:v>2942409.9528358998</c:v>
                </c:pt>
                <c:pt idx="2">
                  <c:v>3035710.3517833902</c:v>
                </c:pt>
                <c:pt idx="3">
                  <c:v>3121836.5817563301</c:v>
                </c:pt>
                <c:pt idx="4">
                  <c:v>2699058.9886014899</c:v>
                </c:pt>
                <c:pt idx="5">
                  <c:v>2743763.0223007002</c:v>
                </c:pt>
                <c:pt idx="6">
                  <c:v>2810702.8552262601</c:v>
                </c:pt>
                <c:pt idx="7">
                  <c:v>2899724.4487455701</c:v>
                </c:pt>
                <c:pt idx="8">
                  <c:v>2977951.0644433298</c:v>
                </c:pt>
                <c:pt idx="9">
                  <c:v>3024478.57591641</c:v>
                </c:pt>
                <c:pt idx="10">
                  <c:v>3051747.3847479802</c:v>
                </c:pt>
                <c:pt idx="11">
                  <c:v>3094094.5586914802</c:v>
                </c:pt>
                <c:pt idx="12">
                  <c:v>3167534.7150488799</c:v>
                </c:pt>
                <c:pt idx="13">
                  <c:v>3295568.9500230602</c:v>
                </c:pt>
                <c:pt idx="14">
                  <c:v>3488190.3146611401</c:v>
                </c:pt>
                <c:pt idx="15">
                  <c:v>3660433.6487608198</c:v>
                </c:pt>
                <c:pt idx="16">
                  <c:v>3779782.7222312698</c:v>
                </c:pt>
                <c:pt idx="17">
                  <c:v>3833299.1627202402</c:v>
                </c:pt>
                <c:pt idx="18">
                  <c:v>3821817.9051008299</c:v>
                </c:pt>
                <c:pt idx="19">
                  <c:v>3761150.97667197</c:v>
                </c:pt>
                <c:pt idx="20">
                  <c:v>3707425.1455019298</c:v>
                </c:pt>
                <c:pt idx="21">
                  <c:v>3667014.7346026101</c:v>
                </c:pt>
                <c:pt idx="22">
                  <c:v>3636736.6740020099</c:v>
                </c:pt>
                <c:pt idx="23">
                  <c:v>3641011.3958894499</c:v>
                </c:pt>
                <c:pt idx="24">
                  <c:v>3679099.9230878302</c:v>
                </c:pt>
                <c:pt idx="25">
                  <c:v>3754389.9619319998</c:v>
                </c:pt>
                <c:pt idx="26">
                  <c:v>3874966.5482946001</c:v>
                </c:pt>
                <c:pt idx="27">
                  <c:v>3998498.2459888598</c:v>
                </c:pt>
                <c:pt idx="28">
                  <c:v>4112534.9288363098</c:v>
                </c:pt>
                <c:pt idx="29">
                  <c:v>4256632.7921706401</c:v>
                </c:pt>
                <c:pt idx="30">
                  <c:v>4409173.8127278201</c:v>
                </c:pt>
                <c:pt idx="31">
                  <c:v>4521508.1563573396</c:v>
                </c:pt>
                <c:pt idx="32">
                  <c:v>4601923.9361256501</c:v>
                </c:pt>
                <c:pt idx="33">
                  <c:v>4696074.2714101998</c:v>
                </c:pt>
                <c:pt idx="34">
                  <c:v>4830633.4380021999</c:v>
                </c:pt>
                <c:pt idx="35">
                  <c:v>4978934.6477466896</c:v>
                </c:pt>
                <c:pt idx="36">
                  <c:v>5045328.6796795297</c:v>
                </c:pt>
                <c:pt idx="37">
                  <c:v>5012255.8695239704</c:v>
                </c:pt>
                <c:pt idx="38">
                  <c:v>5000188.40708631</c:v>
                </c:pt>
                <c:pt idx="39">
                  <c:v>5091316.1285699997</c:v>
                </c:pt>
                <c:pt idx="40">
                  <c:v>5250953.2769404901</c:v>
                </c:pt>
                <c:pt idx="41">
                  <c:v>5380764.1956703402</c:v>
                </c:pt>
                <c:pt idx="42">
                  <c:v>5407123.6290211398</c:v>
                </c:pt>
                <c:pt idx="43">
                  <c:v>5362772.07204019</c:v>
                </c:pt>
                <c:pt idx="44">
                  <c:v>5297300.8969380697</c:v>
                </c:pt>
                <c:pt idx="45">
                  <c:v>5226468.8484705603</c:v>
                </c:pt>
                <c:pt idx="46">
                  <c:v>5146343.5408751201</c:v>
                </c:pt>
                <c:pt idx="47">
                  <c:v>5081013.8595238402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9EBC-4FB3-BAC3-BDFE23E3A68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16923456"/>
        <c:axId val="316917184"/>
      </c:lineChart>
      <c:catAx>
        <c:axId val="31692345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>
            <a:solidFill>
              <a:schemeClr val="tx1"/>
            </a:solidFill>
          </a:ln>
        </c:spPr>
        <c:txPr>
          <a:bodyPr rot="0" vert="horz"/>
          <a:lstStyle/>
          <a:p>
            <a:pPr>
              <a:defRPr sz="600"/>
            </a:pPr>
            <a:endParaRPr lang="es-MX"/>
          </a:p>
        </c:txPr>
        <c:crossAx val="316917184"/>
        <c:crosses val="autoZero"/>
        <c:auto val="0"/>
        <c:lblAlgn val="ctr"/>
        <c:lblOffset val="0"/>
        <c:tickLblSkip val="1"/>
        <c:tickMarkSkip val="4"/>
        <c:noMultiLvlLbl val="1"/>
      </c:catAx>
      <c:valAx>
        <c:axId val="316917184"/>
        <c:scaling>
          <c:orientation val="minMax"/>
          <c:min val="1000000"/>
        </c:scaling>
        <c:delete val="0"/>
        <c:axPos val="l"/>
        <c:numFmt formatCode="#,##0" sourceLinked="0"/>
        <c:majorTickMark val="out"/>
        <c:minorTickMark val="none"/>
        <c:tickLblPos val="nextTo"/>
        <c:spPr>
          <a:ln>
            <a:solidFill>
              <a:schemeClr val="tx1"/>
            </a:solidFill>
          </a:ln>
        </c:spPr>
        <c:txPr>
          <a:bodyPr rot="0" vert="horz"/>
          <a:lstStyle/>
          <a:p>
            <a:pPr>
              <a:defRPr sz="600"/>
            </a:pPr>
            <a:endParaRPr lang="es-MX"/>
          </a:p>
        </c:txPr>
        <c:crossAx val="316923456"/>
        <c:crosses val="autoZero"/>
        <c:crossBetween val="between"/>
      </c:valAx>
      <c:spPr>
        <a:noFill/>
        <a:ln>
          <a:solidFill>
            <a:schemeClr val="bg1">
              <a:lumMod val="75000"/>
            </a:schemeClr>
          </a:solidFill>
        </a:ln>
      </c:spPr>
    </c:plotArea>
    <c:legend>
      <c:legendPos val="b"/>
      <c:layout>
        <c:manualLayout>
          <c:xMode val="edge"/>
          <c:yMode val="edge"/>
          <c:x val="2.9468730201828229E-3"/>
          <c:y val="0.94392532357352621"/>
          <c:w val="0.99195267999730785"/>
          <c:h val="5.1710246530149412E-2"/>
        </c:manualLayout>
      </c:layout>
      <c:overlay val="0"/>
      <c:spPr>
        <a:noFill/>
      </c:spPr>
      <c:txPr>
        <a:bodyPr/>
        <a:lstStyle/>
        <a:p>
          <a:pPr>
            <a:defRPr sz="600"/>
          </a:pPr>
          <a:endParaRPr lang="es-MX"/>
        </a:p>
      </c:txPr>
    </c:legend>
    <c:plotVisOnly val="1"/>
    <c:dispBlanksAs val="gap"/>
    <c:showDLblsOverMax val="0"/>
  </c:chart>
  <c:spPr>
    <a:noFill/>
    <a:ln>
      <a:solidFill>
        <a:schemeClr val="tx1"/>
      </a:solidFill>
    </a:ln>
    <a:effectLst>
      <a:outerShdw dist="12700" dir="2700000" algn="ctr" rotWithShape="0">
        <a:srgbClr val="000000"/>
      </a:outerShdw>
    </a:effectLst>
  </c:spPr>
  <c:txPr>
    <a:bodyPr/>
    <a:lstStyle/>
    <a:p>
      <a:pPr>
        <a:defRPr sz="1600">
          <a:latin typeface="Arial" pitchFamily="34" charset="0"/>
          <a:cs typeface="Arial" pitchFamily="34" charset="0"/>
        </a:defRPr>
      </a:pPr>
      <a:endParaRPr lang="es-MX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27"/>
    </mc:Choice>
    <mc:Fallback>
      <c:style val="27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3580563907675033"/>
          <c:y val="2.4492411085430238E-2"/>
          <c:w val="0.83787956737965963"/>
          <c:h val="0.81211954070389314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Datos!$E$5</c:f>
              <c:strCache>
                <c:ptCount val="1"/>
                <c:pt idx="0">
                  <c:v>Serie Desestacionalizada</c:v>
                </c:pt>
              </c:strCache>
            </c:strRef>
          </c:tx>
          <c:spPr>
            <a:solidFill>
              <a:schemeClr val="accent3">
                <a:lumMod val="75000"/>
              </a:schemeClr>
            </a:solidFill>
            <a:effectLst/>
            <a:scene3d>
              <a:camera prst="orthographicFront"/>
              <a:lightRig rig="threePt" dir="t">
                <a:rot lat="0" lon="0" rev="1200000"/>
              </a:lightRig>
            </a:scene3d>
            <a:sp3d/>
          </c:spPr>
          <c:invertIfNegative val="0"/>
          <c:dLbls>
            <c:delete val="1"/>
          </c:dLbls>
          <c:cat>
            <c:multiLvlStrRef>
              <c:f>Datos!$A$26:$B$73</c:f>
              <c:multiLvlStrCache>
                <c:ptCount val="48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I</c:v>
                  </c:pt>
                  <c:pt idx="5">
                    <c:v>II</c:v>
                  </c:pt>
                  <c:pt idx="6">
                    <c:v>III</c:v>
                  </c:pt>
                  <c:pt idx="7">
                    <c:v>IV</c:v>
                  </c:pt>
                  <c:pt idx="8">
                    <c:v>I</c:v>
                  </c:pt>
                  <c:pt idx="9">
                    <c:v>II</c:v>
                  </c:pt>
                  <c:pt idx="10">
                    <c:v>III</c:v>
                  </c:pt>
                  <c:pt idx="11">
                    <c:v>IV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I</c:v>
                  </c:pt>
                  <c:pt idx="17">
                    <c:v>II</c:v>
                  </c:pt>
                  <c:pt idx="18">
                    <c:v>III</c:v>
                  </c:pt>
                  <c:pt idx="19">
                    <c:v>IV</c:v>
                  </c:pt>
                  <c:pt idx="20">
                    <c:v>I</c:v>
                  </c:pt>
                  <c:pt idx="21">
                    <c:v>II</c:v>
                  </c:pt>
                  <c:pt idx="22">
                    <c:v>III</c:v>
                  </c:pt>
                  <c:pt idx="23">
                    <c:v>IV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I</c:v>
                  </c:pt>
                  <c:pt idx="29">
                    <c:v>II</c:v>
                  </c:pt>
                  <c:pt idx="30">
                    <c:v>III</c:v>
                  </c:pt>
                  <c:pt idx="31">
                    <c:v>IV</c:v>
                  </c:pt>
                  <c:pt idx="32">
                    <c:v>I</c:v>
                  </c:pt>
                  <c:pt idx="33">
                    <c:v>II</c:v>
                  </c:pt>
                  <c:pt idx="34">
                    <c:v>III</c:v>
                  </c:pt>
                  <c:pt idx="35">
                    <c:v>IV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I</c:v>
                  </c:pt>
                  <c:pt idx="41">
                    <c:v>II</c:v>
                  </c:pt>
                  <c:pt idx="42">
                    <c:v>III</c:v>
                  </c:pt>
                  <c:pt idx="43">
                    <c:v>IV</c:v>
                  </c:pt>
                  <c:pt idx="44">
                    <c:v>I</c:v>
                  </c:pt>
                  <c:pt idx="45">
                    <c:v>II</c:v>
                  </c:pt>
                  <c:pt idx="46">
                    <c:v>III</c:v>
                  </c:pt>
                  <c:pt idx="47">
                    <c:v>IV</c:v>
                  </c:pt>
                </c:lvl>
                <c:lvl>
                  <c:pt idx="0">
                    <c:v>2008</c:v>
                  </c:pt>
                  <c:pt idx="4">
                    <c:v>2009</c:v>
                  </c:pt>
                  <c:pt idx="8">
                    <c:v>2010</c:v>
                  </c:pt>
                  <c:pt idx="12">
                    <c:v>2011</c:v>
                  </c:pt>
                  <c:pt idx="16">
                    <c:v>2012</c:v>
                  </c:pt>
                  <c:pt idx="20">
                    <c:v>2013</c:v>
                  </c:pt>
                  <c:pt idx="24">
                    <c:v>2014</c:v>
                  </c:pt>
                  <c:pt idx="28">
                    <c:v>2015</c:v>
                  </c:pt>
                  <c:pt idx="32">
                    <c:v>2016</c:v>
                  </c:pt>
                  <c:pt idx="36">
                    <c:v>2017</c:v>
                  </c:pt>
                  <c:pt idx="40">
                    <c:v>2018</c:v>
                  </c:pt>
                  <c:pt idx="44">
                    <c:v>2019</c:v>
                  </c:pt>
                </c:lvl>
              </c:multiLvlStrCache>
            </c:multiLvlStrRef>
          </c:cat>
          <c:val>
            <c:numRef>
              <c:f>Datos!$E$26:$E$73</c:f>
              <c:numCache>
                <c:formatCode>0.0</c:formatCode>
                <c:ptCount val="48"/>
                <c:pt idx="0">
                  <c:v>2666047.1412508301</c:v>
                </c:pt>
                <c:pt idx="1">
                  <c:v>2825073.3494543899</c:v>
                </c:pt>
                <c:pt idx="2">
                  <c:v>2830651.2120482801</c:v>
                </c:pt>
                <c:pt idx="3">
                  <c:v>2805042.64982762</c:v>
                </c:pt>
                <c:pt idx="4">
                  <c:v>2662699.6999102002</c:v>
                </c:pt>
                <c:pt idx="5">
                  <c:v>2609792.6283865501</c:v>
                </c:pt>
                <c:pt idx="6">
                  <c:v>2571515.9491953901</c:v>
                </c:pt>
                <c:pt idx="7">
                  <c:v>2828167.1495732502</c:v>
                </c:pt>
                <c:pt idx="8">
                  <c:v>3020342.6945350301</c:v>
                </c:pt>
                <c:pt idx="9">
                  <c:v>2990903.01192404</c:v>
                </c:pt>
                <c:pt idx="10">
                  <c:v>2972187.7954972601</c:v>
                </c:pt>
                <c:pt idx="11">
                  <c:v>2926533.5492189401</c:v>
                </c:pt>
                <c:pt idx="12">
                  <c:v>3039278.0537791001</c:v>
                </c:pt>
                <c:pt idx="13">
                  <c:v>3143841.3049845002</c:v>
                </c:pt>
                <c:pt idx="14">
                  <c:v>3169145.92903856</c:v>
                </c:pt>
                <c:pt idx="15">
                  <c:v>3625606.2627696502</c:v>
                </c:pt>
                <c:pt idx="16">
                  <c:v>3552888.7138949698</c:v>
                </c:pt>
                <c:pt idx="17">
                  <c:v>3726494.1969399499</c:v>
                </c:pt>
                <c:pt idx="18">
                  <c:v>3601842.0567978201</c:v>
                </c:pt>
                <c:pt idx="19">
                  <c:v>3396995.1689413702</c:v>
                </c:pt>
                <c:pt idx="20">
                  <c:v>3303302.20649639</c:v>
                </c:pt>
                <c:pt idx="21">
                  <c:v>3244435.6503762701</c:v>
                </c:pt>
                <c:pt idx="22">
                  <c:v>3240652.99245989</c:v>
                </c:pt>
                <c:pt idx="23">
                  <c:v>3257037.0926379599</c:v>
                </c:pt>
                <c:pt idx="24">
                  <c:v>3335521.8923117798</c:v>
                </c:pt>
                <c:pt idx="25">
                  <c:v>3357123.1392706698</c:v>
                </c:pt>
                <c:pt idx="26">
                  <c:v>3604829.3363034502</c:v>
                </c:pt>
                <c:pt idx="27">
                  <c:v>3701136.17010201</c:v>
                </c:pt>
                <c:pt idx="28">
                  <c:v>3698302.4653835101</c:v>
                </c:pt>
                <c:pt idx="29">
                  <c:v>3786951.4599887598</c:v>
                </c:pt>
                <c:pt idx="30">
                  <c:v>3885207.66292518</c:v>
                </c:pt>
                <c:pt idx="31">
                  <c:v>3933856.30390479</c:v>
                </c:pt>
                <c:pt idx="32">
                  <c:v>4212553.2374353101</c:v>
                </c:pt>
                <c:pt idx="33">
                  <c:v>4169533.2783265701</c:v>
                </c:pt>
                <c:pt idx="34">
                  <c:v>4348026.7811858198</c:v>
                </c:pt>
                <c:pt idx="35">
                  <c:v>4585187.2452393901</c:v>
                </c:pt>
                <c:pt idx="36">
                  <c:v>4494057.7273522001</c:v>
                </c:pt>
                <c:pt idx="37">
                  <c:v>4707383.68166456</c:v>
                </c:pt>
                <c:pt idx="38">
                  <c:v>4578040.0449823197</c:v>
                </c:pt>
                <c:pt idx="39">
                  <c:v>4776181.2996613299</c:v>
                </c:pt>
                <c:pt idx="40">
                  <c:v>4868226.80400996</c:v>
                </c:pt>
                <c:pt idx="41">
                  <c:v>4939340.2270230604</c:v>
                </c:pt>
                <c:pt idx="42">
                  <c:v>4929579.3164245104</c:v>
                </c:pt>
                <c:pt idx="43">
                  <c:v>4943233.1765095396</c:v>
                </c:pt>
                <c:pt idx="44">
                  <c:v>5072009.1033275696</c:v>
                </c:pt>
                <c:pt idx="45">
                  <c:v>5225801.7046727203</c:v>
                </c:pt>
                <c:pt idx="46">
                  <c:v>5190821.0844185799</c:v>
                </c:pt>
                <c:pt idx="47">
                  <c:v>5098955.6491643004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118-4677-A34D-280369A948EA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40"/>
        <c:axId val="316921496"/>
        <c:axId val="316474400"/>
      </c:barChart>
      <c:lineChart>
        <c:grouping val="standard"/>
        <c:varyColors val="0"/>
        <c:ser>
          <c:idx val="1"/>
          <c:order val="1"/>
          <c:tx>
            <c:strRef>
              <c:f>Datos!$F$5</c:f>
              <c:strCache>
                <c:ptCount val="1"/>
                <c:pt idx="0">
                  <c:v>Tendencia-Ciclo</c:v>
                </c:pt>
              </c:strCache>
            </c:strRef>
          </c:tx>
          <c:spPr>
            <a:ln w="15875">
              <a:solidFill>
                <a:srgbClr val="FF0000"/>
              </a:solidFill>
            </a:ln>
          </c:spPr>
          <c:marker>
            <c:symbol val="none"/>
          </c:marker>
          <c:cat>
            <c:multiLvlStrRef>
              <c:f>Datos!$A$26:$B$73</c:f>
              <c:multiLvlStrCache>
                <c:ptCount val="48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I</c:v>
                  </c:pt>
                  <c:pt idx="5">
                    <c:v>II</c:v>
                  </c:pt>
                  <c:pt idx="6">
                    <c:v>III</c:v>
                  </c:pt>
                  <c:pt idx="7">
                    <c:v>IV</c:v>
                  </c:pt>
                  <c:pt idx="8">
                    <c:v>I</c:v>
                  </c:pt>
                  <c:pt idx="9">
                    <c:v>II</c:v>
                  </c:pt>
                  <c:pt idx="10">
                    <c:v>III</c:v>
                  </c:pt>
                  <c:pt idx="11">
                    <c:v>IV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I</c:v>
                  </c:pt>
                  <c:pt idx="17">
                    <c:v>II</c:v>
                  </c:pt>
                  <c:pt idx="18">
                    <c:v>III</c:v>
                  </c:pt>
                  <c:pt idx="19">
                    <c:v>IV</c:v>
                  </c:pt>
                  <c:pt idx="20">
                    <c:v>I</c:v>
                  </c:pt>
                  <c:pt idx="21">
                    <c:v>II</c:v>
                  </c:pt>
                  <c:pt idx="22">
                    <c:v>III</c:v>
                  </c:pt>
                  <c:pt idx="23">
                    <c:v>IV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I</c:v>
                  </c:pt>
                  <c:pt idx="29">
                    <c:v>II</c:v>
                  </c:pt>
                  <c:pt idx="30">
                    <c:v>III</c:v>
                  </c:pt>
                  <c:pt idx="31">
                    <c:v>IV</c:v>
                  </c:pt>
                  <c:pt idx="32">
                    <c:v>I</c:v>
                  </c:pt>
                  <c:pt idx="33">
                    <c:v>II</c:v>
                  </c:pt>
                  <c:pt idx="34">
                    <c:v>III</c:v>
                  </c:pt>
                  <c:pt idx="35">
                    <c:v>IV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I</c:v>
                  </c:pt>
                  <c:pt idx="41">
                    <c:v>II</c:v>
                  </c:pt>
                  <c:pt idx="42">
                    <c:v>III</c:v>
                  </c:pt>
                  <c:pt idx="43">
                    <c:v>IV</c:v>
                  </c:pt>
                  <c:pt idx="44">
                    <c:v>I</c:v>
                  </c:pt>
                  <c:pt idx="45">
                    <c:v>II</c:v>
                  </c:pt>
                  <c:pt idx="46">
                    <c:v>III</c:v>
                  </c:pt>
                  <c:pt idx="47">
                    <c:v>IV</c:v>
                  </c:pt>
                </c:lvl>
                <c:lvl>
                  <c:pt idx="0">
                    <c:v>2008</c:v>
                  </c:pt>
                  <c:pt idx="4">
                    <c:v>2009</c:v>
                  </c:pt>
                  <c:pt idx="8">
                    <c:v>2010</c:v>
                  </c:pt>
                  <c:pt idx="12">
                    <c:v>2011</c:v>
                  </c:pt>
                  <c:pt idx="16">
                    <c:v>2012</c:v>
                  </c:pt>
                  <c:pt idx="20">
                    <c:v>2013</c:v>
                  </c:pt>
                  <c:pt idx="24">
                    <c:v>2014</c:v>
                  </c:pt>
                  <c:pt idx="28">
                    <c:v>2015</c:v>
                  </c:pt>
                  <c:pt idx="32">
                    <c:v>2016</c:v>
                  </c:pt>
                  <c:pt idx="36">
                    <c:v>2017</c:v>
                  </c:pt>
                  <c:pt idx="40">
                    <c:v>2018</c:v>
                  </c:pt>
                  <c:pt idx="44">
                    <c:v>2019</c:v>
                  </c:pt>
                </c:lvl>
              </c:multiLvlStrCache>
            </c:multiLvlStrRef>
          </c:cat>
          <c:val>
            <c:numRef>
              <c:f>Datos!$F$26:$F$73</c:f>
              <c:numCache>
                <c:formatCode>0.0</c:formatCode>
                <c:ptCount val="48"/>
                <c:pt idx="0">
                  <c:v>2768990.6943662101</c:v>
                </c:pt>
                <c:pt idx="1">
                  <c:v>2814066.3185361498</c:v>
                </c:pt>
                <c:pt idx="2">
                  <c:v>2839566.1632680502</c:v>
                </c:pt>
                <c:pt idx="3">
                  <c:v>2783622.7798680798</c:v>
                </c:pt>
                <c:pt idx="4">
                  <c:v>2680975.1320311902</c:v>
                </c:pt>
                <c:pt idx="5">
                  <c:v>2593141.2521455698</c:v>
                </c:pt>
                <c:pt idx="6">
                  <c:v>2636720.7747678198</c:v>
                </c:pt>
                <c:pt idx="7">
                  <c:v>2821594.5097220801</c:v>
                </c:pt>
                <c:pt idx="8">
                  <c:v>2987210.4197859401</c:v>
                </c:pt>
                <c:pt idx="9">
                  <c:v>3009584.7125299</c:v>
                </c:pt>
                <c:pt idx="10">
                  <c:v>2956099.50298625</c:v>
                </c:pt>
                <c:pt idx="11">
                  <c:v>2952373.6662907898</c:v>
                </c:pt>
                <c:pt idx="12">
                  <c:v>3022662.77273871</c:v>
                </c:pt>
                <c:pt idx="13">
                  <c:v>3150435.7192035201</c:v>
                </c:pt>
                <c:pt idx="14">
                  <c:v>3306778.67706428</c:v>
                </c:pt>
                <c:pt idx="15">
                  <c:v>3454102.3450410301</c:v>
                </c:pt>
                <c:pt idx="16">
                  <c:v>3595045.0937875002</c:v>
                </c:pt>
                <c:pt idx="17">
                  <c:v>3678191.1922326498</c:v>
                </c:pt>
                <c:pt idx="18">
                  <c:v>3602119.3183081299</c:v>
                </c:pt>
                <c:pt idx="19">
                  <c:v>3417069.7883743001</c:v>
                </c:pt>
                <c:pt idx="20">
                  <c:v>3296210.3000968299</c:v>
                </c:pt>
                <c:pt idx="21">
                  <c:v>3248486.9345432301</c:v>
                </c:pt>
                <c:pt idx="22">
                  <c:v>3235010.0808804398</c:v>
                </c:pt>
                <c:pt idx="23">
                  <c:v>3268354.1283706599</c:v>
                </c:pt>
                <c:pt idx="24">
                  <c:v>3308000.95360624</c:v>
                </c:pt>
                <c:pt idx="25">
                  <c:v>3409419.9936341201</c:v>
                </c:pt>
                <c:pt idx="26">
                  <c:v>3575267.8449981101</c:v>
                </c:pt>
                <c:pt idx="27">
                  <c:v>3690477.90953593</c:v>
                </c:pt>
                <c:pt idx="28">
                  <c:v>3718311.1133048399</c:v>
                </c:pt>
                <c:pt idx="29">
                  <c:v>3785287.5609160401</c:v>
                </c:pt>
                <c:pt idx="30">
                  <c:v>3861959.2730628499</c:v>
                </c:pt>
                <c:pt idx="31">
                  <c:v>3988369.8261191798</c:v>
                </c:pt>
                <c:pt idx="32">
                  <c:v>4119704.0845441599</c:v>
                </c:pt>
                <c:pt idx="33">
                  <c:v>4214843.2065876201</c:v>
                </c:pt>
                <c:pt idx="34">
                  <c:v>4366116.1619888796</c:v>
                </c:pt>
                <c:pt idx="35">
                  <c:v>4517853.7655568104</c:v>
                </c:pt>
                <c:pt idx="36">
                  <c:v>4557435.2460581604</c:v>
                </c:pt>
                <c:pt idx="37">
                  <c:v>4554974.0458721397</c:v>
                </c:pt>
                <c:pt idx="38">
                  <c:v>4632276.0191387702</c:v>
                </c:pt>
                <c:pt idx="39">
                  <c:v>4747391.0347263599</c:v>
                </c:pt>
                <c:pt idx="40">
                  <c:v>4878441.53983803</c:v>
                </c:pt>
                <c:pt idx="41">
                  <c:v>4927281.2812608304</c:v>
                </c:pt>
                <c:pt idx="42">
                  <c:v>4930503.1554915104</c:v>
                </c:pt>
                <c:pt idx="43">
                  <c:v>4956583.0592136001</c:v>
                </c:pt>
                <c:pt idx="44">
                  <c:v>5081090.8326364197</c:v>
                </c:pt>
                <c:pt idx="45">
                  <c:v>5200419.7313956702</c:v>
                </c:pt>
                <c:pt idx="46">
                  <c:v>5186812.3739321204</c:v>
                </c:pt>
                <c:pt idx="47">
                  <c:v>5117336.78119036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7118-4677-A34D-280369A948E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16921496"/>
        <c:axId val="316474400"/>
      </c:lineChart>
      <c:catAx>
        <c:axId val="31692149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>
            <a:solidFill>
              <a:schemeClr val="tx1"/>
            </a:solidFill>
          </a:ln>
        </c:spPr>
        <c:txPr>
          <a:bodyPr rot="0" vert="horz"/>
          <a:lstStyle/>
          <a:p>
            <a:pPr>
              <a:defRPr sz="600"/>
            </a:pPr>
            <a:endParaRPr lang="es-MX"/>
          </a:p>
        </c:txPr>
        <c:crossAx val="316474400"/>
        <c:crosses val="autoZero"/>
        <c:auto val="0"/>
        <c:lblAlgn val="ctr"/>
        <c:lblOffset val="0"/>
        <c:tickLblSkip val="1"/>
        <c:tickMarkSkip val="4"/>
        <c:noMultiLvlLbl val="1"/>
      </c:catAx>
      <c:valAx>
        <c:axId val="316474400"/>
        <c:scaling>
          <c:orientation val="minMax"/>
          <c:min val="500000"/>
        </c:scaling>
        <c:delete val="0"/>
        <c:axPos val="l"/>
        <c:numFmt formatCode="#,##0" sourceLinked="0"/>
        <c:majorTickMark val="out"/>
        <c:minorTickMark val="none"/>
        <c:tickLblPos val="nextTo"/>
        <c:spPr>
          <a:ln>
            <a:solidFill>
              <a:schemeClr val="tx1"/>
            </a:solidFill>
          </a:ln>
        </c:spPr>
        <c:txPr>
          <a:bodyPr rot="0" vert="horz"/>
          <a:lstStyle/>
          <a:p>
            <a:pPr>
              <a:defRPr sz="600"/>
            </a:pPr>
            <a:endParaRPr lang="es-MX"/>
          </a:p>
        </c:txPr>
        <c:crossAx val="316921496"/>
        <c:crosses val="autoZero"/>
        <c:crossBetween val="between"/>
      </c:valAx>
      <c:spPr>
        <a:noFill/>
        <a:ln>
          <a:solidFill>
            <a:schemeClr val="bg1">
              <a:lumMod val="75000"/>
            </a:schemeClr>
          </a:solidFill>
        </a:ln>
      </c:spPr>
    </c:plotArea>
    <c:legend>
      <c:legendPos val="b"/>
      <c:layout>
        <c:manualLayout>
          <c:xMode val="edge"/>
          <c:yMode val="edge"/>
          <c:x val="2.9468730201828229E-3"/>
          <c:y val="0.94392532357352621"/>
          <c:w val="0.99195267999730785"/>
          <c:h val="5.1710246530149412E-2"/>
        </c:manualLayout>
      </c:layout>
      <c:overlay val="0"/>
      <c:spPr>
        <a:noFill/>
      </c:spPr>
      <c:txPr>
        <a:bodyPr/>
        <a:lstStyle/>
        <a:p>
          <a:pPr>
            <a:defRPr sz="600"/>
          </a:pPr>
          <a:endParaRPr lang="es-MX"/>
        </a:p>
      </c:txPr>
    </c:legend>
    <c:plotVisOnly val="1"/>
    <c:dispBlanksAs val="gap"/>
    <c:showDLblsOverMax val="0"/>
  </c:chart>
  <c:spPr>
    <a:noFill/>
    <a:ln>
      <a:solidFill>
        <a:schemeClr val="tx1"/>
      </a:solidFill>
    </a:ln>
    <a:effectLst>
      <a:outerShdw dist="12700" dir="2700000" algn="ctr" rotWithShape="0">
        <a:srgbClr val="000000"/>
      </a:outerShdw>
    </a:effectLst>
  </c:spPr>
  <c:txPr>
    <a:bodyPr/>
    <a:lstStyle/>
    <a:p>
      <a:pPr>
        <a:defRPr sz="1600">
          <a:latin typeface="Arial" pitchFamily="34" charset="0"/>
          <a:cs typeface="Arial" pitchFamily="34" charset="0"/>
        </a:defRPr>
      </a:pPr>
      <a:endParaRPr lang="es-MX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27"/>
    </mc:Choice>
    <mc:Fallback>
      <c:style val="27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3580563907675033"/>
          <c:y val="2.4492411085430238E-2"/>
          <c:w val="0.83787956737965963"/>
          <c:h val="0.81211954070389314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Datos!$E$5</c:f>
              <c:strCache>
                <c:ptCount val="1"/>
                <c:pt idx="0">
                  <c:v>Serie Desestacionalizada</c:v>
                </c:pt>
              </c:strCache>
            </c:strRef>
          </c:tx>
          <c:spPr>
            <a:solidFill>
              <a:schemeClr val="accent3">
                <a:lumMod val="75000"/>
              </a:schemeClr>
            </a:solidFill>
            <a:effectLst/>
            <a:scene3d>
              <a:camera prst="orthographicFront"/>
              <a:lightRig rig="threePt" dir="t">
                <a:rot lat="0" lon="0" rev="1200000"/>
              </a:lightRig>
            </a:scene3d>
            <a:sp3d/>
          </c:spPr>
          <c:invertIfNegative val="0"/>
          <c:dLbls>
            <c:delete val="1"/>
          </c:dLbls>
          <c:cat>
            <c:multiLvlStrRef>
              <c:f>Datos!$A$26:$B$73</c:f>
              <c:multiLvlStrCache>
                <c:ptCount val="48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I</c:v>
                  </c:pt>
                  <c:pt idx="5">
                    <c:v>II</c:v>
                  </c:pt>
                  <c:pt idx="6">
                    <c:v>III</c:v>
                  </c:pt>
                  <c:pt idx="7">
                    <c:v>IV</c:v>
                  </c:pt>
                  <c:pt idx="8">
                    <c:v>I</c:v>
                  </c:pt>
                  <c:pt idx="9">
                    <c:v>II</c:v>
                  </c:pt>
                  <c:pt idx="10">
                    <c:v>III</c:v>
                  </c:pt>
                  <c:pt idx="11">
                    <c:v>IV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I</c:v>
                  </c:pt>
                  <c:pt idx="17">
                    <c:v>II</c:v>
                  </c:pt>
                  <c:pt idx="18">
                    <c:v>III</c:v>
                  </c:pt>
                  <c:pt idx="19">
                    <c:v>IV</c:v>
                  </c:pt>
                  <c:pt idx="20">
                    <c:v>I</c:v>
                  </c:pt>
                  <c:pt idx="21">
                    <c:v>II</c:v>
                  </c:pt>
                  <c:pt idx="22">
                    <c:v>III</c:v>
                  </c:pt>
                  <c:pt idx="23">
                    <c:v>IV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I</c:v>
                  </c:pt>
                  <c:pt idx="29">
                    <c:v>II</c:v>
                  </c:pt>
                  <c:pt idx="30">
                    <c:v>III</c:v>
                  </c:pt>
                  <c:pt idx="31">
                    <c:v>IV</c:v>
                  </c:pt>
                  <c:pt idx="32">
                    <c:v>I</c:v>
                  </c:pt>
                  <c:pt idx="33">
                    <c:v>II</c:v>
                  </c:pt>
                  <c:pt idx="34">
                    <c:v>III</c:v>
                  </c:pt>
                  <c:pt idx="35">
                    <c:v>IV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I</c:v>
                  </c:pt>
                  <c:pt idx="41">
                    <c:v>II</c:v>
                  </c:pt>
                  <c:pt idx="42">
                    <c:v>III</c:v>
                  </c:pt>
                  <c:pt idx="43">
                    <c:v>IV</c:v>
                  </c:pt>
                  <c:pt idx="44">
                    <c:v>I</c:v>
                  </c:pt>
                  <c:pt idx="45">
                    <c:v>II</c:v>
                  </c:pt>
                  <c:pt idx="46">
                    <c:v>III</c:v>
                  </c:pt>
                  <c:pt idx="47">
                    <c:v>IV</c:v>
                  </c:pt>
                </c:lvl>
                <c:lvl>
                  <c:pt idx="0">
                    <c:v>2008</c:v>
                  </c:pt>
                  <c:pt idx="4">
                    <c:v>2009</c:v>
                  </c:pt>
                  <c:pt idx="8">
                    <c:v>2010</c:v>
                  </c:pt>
                  <c:pt idx="12">
                    <c:v>2011</c:v>
                  </c:pt>
                  <c:pt idx="16">
                    <c:v>2012</c:v>
                  </c:pt>
                  <c:pt idx="20">
                    <c:v>2013</c:v>
                  </c:pt>
                  <c:pt idx="24">
                    <c:v>2014</c:v>
                  </c:pt>
                  <c:pt idx="28">
                    <c:v>2015</c:v>
                  </c:pt>
                  <c:pt idx="32">
                    <c:v>2016</c:v>
                  </c:pt>
                  <c:pt idx="36">
                    <c:v>2017</c:v>
                  </c:pt>
                  <c:pt idx="40">
                    <c:v>2018</c:v>
                  </c:pt>
                  <c:pt idx="44">
                    <c:v>2019</c:v>
                  </c:pt>
                </c:lvl>
              </c:multiLvlStrCache>
            </c:multiLvlStrRef>
          </c:cat>
          <c:val>
            <c:numRef>
              <c:f>Datos!$G$26:$G$73</c:f>
              <c:numCache>
                <c:formatCode>0.0</c:formatCode>
                <c:ptCount val="48"/>
                <c:pt idx="0">
                  <c:v>121574.214996501</c:v>
                </c:pt>
                <c:pt idx="1">
                  <c:v>136709.87233711799</c:v>
                </c:pt>
                <c:pt idx="2">
                  <c:v>189856.278424522</c:v>
                </c:pt>
                <c:pt idx="3">
                  <c:v>323223.36873963103</c:v>
                </c:pt>
                <c:pt idx="4">
                  <c:v>48578.671652799501</c:v>
                </c:pt>
                <c:pt idx="5">
                  <c:v>94525.442818833006</c:v>
                </c:pt>
                <c:pt idx="6">
                  <c:v>266108.98102214298</c:v>
                </c:pt>
                <c:pt idx="7">
                  <c:v>46006.127553929102</c:v>
                </c:pt>
                <c:pt idx="8">
                  <c:v>-23876.227121544998</c:v>
                </c:pt>
                <c:pt idx="9">
                  <c:v>34903.220227783102</c:v>
                </c:pt>
                <c:pt idx="10">
                  <c:v>63468.661656724304</c:v>
                </c:pt>
                <c:pt idx="11">
                  <c:v>191028.892504599</c:v>
                </c:pt>
                <c:pt idx="12">
                  <c:v>104648.322247726</c:v>
                </c:pt>
                <c:pt idx="13">
                  <c:v>162919.36177754399</c:v>
                </c:pt>
                <c:pt idx="14">
                  <c:v>307408.69824084803</c:v>
                </c:pt>
                <c:pt idx="15">
                  <c:v>88842.202473725207</c:v>
                </c:pt>
                <c:pt idx="16">
                  <c:v>146613.13330229299</c:v>
                </c:pt>
                <c:pt idx="17">
                  <c:v>111399.88723881201</c:v>
                </c:pt>
                <c:pt idx="18">
                  <c:v>226298.180570525</c:v>
                </c:pt>
                <c:pt idx="19">
                  <c:v>355337.32890448702</c:v>
                </c:pt>
                <c:pt idx="20">
                  <c:v>404672.91824863403</c:v>
                </c:pt>
                <c:pt idx="21">
                  <c:v>428037.44376288302</c:v>
                </c:pt>
                <c:pt idx="22">
                  <c:v>390068.58314284799</c:v>
                </c:pt>
                <c:pt idx="23">
                  <c:v>384916.304522402</c:v>
                </c:pt>
                <c:pt idx="24">
                  <c:v>347959.58299179398</c:v>
                </c:pt>
                <c:pt idx="25">
                  <c:v>388324.74741897202</c:v>
                </c:pt>
                <c:pt idx="26">
                  <c:v>272837.93994402402</c:v>
                </c:pt>
                <c:pt idx="27">
                  <c:v>307035.57026520203</c:v>
                </c:pt>
                <c:pt idx="28">
                  <c:v>403472.25265172898</c:v>
                </c:pt>
                <c:pt idx="29">
                  <c:v>468081.96883055201</c:v>
                </c:pt>
                <c:pt idx="30">
                  <c:v>616423.93084959697</c:v>
                </c:pt>
                <c:pt idx="31">
                  <c:v>500185.16495019803</c:v>
                </c:pt>
                <c:pt idx="32">
                  <c:v>439190.97909898899</c:v>
                </c:pt>
                <c:pt idx="33">
                  <c:v>519228.30840550503</c:v>
                </c:pt>
                <c:pt idx="34">
                  <c:v>479367.70585406601</c:v>
                </c:pt>
                <c:pt idx="35">
                  <c:v>395149.49422986899</c:v>
                </c:pt>
                <c:pt idx="36">
                  <c:v>568429.74238284305</c:v>
                </c:pt>
                <c:pt idx="37">
                  <c:v>300457.27582345001</c:v>
                </c:pt>
                <c:pt idx="38">
                  <c:v>406037.81624797703</c:v>
                </c:pt>
                <c:pt idx="39">
                  <c:v>322570.642551144</c:v>
                </c:pt>
                <c:pt idx="40">
                  <c:v>371779.86649327399</c:v>
                </c:pt>
                <c:pt idx="41">
                  <c:v>457913.98923145002</c:v>
                </c:pt>
                <c:pt idx="42">
                  <c:v>481245.078857666</c:v>
                </c:pt>
                <c:pt idx="43">
                  <c:v>402392.22246754298</c:v>
                </c:pt>
                <c:pt idx="44">
                  <c:v>244957.22733863699</c:v>
                </c:pt>
                <c:pt idx="45">
                  <c:v>-19166.767950822599</c:v>
                </c:pt>
                <c:pt idx="46">
                  <c:v>-26577.6425093096</c:v>
                </c:pt>
                <c:pt idx="47">
                  <c:v>-29670.5667478414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227-4B8D-A47A-DC9EEAA0077B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40"/>
        <c:axId val="316470088"/>
        <c:axId val="316472832"/>
      </c:barChart>
      <c:lineChart>
        <c:grouping val="standard"/>
        <c:varyColors val="0"/>
        <c:ser>
          <c:idx val="1"/>
          <c:order val="1"/>
          <c:tx>
            <c:strRef>
              <c:f>Datos!$F$5</c:f>
              <c:strCache>
                <c:ptCount val="1"/>
                <c:pt idx="0">
                  <c:v>Tendencia-Ciclo</c:v>
                </c:pt>
              </c:strCache>
            </c:strRef>
          </c:tx>
          <c:spPr>
            <a:ln w="15875">
              <a:solidFill>
                <a:srgbClr val="FF0000"/>
              </a:solidFill>
            </a:ln>
          </c:spPr>
          <c:marker>
            <c:symbol val="none"/>
          </c:marker>
          <c:cat>
            <c:multiLvlStrRef>
              <c:f>Datos!$A$26:$B$73</c:f>
              <c:multiLvlStrCache>
                <c:ptCount val="48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I</c:v>
                  </c:pt>
                  <c:pt idx="5">
                    <c:v>II</c:v>
                  </c:pt>
                  <c:pt idx="6">
                    <c:v>III</c:v>
                  </c:pt>
                  <c:pt idx="7">
                    <c:v>IV</c:v>
                  </c:pt>
                  <c:pt idx="8">
                    <c:v>I</c:v>
                  </c:pt>
                  <c:pt idx="9">
                    <c:v>II</c:v>
                  </c:pt>
                  <c:pt idx="10">
                    <c:v>III</c:v>
                  </c:pt>
                  <c:pt idx="11">
                    <c:v>IV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I</c:v>
                  </c:pt>
                  <c:pt idx="17">
                    <c:v>II</c:v>
                  </c:pt>
                  <c:pt idx="18">
                    <c:v>III</c:v>
                  </c:pt>
                  <c:pt idx="19">
                    <c:v>IV</c:v>
                  </c:pt>
                  <c:pt idx="20">
                    <c:v>I</c:v>
                  </c:pt>
                  <c:pt idx="21">
                    <c:v>II</c:v>
                  </c:pt>
                  <c:pt idx="22">
                    <c:v>III</c:v>
                  </c:pt>
                  <c:pt idx="23">
                    <c:v>IV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I</c:v>
                  </c:pt>
                  <c:pt idx="29">
                    <c:v>II</c:v>
                  </c:pt>
                  <c:pt idx="30">
                    <c:v>III</c:v>
                  </c:pt>
                  <c:pt idx="31">
                    <c:v>IV</c:v>
                  </c:pt>
                  <c:pt idx="32">
                    <c:v>I</c:v>
                  </c:pt>
                  <c:pt idx="33">
                    <c:v>II</c:v>
                  </c:pt>
                  <c:pt idx="34">
                    <c:v>III</c:v>
                  </c:pt>
                  <c:pt idx="35">
                    <c:v>IV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I</c:v>
                  </c:pt>
                  <c:pt idx="41">
                    <c:v>II</c:v>
                  </c:pt>
                  <c:pt idx="42">
                    <c:v>III</c:v>
                  </c:pt>
                  <c:pt idx="43">
                    <c:v>IV</c:v>
                  </c:pt>
                  <c:pt idx="44">
                    <c:v>I</c:v>
                  </c:pt>
                  <c:pt idx="45">
                    <c:v>II</c:v>
                  </c:pt>
                  <c:pt idx="46">
                    <c:v>III</c:v>
                  </c:pt>
                  <c:pt idx="47">
                    <c:v>IV</c:v>
                  </c:pt>
                </c:lvl>
                <c:lvl>
                  <c:pt idx="0">
                    <c:v>2008</c:v>
                  </c:pt>
                  <c:pt idx="4">
                    <c:v>2009</c:v>
                  </c:pt>
                  <c:pt idx="8">
                    <c:v>2010</c:v>
                  </c:pt>
                  <c:pt idx="12">
                    <c:v>2011</c:v>
                  </c:pt>
                  <c:pt idx="16">
                    <c:v>2012</c:v>
                  </c:pt>
                  <c:pt idx="20">
                    <c:v>2013</c:v>
                  </c:pt>
                  <c:pt idx="24">
                    <c:v>2014</c:v>
                  </c:pt>
                  <c:pt idx="28">
                    <c:v>2015</c:v>
                  </c:pt>
                  <c:pt idx="32">
                    <c:v>2016</c:v>
                  </c:pt>
                  <c:pt idx="36">
                    <c:v>2017</c:v>
                  </c:pt>
                  <c:pt idx="40">
                    <c:v>2018</c:v>
                  </c:pt>
                  <c:pt idx="44">
                    <c:v>2019</c:v>
                  </c:pt>
                </c:lvl>
              </c:multiLvlStrCache>
            </c:multiLvlStrRef>
          </c:cat>
          <c:val>
            <c:numRef>
              <c:f>Datos!$H$26:$H$73</c:f>
              <c:numCache>
                <c:formatCode>0.0</c:formatCode>
                <c:ptCount val="48"/>
                <c:pt idx="0">
                  <c:v>59075.789964469397</c:v>
                </c:pt>
                <c:pt idx="1">
                  <c:v>109367.05663216099</c:v>
                </c:pt>
                <c:pt idx="2">
                  <c:v>236018.409963246</c:v>
                </c:pt>
                <c:pt idx="3">
                  <c:v>233875.290862102</c:v>
                </c:pt>
                <c:pt idx="4">
                  <c:v>116392.36778664</c:v>
                </c:pt>
                <c:pt idx="5">
                  <c:v>118195.854033369</c:v>
                </c:pt>
                <c:pt idx="6">
                  <c:v>188333.34804090401</c:v>
                </c:pt>
                <c:pt idx="7">
                  <c:v>87379.474868181598</c:v>
                </c:pt>
                <c:pt idx="8">
                  <c:v>-13793.5021749636</c:v>
                </c:pt>
                <c:pt idx="9">
                  <c:v>13750.154951647701</c:v>
                </c:pt>
                <c:pt idx="10">
                  <c:v>95933.808870441295</c:v>
                </c:pt>
                <c:pt idx="11">
                  <c:v>141720.89240069201</c:v>
                </c:pt>
                <c:pt idx="12">
                  <c:v>145222.164349698</c:v>
                </c:pt>
                <c:pt idx="13">
                  <c:v>138906.563634035</c:v>
                </c:pt>
                <c:pt idx="14">
                  <c:v>197370.03969516401</c:v>
                </c:pt>
                <c:pt idx="15">
                  <c:v>244823.752081349</c:v>
                </c:pt>
                <c:pt idx="16">
                  <c:v>207863.856827251</c:v>
                </c:pt>
                <c:pt idx="17">
                  <c:v>149787.05124656399</c:v>
                </c:pt>
                <c:pt idx="18">
                  <c:v>217341.93577413601</c:v>
                </c:pt>
                <c:pt idx="19">
                  <c:v>344501.26214857202</c:v>
                </c:pt>
                <c:pt idx="20">
                  <c:v>411214.84540510399</c:v>
                </c:pt>
                <c:pt idx="21">
                  <c:v>418527.80005937401</c:v>
                </c:pt>
                <c:pt idx="22">
                  <c:v>401726.59312157502</c:v>
                </c:pt>
                <c:pt idx="23">
                  <c:v>372158.63169257098</c:v>
                </c:pt>
                <c:pt idx="24">
                  <c:v>373093.51278649701</c:v>
                </c:pt>
                <c:pt idx="25">
                  <c:v>348769.09840246401</c:v>
                </c:pt>
                <c:pt idx="26">
                  <c:v>301693.24660140002</c:v>
                </c:pt>
                <c:pt idx="27">
                  <c:v>307521.70062669797</c:v>
                </c:pt>
                <c:pt idx="28">
                  <c:v>394712.30842162599</c:v>
                </c:pt>
                <c:pt idx="29">
                  <c:v>469017.55488247803</c:v>
                </c:pt>
                <c:pt idx="30">
                  <c:v>546853.74386291695</c:v>
                </c:pt>
                <c:pt idx="31">
                  <c:v>526566.69125796505</c:v>
                </c:pt>
                <c:pt idx="32">
                  <c:v>469984.22624339099</c:v>
                </c:pt>
                <c:pt idx="33">
                  <c:v>473392.41783703997</c:v>
                </c:pt>
                <c:pt idx="34">
                  <c:v>466383.51155683002</c:v>
                </c:pt>
                <c:pt idx="35">
                  <c:v>468620.65545409598</c:v>
                </c:pt>
                <c:pt idx="36">
                  <c:v>457294.44580975798</c:v>
                </c:pt>
                <c:pt idx="37">
                  <c:v>401595.51113405498</c:v>
                </c:pt>
                <c:pt idx="38">
                  <c:v>341104.87397462799</c:v>
                </c:pt>
                <c:pt idx="39">
                  <c:v>353224.44612690603</c:v>
                </c:pt>
                <c:pt idx="40">
                  <c:v>372071.84234770399</c:v>
                </c:pt>
                <c:pt idx="41">
                  <c:v>453482.91440950503</c:v>
                </c:pt>
                <c:pt idx="42">
                  <c:v>476620.47352962103</c:v>
                </c:pt>
                <c:pt idx="43">
                  <c:v>406189.01282658399</c:v>
                </c:pt>
                <c:pt idx="44">
                  <c:v>216210.06430164701</c:v>
                </c:pt>
                <c:pt idx="45">
                  <c:v>26049.117074888702</c:v>
                </c:pt>
                <c:pt idx="46">
                  <c:v>-40468.833056989803</c:v>
                </c:pt>
                <c:pt idx="47">
                  <c:v>-36322.921666512098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7227-4B8D-A47A-DC9EEAA0077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16470088"/>
        <c:axId val="316472832"/>
      </c:lineChart>
      <c:catAx>
        <c:axId val="31647008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>
            <a:solidFill>
              <a:schemeClr val="tx1"/>
            </a:solidFill>
          </a:ln>
        </c:spPr>
        <c:txPr>
          <a:bodyPr rot="0" vert="horz"/>
          <a:lstStyle/>
          <a:p>
            <a:pPr>
              <a:defRPr sz="600"/>
            </a:pPr>
            <a:endParaRPr lang="es-MX"/>
          </a:p>
        </c:txPr>
        <c:crossAx val="316472832"/>
        <c:crosses val="autoZero"/>
        <c:auto val="0"/>
        <c:lblAlgn val="ctr"/>
        <c:lblOffset val="0"/>
        <c:tickLblSkip val="1"/>
        <c:tickMarkSkip val="4"/>
        <c:noMultiLvlLbl val="1"/>
      </c:catAx>
      <c:valAx>
        <c:axId val="316472832"/>
        <c:scaling>
          <c:orientation val="minMax"/>
          <c:min val="-165000"/>
        </c:scaling>
        <c:delete val="0"/>
        <c:axPos val="l"/>
        <c:numFmt formatCode="#,##0" sourceLinked="0"/>
        <c:majorTickMark val="out"/>
        <c:minorTickMark val="none"/>
        <c:tickLblPos val="nextTo"/>
        <c:spPr>
          <a:ln>
            <a:solidFill>
              <a:schemeClr val="tx1"/>
            </a:solidFill>
          </a:ln>
        </c:spPr>
        <c:txPr>
          <a:bodyPr rot="0" vert="horz"/>
          <a:lstStyle/>
          <a:p>
            <a:pPr>
              <a:defRPr sz="600"/>
            </a:pPr>
            <a:endParaRPr lang="es-MX"/>
          </a:p>
        </c:txPr>
        <c:crossAx val="316470088"/>
        <c:crosses val="autoZero"/>
        <c:crossBetween val="between"/>
      </c:valAx>
      <c:spPr>
        <a:noFill/>
        <a:ln>
          <a:solidFill>
            <a:schemeClr val="bg1">
              <a:lumMod val="75000"/>
            </a:schemeClr>
          </a:solidFill>
        </a:ln>
      </c:spPr>
    </c:plotArea>
    <c:legend>
      <c:legendPos val="b"/>
      <c:layout>
        <c:manualLayout>
          <c:xMode val="edge"/>
          <c:yMode val="edge"/>
          <c:x val="2.9468730201828229E-3"/>
          <c:y val="0.94392532357352621"/>
          <c:w val="0.99195267999730785"/>
          <c:h val="5.1710246530149412E-2"/>
        </c:manualLayout>
      </c:layout>
      <c:overlay val="0"/>
      <c:spPr>
        <a:noFill/>
      </c:spPr>
      <c:txPr>
        <a:bodyPr/>
        <a:lstStyle/>
        <a:p>
          <a:pPr>
            <a:defRPr sz="600"/>
          </a:pPr>
          <a:endParaRPr lang="es-MX"/>
        </a:p>
      </c:txPr>
    </c:legend>
    <c:plotVisOnly val="1"/>
    <c:dispBlanksAs val="gap"/>
    <c:showDLblsOverMax val="0"/>
  </c:chart>
  <c:spPr>
    <a:noFill/>
    <a:ln>
      <a:solidFill>
        <a:schemeClr val="tx1"/>
      </a:solidFill>
    </a:ln>
    <a:effectLst>
      <a:outerShdw dist="12700" dir="2700000" algn="ctr" rotWithShape="0">
        <a:srgbClr val="000000"/>
      </a:outerShdw>
    </a:effectLst>
  </c:spPr>
  <c:txPr>
    <a:bodyPr/>
    <a:lstStyle/>
    <a:p>
      <a:pPr>
        <a:defRPr sz="1600">
          <a:latin typeface="Arial" pitchFamily="34" charset="0"/>
          <a:cs typeface="Arial" pitchFamily="34" charset="0"/>
        </a:defRPr>
      </a:pPr>
      <a:endParaRPr lang="es-MX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54C0F4-74B2-48E2-A661-986613AF9A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2</Pages>
  <Words>466</Words>
  <Characters>2564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INEGI</Company>
  <LinksUpToDate>false</LinksUpToDate>
  <CharactersWithSpaces>3024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 Informativa. Indicador Trimestral del Ahorro Bruto. Cuarto Trimestre de 2019</dc:title>
  <dc:creator>INEGI</dc:creator>
  <cp:lastModifiedBy>PEREZ MANRIQUEZ VICTOR MANUEL</cp:lastModifiedBy>
  <cp:revision>20</cp:revision>
  <cp:lastPrinted>2020-03-18T19:49:00Z</cp:lastPrinted>
  <dcterms:created xsi:type="dcterms:W3CDTF">2020-03-17T14:52:00Z</dcterms:created>
  <dcterms:modified xsi:type="dcterms:W3CDTF">2020-03-18T22:30:00Z</dcterms:modified>
</cp:coreProperties>
</file>