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0F43" w14:textId="77777777" w:rsidR="006F6587" w:rsidRDefault="006F6587" w:rsidP="006F6587">
      <w:pPr>
        <w:tabs>
          <w:tab w:val="left" w:pos="1985"/>
          <w:tab w:val="left" w:pos="8789"/>
        </w:tabs>
        <w:ind w:right="51"/>
        <w:jc w:val="center"/>
        <w:rPr>
          <w:b/>
          <w:sz w:val="28"/>
        </w:rPr>
      </w:pPr>
      <w:bookmarkStart w:id="0" w:name="_Hlk66172215"/>
      <w:bookmarkEnd w:id="0"/>
      <w:r>
        <w:rPr>
          <w:noProof/>
          <w:lang w:val="es-MX" w:eastAsia="es-MX"/>
        </w:rPr>
        <mc:AlternateContent>
          <mc:Choice Requires="wps">
            <w:drawing>
              <wp:anchor distT="45720" distB="45720" distL="114300" distR="114300" simplePos="0" relativeHeight="251659264" behindDoc="0" locked="0" layoutInCell="1" allowOverlap="1" wp14:anchorId="2312C6A1" wp14:editId="225AD3B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283593B" w14:textId="57054415" w:rsidR="00287157" w:rsidRPr="006F6587" w:rsidRDefault="00287157" w:rsidP="006F6587">
                            <w:pPr>
                              <w:jc w:val="right"/>
                              <w:rPr>
                                <w:rFonts w:ascii="Arial" w:hAnsi="Arial" w:cs="Arial"/>
                                <w:sz w:val="24"/>
                                <w:szCs w:val="24"/>
                              </w:rPr>
                            </w:pPr>
                            <w:r w:rsidRPr="006F6587">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6F6587">
                              <w:rPr>
                                <w:rFonts w:ascii="Arial" w:hAnsi="Arial" w:cs="Arial"/>
                                <w:b/>
                                <w:color w:val="FFFFFF" w:themeColor="background1"/>
                                <w:sz w:val="24"/>
                                <w:szCs w:val="24"/>
                                <w:shd w:val="clear" w:color="auto" w:fill="365F91" w:themeFill="accent1" w:themeFillShade="BF"/>
                                <w:lang w:val="pt-BR"/>
                              </w:rPr>
                              <w:t>publicación</w:t>
                            </w:r>
                            <w:proofErr w:type="spellEnd"/>
                            <w:r w:rsidRPr="006F6587">
                              <w:rPr>
                                <w:rFonts w:ascii="Arial" w:hAnsi="Arial" w:cs="Arial"/>
                                <w:b/>
                                <w:color w:val="FFFFFF" w:themeColor="background1"/>
                                <w:sz w:val="24"/>
                                <w:szCs w:val="24"/>
                                <w:shd w:val="clear" w:color="auto" w:fill="365F91" w:themeFill="accent1" w:themeFillShade="BF"/>
                                <w:lang w:val="pt-BR"/>
                              </w:rPr>
                              <w:t xml:space="preserve">:  20 de </w:t>
                            </w:r>
                            <w:proofErr w:type="spellStart"/>
                            <w:r w:rsidRPr="006F6587">
                              <w:rPr>
                                <w:rFonts w:ascii="Arial" w:hAnsi="Arial" w:cs="Arial"/>
                                <w:b/>
                                <w:color w:val="FFFFFF" w:themeColor="background1"/>
                                <w:sz w:val="24"/>
                                <w:szCs w:val="24"/>
                                <w:shd w:val="clear" w:color="auto" w:fill="365F91" w:themeFill="accent1" w:themeFillShade="BF"/>
                                <w:lang w:val="pt-BR"/>
                              </w:rPr>
                              <w:t>septiembre</w:t>
                            </w:r>
                            <w:proofErr w:type="spellEnd"/>
                            <w:r>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2C6A1"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283593B" w14:textId="57054415" w:rsidR="00287157" w:rsidRPr="006F6587" w:rsidRDefault="00287157" w:rsidP="006F6587">
                      <w:pPr>
                        <w:jc w:val="right"/>
                        <w:rPr>
                          <w:rFonts w:ascii="Arial" w:hAnsi="Arial" w:cs="Arial"/>
                          <w:sz w:val="24"/>
                          <w:szCs w:val="24"/>
                        </w:rPr>
                      </w:pPr>
                      <w:r w:rsidRPr="006F6587">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6F6587">
                        <w:rPr>
                          <w:rFonts w:ascii="Arial" w:hAnsi="Arial" w:cs="Arial"/>
                          <w:b/>
                          <w:color w:val="FFFFFF" w:themeColor="background1"/>
                          <w:sz w:val="24"/>
                          <w:szCs w:val="24"/>
                          <w:shd w:val="clear" w:color="auto" w:fill="365F91" w:themeFill="accent1" w:themeFillShade="BF"/>
                          <w:lang w:val="pt-BR"/>
                        </w:rPr>
                        <w:t>publicación</w:t>
                      </w:r>
                      <w:proofErr w:type="spellEnd"/>
                      <w:r w:rsidRPr="006F6587">
                        <w:rPr>
                          <w:rFonts w:ascii="Arial" w:hAnsi="Arial" w:cs="Arial"/>
                          <w:b/>
                          <w:color w:val="FFFFFF" w:themeColor="background1"/>
                          <w:sz w:val="24"/>
                          <w:szCs w:val="24"/>
                          <w:shd w:val="clear" w:color="auto" w:fill="365F91" w:themeFill="accent1" w:themeFillShade="BF"/>
                          <w:lang w:val="pt-BR"/>
                        </w:rPr>
                        <w:t xml:space="preserve">:  20 de </w:t>
                      </w:r>
                      <w:proofErr w:type="spellStart"/>
                      <w:r w:rsidRPr="006F6587">
                        <w:rPr>
                          <w:rFonts w:ascii="Arial" w:hAnsi="Arial" w:cs="Arial"/>
                          <w:b/>
                          <w:color w:val="FFFFFF" w:themeColor="background1"/>
                          <w:sz w:val="24"/>
                          <w:szCs w:val="24"/>
                          <w:shd w:val="clear" w:color="auto" w:fill="365F91" w:themeFill="accent1" w:themeFillShade="BF"/>
                          <w:lang w:val="pt-BR"/>
                        </w:rPr>
                        <w:t>septiembre</w:t>
                      </w:r>
                      <w:proofErr w:type="spellEnd"/>
                      <w:r>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3B7E6A23" w14:textId="77777777" w:rsidR="006F6587" w:rsidRDefault="006F6587" w:rsidP="006F6587">
      <w:pPr>
        <w:pStyle w:val="Profesin"/>
        <w:outlineLvl w:val="0"/>
        <w:rPr>
          <w:lang w:val="es-MX"/>
        </w:rPr>
      </w:pPr>
    </w:p>
    <w:p w14:paraId="3F4C9C54" w14:textId="77777777" w:rsidR="006F6587" w:rsidRPr="009B3F82" w:rsidRDefault="006F6587" w:rsidP="006F6587">
      <w:pPr>
        <w:pStyle w:val="Ttulo2"/>
        <w:ind w:left="-91" w:right="-142"/>
        <w:rPr>
          <w:rFonts w:cs="Arial"/>
          <w:color w:val="000000" w:themeColor="text1"/>
          <w:sz w:val="24"/>
          <w:szCs w:val="24"/>
        </w:rPr>
      </w:pPr>
      <w:r w:rsidRPr="009B3F82">
        <w:rPr>
          <w:rFonts w:cs="Arial"/>
          <w:color w:val="000000" w:themeColor="text1"/>
          <w:sz w:val="24"/>
          <w:szCs w:val="24"/>
        </w:rPr>
        <w:t>INDICADORES TRIMESTRALES DE LA OFERTA Y DEMANDA</w:t>
      </w:r>
    </w:p>
    <w:p w14:paraId="791622F2" w14:textId="145AAA41" w:rsidR="006F6587" w:rsidRPr="009B3F82" w:rsidRDefault="006F6587" w:rsidP="006F6587">
      <w:pPr>
        <w:pStyle w:val="Ttulo2"/>
        <w:spacing w:before="0"/>
        <w:ind w:left="-91" w:right="-142"/>
        <w:rPr>
          <w:rFonts w:cs="Arial"/>
          <w:color w:val="000000" w:themeColor="text1"/>
          <w:sz w:val="24"/>
          <w:szCs w:val="24"/>
        </w:rPr>
      </w:pPr>
      <w:r w:rsidRPr="009B3F82">
        <w:rPr>
          <w:rFonts w:cs="Arial"/>
          <w:color w:val="000000" w:themeColor="text1"/>
          <w:sz w:val="24"/>
          <w:szCs w:val="24"/>
        </w:rPr>
        <w:t>Y DEL AHORRO BRUTO</w:t>
      </w:r>
      <w:r w:rsidRPr="009B3F82">
        <w:rPr>
          <w:rFonts w:cs="Arial"/>
          <w:color w:val="000000" w:themeColor="text1"/>
          <w:sz w:val="24"/>
          <w:szCs w:val="24"/>
          <w:vertAlign w:val="superscript"/>
        </w:rPr>
        <w:footnoteReference w:id="1"/>
      </w:r>
      <w:r w:rsidRPr="009B3F82">
        <w:rPr>
          <w:rFonts w:cs="Arial"/>
          <w:color w:val="000000" w:themeColor="text1"/>
          <w:sz w:val="24"/>
          <w:szCs w:val="24"/>
        </w:rPr>
        <w:t xml:space="preserve"> </w:t>
      </w:r>
      <w:r w:rsidRPr="009B3F82">
        <w:rPr>
          <w:rFonts w:cs="Arial"/>
          <w:color w:val="000000" w:themeColor="text1"/>
          <w:sz w:val="24"/>
          <w:szCs w:val="24"/>
        </w:rPr>
        <w:br/>
        <w:t>DURANTE EL PRIMER TRIMESTRE DE 2021</w:t>
      </w:r>
      <w:bookmarkStart w:id="1" w:name="_GoBack"/>
      <w:bookmarkEnd w:id="1"/>
    </w:p>
    <w:p w14:paraId="61479559" w14:textId="77777777" w:rsidR="006F6587" w:rsidRPr="009B3F82" w:rsidRDefault="006F6587" w:rsidP="006F6587">
      <w:pPr>
        <w:jc w:val="center"/>
        <w:rPr>
          <w:rFonts w:ascii="Arial" w:hAnsi="Arial" w:cs="Arial"/>
          <w:b/>
          <w:bCs/>
          <w:i/>
          <w:iCs/>
          <w:sz w:val="24"/>
          <w:szCs w:val="24"/>
        </w:rPr>
      </w:pPr>
      <w:r w:rsidRPr="009B3F82">
        <w:rPr>
          <w:rFonts w:ascii="Arial" w:hAnsi="Arial" w:cs="Arial"/>
          <w:b/>
          <w:bCs/>
          <w:i/>
          <w:iCs/>
          <w:sz w:val="24"/>
          <w:szCs w:val="24"/>
        </w:rPr>
        <w:t>(Cifras desestacionalizadas)</w:t>
      </w:r>
      <w:r w:rsidRPr="009B3F82">
        <w:rPr>
          <w:color w:val="000000"/>
          <w:sz w:val="24"/>
          <w:szCs w:val="24"/>
          <w:vertAlign w:val="superscript"/>
        </w:rPr>
        <w:t xml:space="preserve"> </w:t>
      </w:r>
      <w:r w:rsidRPr="009B3F82">
        <w:rPr>
          <w:rFonts w:ascii="Arial" w:hAnsi="Arial" w:cs="Arial"/>
          <w:b/>
          <w:bCs/>
          <w:color w:val="000000"/>
          <w:sz w:val="24"/>
          <w:szCs w:val="24"/>
          <w:vertAlign w:val="superscript"/>
        </w:rPr>
        <w:footnoteReference w:id="2"/>
      </w:r>
    </w:p>
    <w:p w14:paraId="123965DB" w14:textId="77777777" w:rsidR="006F6587" w:rsidRPr="0051355E" w:rsidRDefault="006F6587" w:rsidP="009513B5">
      <w:pPr>
        <w:pStyle w:val="bullet"/>
        <w:ind w:left="-426" w:right="-547" w:firstLine="0"/>
        <w:jc w:val="both"/>
        <w:rPr>
          <w:rFonts w:cs="Arial"/>
          <w:b w:val="0"/>
          <w:color w:val="000000"/>
          <w:sz w:val="24"/>
          <w:szCs w:val="24"/>
        </w:rPr>
      </w:pPr>
      <w:r w:rsidRPr="0051355E">
        <w:rPr>
          <w:rFonts w:cs="Arial"/>
          <w:b w:val="0"/>
          <w:color w:val="000000"/>
          <w:sz w:val="24"/>
          <w:szCs w:val="24"/>
        </w:rPr>
        <w:t>El Instituto Nacional de Estadística y Geografía (INEGI) presenta los resultados trimestrales de la Oferta y Demanda Global de Bienes y Servicios (ODG), así como del Indicador Trimestral del Ahorro Bruto</w:t>
      </w:r>
      <w:r w:rsidRPr="0051355E">
        <w:rPr>
          <w:rFonts w:cs="Arial"/>
          <w:b w:val="0"/>
          <w:color w:val="000000"/>
          <w:sz w:val="24"/>
          <w:szCs w:val="24"/>
          <w:vertAlign w:val="superscript"/>
        </w:rPr>
        <w:footnoteReference w:id="3"/>
      </w:r>
      <w:r w:rsidRPr="0051355E">
        <w:rPr>
          <w:rFonts w:cs="Arial"/>
          <w:b w:val="0"/>
          <w:color w:val="000000"/>
          <w:sz w:val="24"/>
          <w:szCs w:val="24"/>
        </w:rPr>
        <w:t xml:space="preserve"> (ITAB).</w:t>
      </w:r>
    </w:p>
    <w:p w14:paraId="3F0532F6" w14:textId="77777777" w:rsidR="006F6587" w:rsidRPr="0051355E" w:rsidRDefault="006F6587" w:rsidP="006F6587">
      <w:pPr>
        <w:pStyle w:val="bullet"/>
        <w:ind w:left="-426" w:right="-547" w:firstLine="0"/>
        <w:jc w:val="both"/>
        <w:rPr>
          <w:rFonts w:cs="Arial"/>
          <w:b w:val="0"/>
          <w:color w:val="000000"/>
          <w:sz w:val="24"/>
          <w:szCs w:val="24"/>
        </w:rPr>
      </w:pPr>
      <w:r w:rsidRPr="0051355E">
        <w:rPr>
          <w:rFonts w:cs="Arial"/>
          <w:b w:val="0"/>
          <w:color w:val="000000"/>
          <w:sz w:val="24"/>
          <w:szCs w:val="24"/>
        </w:rPr>
        <w:t xml:space="preserve">La Oferta Global (igual a la Demanda Global) de Bienes y Servicios aumentó 2% en términos reales con series ajustadas estacionalmente en el trimestre enero-marzo de 2021 respecto al trimestre inmediato anterior. A su interior, el Producto Interno Bruto creció 0.8% y las Importaciones de Bienes y Servicios 5.9% en igual lapso.  </w:t>
      </w:r>
    </w:p>
    <w:p w14:paraId="4580EE3E" w14:textId="11BC61F8" w:rsidR="006F6587" w:rsidRPr="0051355E" w:rsidRDefault="006F6587" w:rsidP="006F6587">
      <w:pPr>
        <w:pStyle w:val="bullet"/>
        <w:ind w:left="-426" w:right="-547" w:firstLine="0"/>
        <w:jc w:val="both"/>
        <w:rPr>
          <w:rFonts w:cs="Arial"/>
          <w:b w:val="0"/>
          <w:color w:val="000000"/>
          <w:sz w:val="24"/>
          <w:szCs w:val="24"/>
        </w:rPr>
      </w:pPr>
      <w:r w:rsidRPr="0051355E">
        <w:rPr>
          <w:rFonts w:cs="Arial"/>
          <w:b w:val="0"/>
          <w:color w:val="000000"/>
          <w:sz w:val="24"/>
          <w:szCs w:val="24"/>
        </w:rPr>
        <w:t xml:space="preserve">Por su parte, los componentes de la Demanda Global mostraron el siguiente comportamiento en el trimestre de referencia respecto al trimestre anterior: la Formación Bruta de Capital Fijo se incrementó 5.3%, el Consumo Privado 2.9% y el Consumo de Gobierno lo hizo en 0.5%, en tanto que las Exportaciones de Bienes y Servicios retrocedieron 3.3% con cifras desestacionalizadas.  </w:t>
      </w:r>
    </w:p>
    <w:p w14:paraId="09992EF3" w14:textId="77777777" w:rsidR="009513B5" w:rsidRDefault="009513B5" w:rsidP="009513B5">
      <w:pPr>
        <w:pStyle w:val="p01"/>
        <w:keepLines w:val="0"/>
        <w:widowControl w:val="0"/>
        <w:spacing w:before="0"/>
        <w:jc w:val="center"/>
        <w:rPr>
          <w:rFonts w:ascii="Arial" w:hAnsi="Arial" w:cs="Arial"/>
          <w:b/>
          <w:smallCaps/>
          <w:color w:val="auto"/>
          <w:sz w:val="22"/>
          <w:szCs w:val="22"/>
        </w:rPr>
      </w:pPr>
    </w:p>
    <w:p w14:paraId="7649E57F" w14:textId="3E316FC2" w:rsidR="009513B5" w:rsidRDefault="009513B5" w:rsidP="009513B5">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y </w:t>
      </w:r>
      <w:r w:rsidRPr="0057593E">
        <w:rPr>
          <w:rFonts w:ascii="Arial" w:hAnsi="Arial" w:cs="Arial"/>
          <w:b/>
          <w:smallCaps/>
          <w:color w:val="auto"/>
          <w:sz w:val="22"/>
          <w:szCs w:val="22"/>
        </w:rPr>
        <w:t xml:space="preserve">Demanda </w:t>
      </w:r>
      <w:r>
        <w:rPr>
          <w:rFonts w:ascii="Arial" w:hAnsi="Arial" w:cs="Arial"/>
          <w:b/>
          <w:smallCaps/>
          <w:color w:val="auto"/>
          <w:sz w:val="22"/>
          <w:szCs w:val="22"/>
        </w:rPr>
        <w:t xml:space="preserve">Global de Bienes y Servicios por componentes </w:t>
      </w:r>
      <w:r w:rsidRPr="0057593E">
        <w:rPr>
          <w:rFonts w:ascii="Arial" w:hAnsi="Arial" w:cs="Arial"/>
          <w:b/>
          <w:smallCaps/>
          <w:color w:val="auto"/>
          <w:sz w:val="22"/>
          <w:szCs w:val="22"/>
        </w:rPr>
        <w:t xml:space="preserve"> </w:t>
      </w:r>
    </w:p>
    <w:p w14:paraId="0BF63C91" w14:textId="77777777" w:rsidR="009513B5" w:rsidRPr="0057593E" w:rsidRDefault="009513B5" w:rsidP="009513B5">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 xml:space="preserve">al </w:t>
      </w:r>
      <w:r>
        <w:rPr>
          <w:rFonts w:ascii="Arial" w:hAnsi="Arial" w:cs="Arial"/>
          <w:b/>
          <w:smallCaps/>
          <w:color w:val="auto"/>
          <w:sz w:val="22"/>
          <w:szCs w:val="22"/>
        </w:rPr>
        <w:t>primer</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Pr>
          <w:rFonts w:ascii="Arial" w:hAnsi="Arial" w:cs="Arial"/>
          <w:b/>
          <w:smallCaps/>
          <w:color w:val="auto"/>
          <w:sz w:val="22"/>
          <w:szCs w:val="22"/>
        </w:rPr>
        <w:t>1</w:t>
      </w:r>
    </w:p>
    <w:p w14:paraId="007E2ADF" w14:textId="77777777" w:rsidR="009513B5" w:rsidRPr="00EF651A" w:rsidRDefault="009513B5" w:rsidP="009513B5">
      <w:pPr>
        <w:pStyle w:val="Textoindependiente"/>
        <w:keepNext/>
        <w:keepLines/>
        <w:spacing w:before="0" w:line="180" w:lineRule="exact"/>
        <w:jc w:val="center"/>
        <w:rPr>
          <w:rFonts w:cs="Arial"/>
          <w:bCs/>
          <w:sz w:val="16"/>
          <w:szCs w:val="16"/>
        </w:rPr>
      </w:pPr>
      <w:r w:rsidRPr="00EF651A">
        <w:rPr>
          <w:rFonts w:cs="Arial"/>
          <w:bCs/>
          <w:sz w:val="18"/>
        </w:rPr>
        <w:t xml:space="preserve">Cifras desestacionalizadas </w:t>
      </w:r>
      <w:r w:rsidRPr="00EF651A">
        <w:rPr>
          <w:rFonts w:cs="Arial"/>
          <w:bCs/>
          <w:sz w:val="16"/>
          <w:szCs w:val="16"/>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9513B5" w14:paraId="0AB4FF69" w14:textId="77777777" w:rsidTr="00287157">
        <w:trPr>
          <w:trHeight w:val="694"/>
          <w:jc w:val="center"/>
        </w:trPr>
        <w:tc>
          <w:tcPr>
            <w:tcW w:w="3521" w:type="dxa"/>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033F563A" w14:textId="77777777" w:rsidR="009513B5" w:rsidRPr="0057593E" w:rsidRDefault="009513B5" w:rsidP="00287157">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1457" w:type="dxa"/>
            <w:tcBorders>
              <w:top w:val="double" w:sz="4" w:space="0" w:color="auto"/>
              <w:left w:val="single" w:sz="4" w:space="0" w:color="auto"/>
              <w:bottom w:val="double" w:sz="4" w:space="0" w:color="auto"/>
              <w:right w:val="single" w:sz="4" w:space="0" w:color="auto"/>
            </w:tcBorders>
            <w:shd w:val="clear" w:color="auto" w:fill="C2D69B" w:themeFill="accent3" w:themeFillTint="99"/>
            <w:vAlign w:val="center"/>
          </w:tcPr>
          <w:p w14:paraId="2FDB9ECD" w14:textId="77777777" w:rsidR="009513B5" w:rsidRPr="0057593E" w:rsidRDefault="009513B5" w:rsidP="00287157">
            <w:pPr>
              <w:pStyle w:val="not31"/>
              <w:widowControl w:val="0"/>
              <w:spacing w:before="0" w:line="180" w:lineRule="atLeast"/>
              <w:ind w:left="-100" w:right="-72"/>
              <w:jc w:val="center"/>
              <w:rPr>
                <w:rFonts w:cs="Arial"/>
                <w:b/>
                <w:color w:val="auto"/>
                <w:sz w:val="18"/>
                <w:szCs w:val="18"/>
                <w:lang w:val="es-MX" w:eastAsia="es-MX"/>
              </w:rPr>
            </w:pPr>
            <w:r w:rsidRPr="0057593E">
              <w:rPr>
                <w:rFonts w:cs="Arial"/>
                <w:b/>
                <w:color w:val="auto"/>
                <w:sz w:val="18"/>
                <w:szCs w:val="18"/>
                <w:lang w:val="es-MX" w:eastAsia="es-MX"/>
              </w:rPr>
              <w:t>Variación % respecto al trimestre previo</w:t>
            </w:r>
          </w:p>
        </w:tc>
        <w:tc>
          <w:tcPr>
            <w:tcW w:w="1811" w:type="dxa"/>
            <w:tcBorders>
              <w:top w:val="double" w:sz="4" w:space="0" w:color="auto"/>
              <w:left w:val="single" w:sz="4" w:space="0" w:color="auto"/>
              <w:bottom w:val="double" w:sz="4" w:space="0" w:color="auto"/>
              <w:right w:val="double" w:sz="4" w:space="0" w:color="auto"/>
            </w:tcBorders>
            <w:shd w:val="clear" w:color="auto" w:fill="C2D69B" w:themeFill="accent3" w:themeFillTint="99"/>
            <w:vAlign w:val="center"/>
          </w:tcPr>
          <w:p w14:paraId="1767F880" w14:textId="77777777" w:rsidR="009513B5" w:rsidRPr="0057593E" w:rsidRDefault="009513B5" w:rsidP="00287157">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 a igual trimestre de 20</w:t>
            </w:r>
            <w:r>
              <w:rPr>
                <w:rFonts w:cs="Arial"/>
                <w:b/>
                <w:color w:val="auto"/>
                <w:sz w:val="18"/>
                <w:szCs w:val="18"/>
                <w:lang w:val="es-MX" w:eastAsia="es-MX"/>
              </w:rPr>
              <w:t>20</w:t>
            </w:r>
          </w:p>
        </w:tc>
      </w:tr>
      <w:tr w:rsidR="009513B5" w14:paraId="3B738844" w14:textId="77777777" w:rsidTr="00287157">
        <w:trPr>
          <w:jc w:val="center"/>
        </w:trPr>
        <w:tc>
          <w:tcPr>
            <w:tcW w:w="3521" w:type="dxa"/>
            <w:tcBorders>
              <w:top w:val="double" w:sz="4" w:space="0" w:color="auto"/>
              <w:left w:val="double" w:sz="4" w:space="0" w:color="auto"/>
              <w:bottom w:val="nil"/>
              <w:right w:val="single" w:sz="4" w:space="0" w:color="auto"/>
            </w:tcBorders>
            <w:vAlign w:val="center"/>
          </w:tcPr>
          <w:p w14:paraId="5CB7241D"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78F1613C" w14:textId="77777777" w:rsidR="009513B5" w:rsidRPr="0057593E" w:rsidRDefault="009513B5" w:rsidP="00287157">
            <w:pPr>
              <w:spacing w:before="20" w:after="20"/>
              <w:ind w:right="397"/>
              <w:jc w:val="right"/>
              <w:rPr>
                <w:rFonts w:ascii="Arial" w:hAnsi="Arial" w:cs="Arial"/>
                <w:sz w:val="18"/>
                <w:szCs w:val="18"/>
              </w:rPr>
            </w:pPr>
            <w:r>
              <w:rPr>
                <w:rFonts w:ascii="Arial" w:hAnsi="Arial" w:cs="Arial"/>
                <w:sz w:val="18"/>
                <w:szCs w:val="18"/>
                <w:lang w:eastAsia="es-MX"/>
              </w:rPr>
              <w:t>0.8</w:t>
            </w:r>
          </w:p>
        </w:tc>
        <w:tc>
          <w:tcPr>
            <w:tcW w:w="1811" w:type="dxa"/>
            <w:tcBorders>
              <w:top w:val="double" w:sz="4" w:space="0" w:color="auto"/>
              <w:left w:val="single" w:sz="4" w:space="0" w:color="auto"/>
              <w:bottom w:val="nil"/>
              <w:right w:val="double" w:sz="4" w:space="0" w:color="auto"/>
            </w:tcBorders>
            <w:shd w:val="clear" w:color="auto" w:fill="auto"/>
            <w:vAlign w:val="bottom"/>
          </w:tcPr>
          <w:p w14:paraId="5F2C2425" w14:textId="77777777" w:rsidR="009513B5" w:rsidRPr="0057593E" w:rsidRDefault="009513B5" w:rsidP="00287157">
            <w:pPr>
              <w:spacing w:before="20" w:after="20"/>
              <w:ind w:right="510"/>
              <w:jc w:val="right"/>
              <w:rPr>
                <w:rFonts w:ascii="Arial" w:hAnsi="Arial" w:cs="Arial"/>
                <w:sz w:val="18"/>
                <w:szCs w:val="18"/>
              </w:rPr>
            </w:pPr>
            <w:r w:rsidRPr="0057593E">
              <w:rPr>
                <w:rFonts w:ascii="Arial" w:hAnsi="Arial" w:cs="Arial"/>
                <w:sz w:val="18"/>
                <w:szCs w:val="18"/>
                <w:lang w:eastAsia="es-MX"/>
              </w:rPr>
              <w:t>(</w:t>
            </w:r>
            <w:proofErr w:type="gramStart"/>
            <w:r w:rsidRPr="0057593E">
              <w:rPr>
                <w:rFonts w:ascii="Arial" w:hAnsi="Arial" w:cs="Arial"/>
                <w:sz w:val="18"/>
                <w:szCs w:val="18"/>
                <w:lang w:eastAsia="es-MX"/>
              </w:rPr>
              <w:noBreakHyphen/>
              <w:t xml:space="preserve">)   </w:t>
            </w:r>
            <w:proofErr w:type="gramEnd"/>
            <w:r w:rsidRPr="0057593E">
              <w:rPr>
                <w:rFonts w:ascii="Arial" w:hAnsi="Arial" w:cs="Arial"/>
                <w:sz w:val="18"/>
                <w:szCs w:val="18"/>
                <w:lang w:eastAsia="es-MX"/>
              </w:rPr>
              <w:t xml:space="preserve">  </w:t>
            </w:r>
            <w:r>
              <w:rPr>
                <w:rFonts w:ascii="Arial" w:hAnsi="Arial" w:cs="Arial"/>
                <w:sz w:val="18"/>
                <w:szCs w:val="18"/>
                <w:lang w:eastAsia="es-MX"/>
              </w:rPr>
              <w:t>2.8</w:t>
            </w:r>
          </w:p>
        </w:tc>
      </w:tr>
      <w:tr w:rsidR="009513B5" w14:paraId="5A0E8C47" w14:textId="77777777" w:rsidTr="00287157">
        <w:trPr>
          <w:jc w:val="center"/>
        </w:trPr>
        <w:tc>
          <w:tcPr>
            <w:tcW w:w="3521" w:type="dxa"/>
            <w:tcBorders>
              <w:top w:val="nil"/>
              <w:left w:val="double" w:sz="4" w:space="0" w:color="auto"/>
              <w:bottom w:val="nil"/>
              <w:right w:val="single" w:sz="4" w:space="0" w:color="auto"/>
            </w:tcBorders>
            <w:vAlign w:val="center"/>
          </w:tcPr>
          <w:p w14:paraId="5A3F76F6"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Importación de Bienes y Servicios</w:t>
            </w:r>
          </w:p>
        </w:tc>
        <w:tc>
          <w:tcPr>
            <w:tcW w:w="1457" w:type="dxa"/>
            <w:tcBorders>
              <w:top w:val="nil"/>
              <w:left w:val="single" w:sz="4" w:space="0" w:color="auto"/>
              <w:bottom w:val="nil"/>
              <w:right w:val="nil"/>
            </w:tcBorders>
            <w:vAlign w:val="center"/>
          </w:tcPr>
          <w:p w14:paraId="4FC3A889"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5.9</w:t>
            </w:r>
          </w:p>
        </w:tc>
        <w:tc>
          <w:tcPr>
            <w:tcW w:w="1811" w:type="dxa"/>
            <w:tcBorders>
              <w:top w:val="nil"/>
              <w:left w:val="single" w:sz="4" w:space="0" w:color="auto"/>
              <w:bottom w:val="nil"/>
              <w:right w:val="double" w:sz="4" w:space="0" w:color="auto"/>
            </w:tcBorders>
            <w:shd w:val="clear" w:color="auto" w:fill="auto"/>
            <w:vAlign w:val="center"/>
          </w:tcPr>
          <w:p w14:paraId="20258290"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0.7</w:t>
            </w:r>
          </w:p>
        </w:tc>
      </w:tr>
      <w:tr w:rsidR="009513B5" w14:paraId="2A9D3225" w14:textId="77777777" w:rsidTr="00287157">
        <w:trPr>
          <w:jc w:val="center"/>
        </w:trPr>
        <w:tc>
          <w:tcPr>
            <w:tcW w:w="3521" w:type="dxa"/>
            <w:tcBorders>
              <w:top w:val="nil"/>
              <w:left w:val="double" w:sz="4" w:space="0" w:color="auto"/>
              <w:bottom w:val="nil"/>
              <w:right w:val="single" w:sz="4" w:space="0" w:color="auto"/>
            </w:tcBorders>
            <w:vAlign w:val="center"/>
          </w:tcPr>
          <w:p w14:paraId="7B2861F2" w14:textId="77777777" w:rsidR="009513B5" w:rsidRPr="0057593E" w:rsidRDefault="009513B5" w:rsidP="00287157">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Global</w:t>
            </w:r>
          </w:p>
        </w:tc>
        <w:tc>
          <w:tcPr>
            <w:tcW w:w="1457" w:type="dxa"/>
            <w:tcBorders>
              <w:top w:val="nil"/>
              <w:left w:val="single" w:sz="4" w:space="0" w:color="auto"/>
              <w:bottom w:val="nil"/>
              <w:right w:val="nil"/>
            </w:tcBorders>
            <w:vAlign w:val="bottom"/>
          </w:tcPr>
          <w:p w14:paraId="57427F2B" w14:textId="77777777" w:rsidR="009513B5" w:rsidRPr="0057593E" w:rsidRDefault="009513B5" w:rsidP="00287157">
            <w:pPr>
              <w:pStyle w:val="not31"/>
              <w:keepLines w:val="0"/>
              <w:widowControl w:val="0"/>
              <w:spacing w:before="20" w:after="20"/>
              <w:ind w:right="397"/>
              <w:jc w:val="right"/>
              <w:rPr>
                <w:rFonts w:cs="Arial"/>
                <w:b/>
                <w:color w:val="auto"/>
                <w:sz w:val="18"/>
                <w:szCs w:val="18"/>
                <w:lang w:val="es-MX" w:eastAsia="es-MX"/>
              </w:rPr>
            </w:pPr>
            <w:r>
              <w:rPr>
                <w:rFonts w:cs="Arial"/>
                <w:b/>
                <w:color w:val="auto"/>
                <w:sz w:val="18"/>
                <w:szCs w:val="18"/>
                <w:lang w:val="es-MX" w:eastAsia="es-MX"/>
              </w:rPr>
              <w:t>2.0</w:t>
            </w:r>
          </w:p>
        </w:tc>
        <w:tc>
          <w:tcPr>
            <w:tcW w:w="1811" w:type="dxa"/>
            <w:tcBorders>
              <w:top w:val="nil"/>
              <w:left w:val="single" w:sz="4" w:space="0" w:color="auto"/>
              <w:bottom w:val="nil"/>
              <w:right w:val="double" w:sz="4" w:space="0" w:color="auto"/>
            </w:tcBorders>
            <w:shd w:val="clear" w:color="auto" w:fill="auto"/>
            <w:vAlign w:val="bottom"/>
          </w:tcPr>
          <w:p w14:paraId="2D157102" w14:textId="77777777" w:rsidR="009513B5" w:rsidRPr="0057593E" w:rsidRDefault="009513B5" w:rsidP="00287157">
            <w:pPr>
              <w:pStyle w:val="not31"/>
              <w:keepLines w:val="0"/>
              <w:widowControl w:val="0"/>
              <w:spacing w:before="20" w:after="20"/>
              <w:ind w:right="510"/>
              <w:jc w:val="right"/>
              <w:rPr>
                <w:rFonts w:cs="Arial"/>
                <w:b/>
                <w:color w:val="auto"/>
                <w:sz w:val="18"/>
                <w:szCs w:val="18"/>
                <w:lang w:val="es-MX" w:eastAsia="es-MX"/>
              </w:rPr>
            </w:pPr>
            <w:r w:rsidRPr="0057593E">
              <w:rPr>
                <w:rFonts w:cs="Arial"/>
                <w:b/>
                <w:color w:val="auto"/>
                <w:sz w:val="18"/>
                <w:szCs w:val="18"/>
                <w:lang w:val="es-MX" w:eastAsia="es-MX"/>
              </w:rPr>
              <w:t>(</w:t>
            </w:r>
            <w:proofErr w:type="gramStart"/>
            <w:r w:rsidRPr="0057593E">
              <w:rPr>
                <w:rFonts w:cs="Arial"/>
                <w:b/>
                <w:color w:val="auto"/>
                <w:sz w:val="18"/>
                <w:szCs w:val="18"/>
                <w:lang w:val="es-MX" w:eastAsia="es-MX"/>
              </w:rPr>
              <w:noBreakHyphen/>
              <w:t xml:space="preserve">) </w:t>
            </w:r>
            <w:r>
              <w:rPr>
                <w:rFonts w:cs="Arial"/>
                <w:b/>
                <w:color w:val="auto"/>
                <w:sz w:val="18"/>
                <w:szCs w:val="18"/>
                <w:lang w:val="es-MX" w:eastAsia="es-MX"/>
              </w:rPr>
              <w:t xml:space="preserve">  </w:t>
            </w:r>
            <w:proofErr w:type="gramEnd"/>
            <w:r w:rsidRPr="0057593E">
              <w:rPr>
                <w:rFonts w:cs="Arial"/>
                <w:b/>
                <w:color w:val="auto"/>
                <w:sz w:val="18"/>
                <w:szCs w:val="18"/>
                <w:lang w:val="es-MX" w:eastAsia="es-MX"/>
              </w:rPr>
              <w:t xml:space="preserve">  </w:t>
            </w:r>
            <w:r>
              <w:rPr>
                <w:rFonts w:cs="Arial"/>
                <w:b/>
                <w:color w:val="auto"/>
                <w:sz w:val="18"/>
                <w:szCs w:val="18"/>
                <w:lang w:val="es-MX" w:eastAsia="es-MX"/>
              </w:rPr>
              <w:t>2.0</w:t>
            </w:r>
          </w:p>
        </w:tc>
      </w:tr>
      <w:tr w:rsidR="009513B5" w14:paraId="7F2082E1" w14:textId="77777777" w:rsidTr="00287157">
        <w:trPr>
          <w:jc w:val="center"/>
        </w:trPr>
        <w:tc>
          <w:tcPr>
            <w:tcW w:w="3521" w:type="dxa"/>
            <w:tcBorders>
              <w:top w:val="nil"/>
              <w:left w:val="double" w:sz="4" w:space="0" w:color="auto"/>
              <w:bottom w:val="nil"/>
              <w:right w:val="single" w:sz="4" w:space="0" w:color="auto"/>
            </w:tcBorders>
            <w:vAlign w:val="center"/>
          </w:tcPr>
          <w:p w14:paraId="6B9975CD"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Consumo Privado</w:t>
            </w:r>
          </w:p>
        </w:tc>
        <w:tc>
          <w:tcPr>
            <w:tcW w:w="1457" w:type="dxa"/>
            <w:tcBorders>
              <w:top w:val="nil"/>
              <w:left w:val="single" w:sz="4" w:space="0" w:color="auto"/>
              <w:bottom w:val="nil"/>
              <w:right w:val="nil"/>
            </w:tcBorders>
            <w:vAlign w:val="bottom"/>
          </w:tcPr>
          <w:p w14:paraId="79493ACC"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2.9</w:t>
            </w:r>
          </w:p>
        </w:tc>
        <w:tc>
          <w:tcPr>
            <w:tcW w:w="1811" w:type="dxa"/>
            <w:tcBorders>
              <w:top w:val="nil"/>
              <w:left w:val="single" w:sz="4" w:space="0" w:color="auto"/>
              <w:bottom w:val="nil"/>
              <w:right w:val="double" w:sz="4" w:space="0" w:color="auto"/>
            </w:tcBorders>
            <w:shd w:val="clear" w:color="auto" w:fill="auto"/>
            <w:vAlign w:val="bottom"/>
          </w:tcPr>
          <w:p w14:paraId="096191BC"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w:t>
            </w:r>
            <w:proofErr w:type="gramStart"/>
            <w:r w:rsidRPr="0057593E">
              <w:rPr>
                <w:rFonts w:cs="Arial"/>
                <w:color w:val="auto"/>
                <w:sz w:val="18"/>
                <w:szCs w:val="18"/>
                <w:lang w:val="es-MX" w:eastAsia="es-MX"/>
              </w:rPr>
              <w:noBreakHyphen/>
              <w:t xml:space="preserve">) </w:t>
            </w:r>
            <w:r>
              <w:rPr>
                <w:rFonts w:cs="Arial"/>
                <w:color w:val="auto"/>
                <w:sz w:val="18"/>
                <w:szCs w:val="18"/>
                <w:lang w:val="es-MX" w:eastAsia="es-MX"/>
              </w:rPr>
              <w:t xml:space="preserve">  </w:t>
            </w:r>
            <w:proofErr w:type="gramEnd"/>
            <w:r w:rsidRPr="0057593E">
              <w:rPr>
                <w:rFonts w:cs="Arial"/>
                <w:color w:val="auto"/>
                <w:sz w:val="18"/>
                <w:szCs w:val="18"/>
                <w:lang w:val="es-MX" w:eastAsia="es-MX"/>
              </w:rPr>
              <w:t xml:space="preserve">  </w:t>
            </w:r>
            <w:r>
              <w:rPr>
                <w:rFonts w:cs="Arial"/>
                <w:color w:val="auto"/>
                <w:sz w:val="18"/>
                <w:szCs w:val="18"/>
                <w:lang w:val="es-MX" w:eastAsia="es-MX"/>
              </w:rPr>
              <w:t>3.4</w:t>
            </w:r>
          </w:p>
        </w:tc>
      </w:tr>
      <w:tr w:rsidR="009513B5" w14:paraId="7FE8AD6B" w14:textId="77777777" w:rsidTr="00287157">
        <w:trPr>
          <w:jc w:val="center"/>
        </w:trPr>
        <w:tc>
          <w:tcPr>
            <w:tcW w:w="3521" w:type="dxa"/>
            <w:tcBorders>
              <w:top w:val="nil"/>
              <w:left w:val="double" w:sz="4" w:space="0" w:color="auto"/>
              <w:bottom w:val="nil"/>
              <w:right w:val="single" w:sz="4" w:space="0" w:color="auto"/>
            </w:tcBorders>
            <w:vAlign w:val="center"/>
          </w:tcPr>
          <w:p w14:paraId="1D49EAAD"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Consumo de Gobierno</w:t>
            </w:r>
          </w:p>
        </w:tc>
        <w:tc>
          <w:tcPr>
            <w:tcW w:w="1457" w:type="dxa"/>
            <w:tcBorders>
              <w:top w:val="nil"/>
              <w:left w:val="single" w:sz="4" w:space="0" w:color="auto"/>
              <w:bottom w:val="nil"/>
              <w:right w:val="nil"/>
            </w:tcBorders>
            <w:vAlign w:val="bottom"/>
          </w:tcPr>
          <w:p w14:paraId="37BCA8EB"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0.</w:t>
            </w:r>
            <w:r>
              <w:rPr>
                <w:rFonts w:cs="Arial"/>
                <w:color w:val="auto"/>
                <w:sz w:val="18"/>
                <w:szCs w:val="18"/>
                <w:lang w:val="es-MX" w:eastAsia="es-MX"/>
              </w:rPr>
              <w:t>5</w:t>
            </w:r>
          </w:p>
        </w:tc>
        <w:tc>
          <w:tcPr>
            <w:tcW w:w="1811" w:type="dxa"/>
            <w:tcBorders>
              <w:top w:val="nil"/>
              <w:left w:val="single" w:sz="4" w:space="0" w:color="auto"/>
              <w:bottom w:val="nil"/>
              <w:right w:val="double" w:sz="4" w:space="0" w:color="auto"/>
            </w:tcBorders>
            <w:shd w:val="clear" w:color="auto" w:fill="auto"/>
            <w:vAlign w:val="bottom"/>
          </w:tcPr>
          <w:p w14:paraId="5BA91071"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     0.7</w:t>
            </w:r>
          </w:p>
        </w:tc>
      </w:tr>
      <w:tr w:rsidR="009513B5" w14:paraId="29635FF2" w14:textId="77777777" w:rsidTr="00287157">
        <w:trPr>
          <w:jc w:val="center"/>
        </w:trPr>
        <w:tc>
          <w:tcPr>
            <w:tcW w:w="3521" w:type="dxa"/>
            <w:tcBorders>
              <w:top w:val="nil"/>
              <w:left w:val="double" w:sz="4" w:space="0" w:color="auto"/>
              <w:bottom w:val="nil"/>
              <w:right w:val="single" w:sz="4" w:space="0" w:color="auto"/>
            </w:tcBorders>
            <w:vAlign w:val="center"/>
          </w:tcPr>
          <w:p w14:paraId="1C51D111"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Formación Bruta de Capital Fijo</w:t>
            </w:r>
          </w:p>
        </w:tc>
        <w:tc>
          <w:tcPr>
            <w:tcW w:w="1457" w:type="dxa"/>
            <w:tcBorders>
              <w:top w:val="nil"/>
              <w:left w:val="single" w:sz="4" w:space="0" w:color="auto"/>
              <w:bottom w:val="nil"/>
              <w:right w:val="nil"/>
            </w:tcBorders>
            <w:vAlign w:val="bottom"/>
          </w:tcPr>
          <w:p w14:paraId="09CE41EF"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5.3</w:t>
            </w:r>
          </w:p>
        </w:tc>
        <w:tc>
          <w:tcPr>
            <w:tcW w:w="1811" w:type="dxa"/>
            <w:tcBorders>
              <w:top w:val="nil"/>
              <w:left w:val="single" w:sz="4" w:space="0" w:color="auto"/>
              <w:bottom w:val="nil"/>
              <w:right w:val="double" w:sz="4" w:space="0" w:color="auto"/>
            </w:tcBorders>
            <w:shd w:val="clear" w:color="auto" w:fill="auto"/>
            <w:vAlign w:val="bottom"/>
          </w:tcPr>
          <w:p w14:paraId="48C42F9C"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w:t>
            </w:r>
            <w:proofErr w:type="gramStart"/>
            <w:r w:rsidRPr="0057593E">
              <w:rPr>
                <w:rFonts w:cs="Arial"/>
                <w:color w:val="auto"/>
                <w:sz w:val="18"/>
                <w:szCs w:val="18"/>
                <w:lang w:val="es-MX" w:eastAsia="es-MX"/>
              </w:rPr>
              <w:noBreakHyphen/>
              <w:t xml:space="preserve">)  </w:t>
            </w:r>
            <w:r>
              <w:rPr>
                <w:rFonts w:cs="Arial"/>
                <w:color w:val="auto"/>
                <w:sz w:val="18"/>
                <w:szCs w:val="18"/>
                <w:lang w:val="es-MX" w:eastAsia="es-MX"/>
              </w:rPr>
              <w:t xml:space="preserve"> </w:t>
            </w:r>
            <w:proofErr w:type="gramEnd"/>
            <w:r>
              <w:rPr>
                <w:rFonts w:cs="Arial"/>
                <w:color w:val="auto"/>
                <w:sz w:val="18"/>
                <w:szCs w:val="18"/>
                <w:lang w:val="es-MX" w:eastAsia="es-MX"/>
              </w:rPr>
              <w:t xml:space="preserve"> </w:t>
            </w:r>
            <w:r w:rsidRPr="0057593E">
              <w:rPr>
                <w:rFonts w:cs="Arial"/>
                <w:color w:val="auto"/>
                <w:sz w:val="18"/>
                <w:szCs w:val="18"/>
                <w:lang w:val="es-MX" w:eastAsia="es-MX"/>
              </w:rPr>
              <w:t xml:space="preserve"> </w:t>
            </w:r>
            <w:r>
              <w:rPr>
                <w:rFonts w:cs="Arial"/>
                <w:color w:val="auto"/>
                <w:sz w:val="18"/>
                <w:szCs w:val="18"/>
                <w:lang w:val="es-MX" w:eastAsia="es-MX"/>
              </w:rPr>
              <w:t>4.9</w:t>
            </w:r>
          </w:p>
        </w:tc>
      </w:tr>
      <w:tr w:rsidR="009513B5" w14:paraId="7705406B" w14:textId="77777777" w:rsidTr="00287157">
        <w:trPr>
          <w:jc w:val="center"/>
        </w:trPr>
        <w:tc>
          <w:tcPr>
            <w:tcW w:w="3521" w:type="dxa"/>
            <w:tcBorders>
              <w:top w:val="nil"/>
              <w:left w:val="double" w:sz="4" w:space="0" w:color="auto"/>
              <w:bottom w:val="nil"/>
              <w:right w:val="single" w:sz="4" w:space="0" w:color="auto"/>
            </w:tcBorders>
            <w:vAlign w:val="center"/>
          </w:tcPr>
          <w:p w14:paraId="64648C72"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Variación de Existencias</w:t>
            </w:r>
          </w:p>
        </w:tc>
        <w:tc>
          <w:tcPr>
            <w:tcW w:w="1457" w:type="dxa"/>
            <w:tcBorders>
              <w:top w:val="nil"/>
              <w:left w:val="single" w:sz="4" w:space="0" w:color="auto"/>
              <w:bottom w:val="nil"/>
              <w:right w:val="nil"/>
            </w:tcBorders>
            <w:vAlign w:val="bottom"/>
          </w:tcPr>
          <w:p w14:paraId="006CE0D6"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c>
          <w:tcPr>
            <w:tcW w:w="1811" w:type="dxa"/>
            <w:tcBorders>
              <w:top w:val="nil"/>
              <w:left w:val="single" w:sz="4" w:space="0" w:color="auto"/>
              <w:bottom w:val="nil"/>
              <w:right w:val="double" w:sz="4" w:space="0" w:color="auto"/>
            </w:tcBorders>
            <w:shd w:val="clear" w:color="auto" w:fill="auto"/>
            <w:vAlign w:val="bottom"/>
          </w:tcPr>
          <w:p w14:paraId="6BFA2909"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r>
      <w:tr w:rsidR="009513B5" w14:paraId="652FD765" w14:textId="77777777" w:rsidTr="00287157">
        <w:trPr>
          <w:jc w:val="center"/>
        </w:trPr>
        <w:tc>
          <w:tcPr>
            <w:tcW w:w="3521" w:type="dxa"/>
            <w:tcBorders>
              <w:top w:val="nil"/>
              <w:left w:val="double" w:sz="4" w:space="0" w:color="auto"/>
              <w:bottom w:val="nil"/>
              <w:right w:val="single" w:sz="4" w:space="0" w:color="auto"/>
            </w:tcBorders>
            <w:vAlign w:val="center"/>
          </w:tcPr>
          <w:p w14:paraId="1F8541E2"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Exportación de Bienes y Servicios</w:t>
            </w:r>
          </w:p>
        </w:tc>
        <w:tc>
          <w:tcPr>
            <w:tcW w:w="1457" w:type="dxa"/>
            <w:tcBorders>
              <w:top w:val="nil"/>
              <w:left w:val="single" w:sz="4" w:space="0" w:color="auto"/>
              <w:bottom w:val="nil"/>
              <w:right w:val="nil"/>
            </w:tcBorders>
            <w:vAlign w:val="center"/>
          </w:tcPr>
          <w:p w14:paraId="563D3C10"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   3.3</w:t>
            </w:r>
          </w:p>
        </w:tc>
        <w:tc>
          <w:tcPr>
            <w:tcW w:w="1811" w:type="dxa"/>
            <w:tcBorders>
              <w:top w:val="nil"/>
              <w:left w:val="single" w:sz="4" w:space="0" w:color="auto"/>
              <w:bottom w:val="nil"/>
              <w:right w:val="double" w:sz="4" w:space="0" w:color="auto"/>
            </w:tcBorders>
            <w:shd w:val="clear" w:color="auto" w:fill="auto"/>
            <w:vAlign w:val="center"/>
          </w:tcPr>
          <w:p w14:paraId="06361E2A"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 xml:space="preserve">(-)     </w:t>
            </w:r>
            <w:r>
              <w:rPr>
                <w:rFonts w:cs="Arial"/>
                <w:color w:val="auto"/>
                <w:sz w:val="18"/>
                <w:szCs w:val="18"/>
                <w:lang w:val="es-MX" w:eastAsia="es-MX"/>
              </w:rPr>
              <w:t>4.2</w:t>
            </w:r>
          </w:p>
        </w:tc>
      </w:tr>
      <w:tr w:rsidR="009513B5" w14:paraId="7B22D05E" w14:textId="77777777" w:rsidTr="00287157">
        <w:trPr>
          <w:jc w:val="center"/>
        </w:trPr>
        <w:tc>
          <w:tcPr>
            <w:tcW w:w="3521" w:type="dxa"/>
            <w:tcBorders>
              <w:top w:val="nil"/>
              <w:left w:val="double" w:sz="4" w:space="0" w:color="auto"/>
              <w:bottom w:val="double" w:sz="4" w:space="0" w:color="auto"/>
              <w:right w:val="single" w:sz="4" w:space="0" w:color="auto"/>
            </w:tcBorders>
            <w:vAlign w:val="center"/>
          </w:tcPr>
          <w:p w14:paraId="776728FC" w14:textId="77777777" w:rsidR="009513B5" w:rsidRPr="0057593E" w:rsidRDefault="009513B5" w:rsidP="00287157">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Pr="0057593E">
              <w:rPr>
                <w:rFonts w:cs="Arial"/>
                <w:color w:val="auto"/>
                <w:sz w:val="18"/>
                <w:szCs w:val="18"/>
                <w:lang w:val="es-MX" w:eastAsia="es-MX"/>
              </w:rPr>
              <w:t>Discrepancia Estadística</w:t>
            </w:r>
          </w:p>
        </w:tc>
        <w:tc>
          <w:tcPr>
            <w:tcW w:w="1457" w:type="dxa"/>
            <w:tcBorders>
              <w:top w:val="nil"/>
              <w:left w:val="single" w:sz="4" w:space="0" w:color="auto"/>
              <w:bottom w:val="double" w:sz="4" w:space="0" w:color="auto"/>
              <w:right w:val="nil"/>
            </w:tcBorders>
            <w:vAlign w:val="center"/>
          </w:tcPr>
          <w:p w14:paraId="4B9C4FF2" w14:textId="77777777" w:rsidR="009513B5" w:rsidRPr="0057593E" w:rsidRDefault="009513B5" w:rsidP="00287157">
            <w:pPr>
              <w:pStyle w:val="not31"/>
              <w:keepLines w:val="0"/>
              <w:widowControl w:val="0"/>
              <w:spacing w:before="20" w:after="20"/>
              <w:ind w:right="397"/>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c>
          <w:tcPr>
            <w:tcW w:w="1811" w:type="dxa"/>
            <w:tcBorders>
              <w:top w:val="nil"/>
              <w:left w:val="single" w:sz="4" w:space="0" w:color="auto"/>
              <w:bottom w:val="double" w:sz="4" w:space="0" w:color="auto"/>
              <w:right w:val="double" w:sz="4" w:space="0" w:color="auto"/>
            </w:tcBorders>
            <w:shd w:val="clear" w:color="auto" w:fill="auto"/>
            <w:vAlign w:val="center"/>
          </w:tcPr>
          <w:p w14:paraId="46B3CF41" w14:textId="77777777" w:rsidR="009513B5" w:rsidRPr="0057593E" w:rsidRDefault="009513B5" w:rsidP="00287157">
            <w:pPr>
              <w:pStyle w:val="not31"/>
              <w:keepLines w:val="0"/>
              <w:widowControl w:val="0"/>
              <w:spacing w:before="20" w:after="20"/>
              <w:ind w:right="510"/>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r>
    </w:tbl>
    <w:p w14:paraId="01A0AB9A" w14:textId="77777777" w:rsidR="009513B5" w:rsidRPr="00D247C1" w:rsidRDefault="009513B5" w:rsidP="009513B5">
      <w:pPr>
        <w:pStyle w:val="Textoindependiente"/>
        <w:spacing w:before="0"/>
        <w:ind w:left="1560" w:right="843" w:hanging="426"/>
        <w:rPr>
          <w:rFonts w:cs="Arial"/>
          <w:sz w:val="16"/>
          <w:szCs w:val="16"/>
        </w:rPr>
      </w:pPr>
      <w:r w:rsidRPr="00D247C1">
        <w:rPr>
          <w:rFonts w:cs="Arial"/>
          <w:sz w:val="16"/>
          <w:szCs w:val="16"/>
        </w:rPr>
        <w:t xml:space="preserve">Nota: Las series desestacionalizadas de la Oferta y Demanda Global </w:t>
      </w:r>
      <w:r>
        <w:rPr>
          <w:rFonts w:cs="Arial"/>
          <w:sz w:val="16"/>
          <w:szCs w:val="16"/>
        </w:rPr>
        <w:t xml:space="preserve">de Bienes y Servicios </w:t>
      </w:r>
      <w:r w:rsidRPr="00D247C1">
        <w:rPr>
          <w:rFonts w:cs="Arial"/>
          <w:sz w:val="16"/>
          <w:szCs w:val="16"/>
        </w:rPr>
        <w:t>se calculan de manera independiente a la de sus componentes, por lo que no necesariamente reflejan el comportamiento de dichos componentes.</w:t>
      </w:r>
    </w:p>
    <w:p w14:paraId="0BE3D365" w14:textId="77777777" w:rsidR="009513B5" w:rsidRPr="00BD64BD" w:rsidRDefault="009513B5" w:rsidP="009513B5">
      <w:pPr>
        <w:pStyle w:val="bullet"/>
        <w:tabs>
          <w:tab w:val="left" w:pos="709"/>
          <w:tab w:val="left" w:pos="8080"/>
        </w:tabs>
        <w:spacing w:before="0"/>
        <w:ind w:left="1560" w:right="114" w:hanging="426"/>
        <w:rPr>
          <w:b w:val="0"/>
          <w:bCs/>
          <w:color w:val="000000"/>
        </w:rPr>
      </w:pPr>
      <w:r w:rsidRPr="00BD64BD">
        <w:rPr>
          <w:rFonts w:cs="Arial"/>
          <w:b w:val="0"/>
          <w:bCs/>
          <w:color w:val="auto"/>
          <w:sz w:val="16"/>
          <w:szCs w:val="16"/>
        </w:rPr>
        <w:t>N.A No aplica</w:t>
      </w:r>
      <w:r w:rsidRPr="00BD64BD">
        <w:rPr>
          <w:rFonts w:cs="Arial"/>
          <w:b w:val="0"/>
          <w:bCs/>
          <w:sz w:val="16"/>
          <w:szCs w:val="16"/>
        </w:rPr>
        <w:t>.</w:t>
      </w:r>
    </w:p>
    <w:p w14:paraId="03072849" w14:textId="77777777" w:rsidR="009513B5" w:rsidRPr="005C6030" w:rsidRDefault="009513B5" w:rsidP="006F6587">
      <w:pPr>
        <w:pStyle w:val="bullet"/>
        <w:ind w:left="-426" w:right="-547" w:firstLine="0"/>
        <w:jc w:val="both"/>
        <w:rPr>
          <w:b w:val="0"/>
          <w:color w:val="000000"/>
          <w:sz w:val="24"/>
          <w:szCs w:val="24"/>
        </w:rPr>
      </w:pPr>
    </w:p>
    <w:p w14:paraId="7E40A96B" w14:textId="77777777" w:rsidR="006F6587" w:rsidRPr="0051355E" w:rsidRDefault="006F6587" w:rsidP="0004737E">
      <w:pPr>
        <w:pStyle w:val="bullet"/>
        <w:spacing w:before="0"/>
        <w:ind w:left="-426" w:right="-547" w:firstLine="0"/>
        <w:jc w:val="both"/>
        <w:rPr>
          <w:rFonts w:cs="Arial"/>
          <w:b w:val="0"/>
          <w:color w:val="000000"/>
          <w:sz w:val="24"/>
          <w:szCs w:val="24"/>
        </w:rPr>
      </w:pPr>
      <w:r w:rsidRPr="0051355E">
        <w:rPr>
          <w:rFonts w:cs="Arial"/>
          <w:b w:val="0"/>
          <w:color w:val="000000"/>
          <w:sz w:val="24"/>
          <w:szCs w:val="24"/>
        </w:rPr>
        <w:lastRenderedPageBreak/>
        <w:t>En su comparación anual, la Oferta Global cayó 2 por ciento. A su interior, el Producto Interno Bruto se redujo 2.8% y las Importaciones de Bienes y Servicios fueron mayores en 0.7 por ciento. Por el lado de la Demanda Global: la Formación Bruta de Capital Fijo descendió 4.9%, las Exportaciones de Bienes y Servicios 4.2%, el Consumo Privado 3.4% y el Consumo de Gobierno bajó 0.7% en el primer trimestre de 2021 con relación a igual trimestre de 2020 con cifras ajustadas por estacionalidad.</w:t>
      </w:r>
    </w:p>
    <w:p w14:paraId="11B07977" w14:textId="77777777" w:rsidR="006F6587" w:rsidRPr="0051355E" w:rsidRDefault="006F6587" w:rsidP="006F6587">
      <w:pPr>
        <w:pStyle w:val="bullet"/>
        <w:spacing w:after="360"/>
        <w:ind w:left="-426" w:right="-547" w:firstLine="0"/>
        <w:jc w:val="both"/>
        <w:rPr>
          <w:rFonts w:cs="Arial"/>
          <w:b w:val="0"/>
          <w:i/>
          <w:color w:val="auto"/>
          <w:sz w:val="24"/>
          <w:szCs w:val="24"/>
        </w:rPr>
      </w:pPr>
      <w:r w:rsidRPr="0051355E">
        <w:rPr>
          <w:rFonts w:cs="Arial"/>
          <w:b w:val="0"/>
          <w:color w:val="000000"/>
          <w:sz w:val="24"/>
          <w:szCs w:val="24"/>
        </w:rPr>
        <w:t xml:space="preserve">En cuanto al Ahorro Bruto a precios corrientes, éste ascendió 6.7% en el trimestre enero-marzo de este año frente al trimestre previo. En su comparación anual, el ITAB avanzó 3.3% con datos desestacionalizados durante el trimestre en cuestión. </w:t>
      </w:r>
    </w:p>
    <w:p w14:paraId="14540194" w14:textId="0543E766" w:rsidR="006F6587" w:rsidRPr="005C6030" w:rsidRDefault="006F6587" w:rsidP="0004737E">
      <w:pPr>
        <w:pStyle w:val="p0"/>
        <w:spacing w:before="480"/>
        <w:ind w:left="-426" w:right="-547"/>
        <w:rPr>
          <w:b/>
          <w:i/>
          <w:color w:val="auto"/>
          <w:szCs w:val="24"/>
        </w:rPr>
      </w:pPr>
      <w:r w:rsidRPr="005C6030">
        <w:rPr>
          <w:b/>
          <w:i/>
          <w:color w:val="auto"/>
          <w:szCs w:val="24"/>
        </w:rPr>
        <w:t>Nota al usuario</w:t>
      </w:r>
    </w:p>
    <w:p w14:paraId="75CD419C" w14:textId="77777777" w:rsidR="006F6587" w:rsidRPr="005C6030" w:rsidRDefault="006F6587" w:rsidP="006F6587">
      <w:pPr>
        <w:spacing w:before="240"/>
        <w:ind w:left="-426" w:right="-547"/>
        <w:jc w:val="both"/>
        <w:rPr>
          <w:rFonts w:ascii="Arial" w:eastAsiaTheme="minorHAnsi" w:hAnsi="Arial" w:cs="Arial"/>
          <w:sz w:val="24"/>
          <w:szCs w:val="24"/>
        </w:rPr>
      </w:pPr>
      <w:r w:rsidRPr="005C6030">
        <w:rPr>
          <w:rFonts w:ascii="Arial" w:eastAsiaTheme="minorHAnsi" w:hAnsi="Arial" w:cs="Arial"/>
          <w:sz w:val="24"/>
          <w:szCs w:val="24"/>
        </w:rPr>
        <w:t>Con base en los “Lineamientos de cambios a la información divulgada en las publicaciones estadísticas y geográficas del INEGI”, que se complementan con las “Normas Especiales para la Divulgación de Datos” del Fondo Monetario Internacional (FMI), al disponer de un dato más reciente generado por la versión revisada de las Cuentas de Bienes y Servicios (en este caso de 2019), más la incorporación de la construcción del Aeropuerto Internacional Felipe Ángeles en la Encuesta Nacional de Empresas Constructoras (ENEC) desde octubre de 2019, y con la incorporación de la más reciente información estadística disponible de las encuestas en establecimientos y en hogares, de los registros administrativos y de la Balanza de Pagos, entre otras, se actualizaron los Indicadores de Corto Plazo derivados del SCNM. Como resultado de incorporar dicha información, se identifican diferencias en niveles y variaciones de la Oferta y Demanda Global Trimestral (ODGT) y del Indicador Trimestral del Ahorro Bruto (ITAB) comparadas con las que fueron publicadas oportunamente.</w:t>
      </w:r>
    </w:p>
    <w:p w14:paraId="5E5AFC60" w14:textId="77777777" w:rsidR="006F6587" w:rsidRPr="0004737E" w:rsidRDefault="006F6587" w:rsidP="006F6587">
      <w:pPr>
        <w:pStyle w:val="p0"/>
        <w:spacing w:before="120"/>
        <w:ind w:left="-426" w:right="-547"/>
        <w:rPr>
          <w:color w:val="auto"/>
          <w:sz w:val="12"/>
          <w:szCs w:val="12"/>
        </w:rPr>
      </w:pPr>
    </w:p>
    <w:p w14:paraId="6390CEB5" w14:textId="77777777" w:rsidR="006F6587" w:rsidRPr="005C6030" w:rsidRDefault="006F6587" w:rsidP="006F6587">
      <w:pPr>
        <w:pStyle w:val="p0"/>
        <w:spacing w:before="0"/>
        <w:ind w:left="-426" w:right="-547"/>
        <w:rPr>
          <w:color w:val="auto"/>
          <w:szCs w:val="24"/>
        </w:rPr>
      </w:pPr>
      <w:r w:rsidRPr="005C6030">
        <w:rPr>
          <w:color w:val="auto"/>
          <w:szCs w:val="24"/>
        </w:rPr>
        <w:t>La Tasa de No Respuesta en la captación de las encuestas: ENEC, la Encuesta Mensual de la Industria Manufacturera (EMIM), la Encuesta Mensual sobre Empresas Comerciales (EMEC) y la Encuesta Mensual de Servicios (EMS), así como las encuestas económicas que se consideraron para la integración del ITAB en el primer trimestre de 2021 registraron porcentajes apropiados de acuerdo con el diseño estadístico de las muestras; se complementaron con la recepción oportuna vía correo electrónico y captación por internet de los registros administrativos; lo que permitió la generación de estadísticas con niveles altos de cobertura y precisión para su inclusión en la ODGT y el ITAB del trimestre de referencia.</w:t>
      </w:r>
    </w:p>
    <w:p w14:paraId="6F7E2F65" w14:textId="77777777" w:rsidR="006F6587" w:rsidRPr="006F6587" w:rsidRDefault="006F6587" w:rsidP="00F33986">
      <w:pPr>
        <w:spacing w:before="360"/>
        <w:ind w:firstLine="708"/>
        <w:jc w:val="center"/>
        <w:rPr>
          <w:rFonts w:ascii="Arial" w:hAnsi="Arial" w:cs="Arial"/>
          <w:b/>
          <w:color w:val="000000"/>
          <w:sz w:val="24"/>
          <w:szCs w:val="24"/>
        </w:rPr>
      </w:pPr>
      <w:r w:rsidRPr="006F6587">
        <w:rPr>
          <w:rFonts w:ascii="Arial" w:hAnsi="Arial" w:cs="Arial"/>
          <w:b/>
          <w:color w:val="000000"/>
          <w:sz w:val="24"/>
          <w:szCs w:val="24"/>
        </w:rPr>
        <w:t>Se anexa Nota Técnica</w:t>
      </w:r>
    </w:p>
    <w:p w14:paraId="56ED1A9E" w14:textId="77777777" w:rsidR="006F6587" w:rsidRPr="006F6587" w:rsidRDefault="006F6587" w:rsidP="006F6587">
      <w:pPr>
        <w:pStyle w:val="NormalWeb"/>
        <w:spacing w:before="0" w:beforeAutospacing="0" w:after="0" w:afterAutospacing="0"/>
        <w:ind w:left="-426" w:right="-518"/>
        <w:contextualSpacing/>
        <w:jc w:val="center"/>
        <w:rPr>
          <w:sz w:val="24"/>
          <w:szCs w:val="24"/>
        </w:rPr>
      </w:pPr>
    </w:p>
    <w:p w14:paraId="778BD176" w14:textId="77777777" w:rsidR="00F33986" w:rsidRDefault="00F33986" w:rsidP="00F33986">
      <w:pPr>
        <w:pStyle w:val="NormalWeb"/>
        <w:spacing w:before="120" w:beforeAutospacing="0" w:after="0" w:afterAutospacing="0"/>
        <w:ind w:left="-426" w:right="-518"/>
        <w:contextualSpacing/>
        <w:jc w:val="center"/>
        <w:rPr>
          <w:sz w:val="22"/>
          <w:szCs w:val="22"/>
        </w:rPr>
      </w:pPr>
    </w:p>
    <w:p w14:paraId="4D5EC63D" w14:textId="7AF72D25" w:rsidR="006F6587" w:rsidRPr="0004737E" w:rsidRDefault="006F6587" w:rsidP="00F33986">
      <w:pPr>
        <w:pStyle w:val="NormalWeb"/>
        <w:spacing w:before="120" w:beforeAutospacing="0" w:after="0" w:afterAutospacing="0"/>
        <w:ind w:left="-426" w:right="-518"/>
        <w:contextualSpacing/>
        <w:jc w:val="center"/>
        <w:rPr>
          <w:sz w:val="22"/>
          <w:szCs w:val="22"/>
        </w:rPr>
      </w:pPr>
      <w:r w:rsidRPr="0004737E">
        <w:rPr>
          <w:sz w:val="22"/>
          <w:szCs w:val="22"/>
        </w:rPr>
        <w:t xml:space="preserve">Para consultas de medios y periodistas, contactar a: </w:t>
      </w:r>
      <w:hyperlink r:id="rId8" w:history="1">
        <w:r w:rsidRPr="0004737E">
          <w:rPr>
            <w:rStyle w:val="Hipervnculo"/>
            <w:sz w:val="22"/>
            <w:szCs w:val="22"/>
          </w:rPr>
          <w:t>comunicacionsocial@inegi.org.mx</w:t>
        </w:r>
      </w:hyperlink>
      <w:r w:rsidRPr="0004737E">
        <w:rPr>
          <w:sz w:val="22"/>
          <w:szCs w:val="22"/>
        </w:rPr>
        <w:t xml:space="preserve"> </w:t>
      </w:r>
    </w:p>
    <w:p w14:paraId="47E80301" w14:textId="77777777" w:rsidR="006F6587" w:rsidRPr="0004737E" w:rsidRDefault="006F6587" w:rsidP="006F6587">
      <w:pPr>
        <w:pStyle w:val="NormalWeb"/>
        <w:spacing w:before="0" w:beforeAutospacing="0" w:after="0" w:afterAutospacing="0"/>
        <w:ind w:left="-426" w:right="-518"/>
        <w:contextualSpacing/>
        <w:jc w:val="center"/>
        <w:rPr>
          <w:sz w:val="22"/>
          <w:szCs w:val="22"/>
        </w:rPr>
      </w:pPr>
      <w:r w:rsidRPr="0004737E">
        <w:rPr>
          <w:sz w:val="22"/>
          <w:szCs w:val="22"/>
        </w:rPr>
        <w:t xml:space="preserve">o llamar al teléfono (55) 52-78-10-00, </w:t>
      </w:r>
      <w:proofErr w:type="spellStart"/>
      <w:r w:rsidRPr="0004737E">
        <w:rPr>
          <w:sz w:val="22"/>
          <w:szCs w:val="22"/>
        </w:rPr>
        <w:t>exts</w:t>
      </w:r>
      <w:proofErr w:type="spellEnd"/>
      <w:r w:rsidRPr="0004737E">
        <w:rPr>
          <w:sz w:val="22"/>
          <w:szCs w:val="22"/>
        </w:rPr>
        <w:t>. 1134, 1260 y 1241.</w:t>
      </w:r>
    </w:p>
    <w:p w14:paraId="2AC805F8" w14:textId="77777777" w:rsidR="006F6587" w:rsidRPr="0004737E" w:rsidRDefault="006F6587" w:rsidP="006F6587">
      <w:pPr>
        <w:ind w:left="-426" w:right="-518"/>
        <w:contextualSpacing/>
        <w:jc w:val="center"/>
        <w:rPr>
          <w:rFonts w:ascii="Arial" w:hAnsi="Arial" w:cs="Arial"/>
          <w:sz w:val="22"/>
          <w:szCs w:val="22"/>
        </w:rPr>
      </w:pPr>
    </w:p>
    <w:p w14:paraId="5699D54E" w14:textId="77777777" w:rsidR="006F6587" w:rsidRPr="0004737E" w:rsidRDefault="006F6587" w:rsidP="006F6587">
      <w:pPr>
        <w:ind w:left="-426" w:right="-518"/>
        <w:contextualSpacing/>
        <w:jc w:val="center"/>
        <w:rPr>
          <w:rFonts w:ascii="Arial" w:hAnsi="Arial" w:cs="Arial"/>
          <w:sz w:val="22"/>
          <w:szCs w:val="22"/>
        </w:rPr>
      </w:pPr>
      <w:r w:rsidRPr="0004737E">
        <w:rPr>
          <w:rFonts w:ascii="Arial" w:hAnsi="Arial" w:cs="Arial"/>
          <w:sz w:val="22"/>
          <w:szCs w:val="22"/>
        </w:rPr>
        <w:t xml:space="preserve">Dirección de Atención a Medios / Dirección General Adjunta de Comunicación </w:t>
      </w:r>
    </w:p>
    <w:p w14:paraId="669905D9" w14:textId="77777777" w:rsidR="006F6587" w:rsidRPr="0004737E" w:rsidRDefault="006F6587" w:rsidP="006F6587">
      <w:pPr>
        <w:ind w:left="-426" w:right="-518"/>
        <w:contextualSpacing/>
        <w:jc w:val="center"/>
        <w:rPr>
          <w:rFonts w:ascii="Arial" w:hAnsi="Arial" w:cs="Arial"/>
          <w:sz w:val="22"/>
          <w:szCs w:val="22"/>
        </w:rPr>
      </w:pPr>
    </w:p>
    <w:p w14:paraId="178240FB" w14:textId="77777777" w:rsidR="006F6587" w:rsidRPr="003C537A" w:rsidRDefault="006F6587" w:rsidP="006F6587">
      <w:pPr>
        <w:ind w:left="-425" w:right="-516"/>
        <w:contextualSpacing/>
        <w:jc w:val="center"/>
        <w:rPr>
          <w:strike/>
          <w:sz w:val="8"/>
          <w:szCs w:val="8"/>
        </w:rPr>
      </w:pPr>
      <w:r w:rsidRPr="00FF1218">
        <w:rPr>
          <w:noProof/>
          <w:lang w:val="es-MX" w:eastAsia="es-MX"/>
        </w:rPr>
        <w:drawing>
          <wp:inline distT="0" distB="0" distL="0" distR="0" wp14:anchorId="117933C1" wp14:editId="71C33AE4">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B73D7A" wp14:editId="35BE6CE1">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563BB5E" wp14:editId="3E17F7DD">
            <wp:extent cx="365760" cy="365760"/>
            <wp:effectExtent l="0" t="0" r="0" b="0"/>
            <wp:docPr id="2" name="Imagen 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8CB6A6" wp14:editId="0947BE39">
            <wp:extent cx="365760" cy="365760"/>
            <wp:effectExtent l="0" t="0" r="0" b="0"/>
            <wp:docPr id="6" name="Imagen 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05941DD" wp14:editId="1B4074C2">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03AD47" w14:textId="77777777" w:rsidR="006F6587" w:rsidRDefault="006F6587" w:rsidP="006F6587">
      <w:pPr>
        <w:pStyle w:val="NormalWeb"/>
        <w:spacing w:before="0" w:beforeAutospacing="0" w:after="0" w:afterAutospacing="0"/>
        <w:ind w:left="-426" w:right="-518"/>
        <w:contextualSpacing/>
        <w:jc w:val="center"/>
        <w:rPr>
          <w:sz w:val="18"/>
          <w:szCs w:val="18"/>
        </w:rPr>
      </w:pPr>
    </w:p>
    <w:p w14:paraId="571B83AA" w14:textId="77777777" w:rsidR="006F6587" w:rsidRPr="00157C43" w:rsidRDefault="006F6587" w:rsidP="006F6587">
      <w:pPr>
        <w:pStyle w:val="bullet"/>
        <w:tabs>
          <w:tab w:val="left" w:pos="8789"/>
        </w:tabs>
        <w:spacing w:before="0"/>
        <w:ind w:left="0" w:right="51" w:firstLine="0"/>
        <w:jc w:val="center"/>
        <w:rPr>
          <w:rFonts w:cs="Arial"/>
          <w:szCs w:val="24"/>
        </w:rPr>
        <w:sectPr w:rsidR="006F6587" w:rsidRPr="00157C43" w:rsidSect="00E73206">
          <w:headerReference w:type="default" r:id="rId19"/>
          <w:footerReference w:type="default" r:id="rId20"/>
          <w:pgSz w:w="12240" w:h="15840" w:code="1"/>
          <w:pgMar w:top="1" w:right="1701" w:bottom="0" w:left="1588" w:header="510" w:footer="510" w:gutter="0"/>
          <w:cols w:space="720"/>
          <w:docGrid w:linePitch="272"/>
        </w:sectPr>
      </w:pPr>
    </w:p>
    <w:p w14:paraId="5596E8CC" w14:textId="07D4F309" w:rsidR="006F6587" w:rsidRDefault="00E73206" w:rsidP="00E73206">
      <w:pPr>
        <w:tabs>
          <w:tab w:val="left" w:pos="3110"/>
          <w:tab w:val="center" w:pos="4284"/>
          <w:tab w:val="left" w:pos="8789"/>
        </w:tabs>
        <w:ind w:right="51"/>
      </w:pPr>
      <w:r>
        <w:lastRenderedPageBreak/>
        <w:tab/>
      </w:r>
      <w:r w:rsidR="006F6587">
        <w:t xml:space="preserve"> </w:t>
      </w:r>
    </w:p>
    <w:p w14:paraId="196DC45C" w14:textId="42AADD3D" w:rsidR="006F6587" w:rsidRPr="00534284" w:rsidRDefault="006F6587" w:rsidP="0014227D">
      <w:pPr>
        <w:tabs>
          <w:tab w:val="left" w:pos="8789"/>
        </w:tabs>
        <w:spacing w:before="120"/>
        <w:ind w:right="51"/>
        <w:jc w:val="center"/>
        <w:rPr>
          <w:rFonts w:ascii="Arial" w:hAnsi="Arial" w:cs="Arial"/>
          <w:b/>
          <w:sz w:val="24"/>
          <w:szCs w:val="24"/>
        </w:rPr>
      </w:pPr>
      <w:r w:rsidRPr="00534284">
        <w:rPr>
          <w:rFonts w:ascii="Arial" w:hAnsi="Arial" w:cs="Arial"/>
          <w:b/>
          <w:sz w:val="24"/>
          <w:szCs w:val="24"/>
        </w:rPr>
        <w:t>NOTA TÉCNICA</w:t>
      </w:r>
    </w:p>
    <w:p w14:paraId="444D0EC5" w14:textId="77777777" w:rsidR="00473F1E" w:rsidRPr="00534284" w:rsidRDefault="008927F7" w:rsidP="0014227D">
      <w:pPr>
        <w:pStyle w:val="Ttulo2"/>
        <w:ind w:left="-91" w:right="-142"/>
        <w:rPr>
          <w:color w:val="auto"/>
          <w:sz w:val="24"/>
          <w:szCs w:val="24"/>
        </w:rPr>
      </w:pPr>
      <w:r w:rsidRPr="00534284">
        <w:rPr>
          <w:color w:val="auto"/>
          <w:sz w:val="24"/>
          <w:szCs w:val="24"/>
        </w:rPr>
        <w:t xml:space="preserve">INDICADORES TRIMESTRALES DE LA </w:t>
      </w:r>
      <w:r w:rsidR="002D42A9" w:rsidRPr="00534284">
        <w:rPr>
          <w:color w:val="auto"/>
          <w:sz w:val="24"/>
          <w:szCs w:val="24"/>
        </w:rPr>
        <w:t>OFERTA Y DEMANDA</w:t>
      </w:r>
      <w:r w:rsidR="00215B14" w:rsidRPr="00534284">
        <w:rPr>
          <w:color w:val="auto"/>
          <w:sz w:val="24"/>
          <w:szCs w:val="24"/>
        </w:rPr>
        <w:t xml:space="preserve"> </w:t>
      </w:r>
    </w:p>
    <w:p w14:paraId="1EE870F9" w14:textId="6D3278B1" w:rsidR="002D42A9" w:rsidRPr="00534284" w:rsidRDefault="00215B14" w:rsidP="00473F1E">
      <w:pPr>
        <w:pStyle w:val="Ttulo2"/>
        <w:spacing w:before="0"/>
        <w:ind w:left="-91" w:right="-142"/>
        <w:rPr>
          <w:color w:val="auto"/>
          <w:sz w:val="24"/>
          <w:szCs w:val="24"/>
        </w:rPr>
      </w:pPr>
      <w:r w:rsidRPr="00534284">
        <w:rPr>
          <w:color w:val="auto"/>
          <w:sz w:val="24"/>
          <w:szCs w:val="24"/>
        </w:rPr>
        <w:t xml:space="preserve">Y </w:t>
      </w:r>
      <w:r w:rsidR="008927F7" w:rsidRPr="00534284">
        <w:rPr>
          <w:color w:val="auto"/>
          <w:sz w:val="24"/>
          <w:szCs w:val="24"/>
        </w:rPr>
        <w:t>DEL AHORRO BRUTO</w:t>
      </w:r>
      <w:r w:rsidR="00481678" w:rsidRPr="00534284">
        <w:rPr>
          <w:sz w:val="24"/>
          <w:szCs w:val="24"/>
          <w:vertAlign w:val="superscript"/>
        </w:rPr>
        <w:footnoteReference w:id="4"/>
      </w:r>
      <w:r w:rsidR="002D42A9" w:rsidRPr="00534284">
        <w:rPr>
          <w:color w:val="auto"/>
          <w:sz w:val="24"/>
          <w:szCs w:val="24"/>
        </w:rPr>
        <w:t xml:space="preserve"> </w:t>
      </w:r>
      <w:r w:rsidR="002D42A9" w:rsidRPr="00534284">
        <w:rPr>
          <w:color w:val="auto"/>
          <w:sz w:val="24"/>
          <w:szCs w:val="24"/>
        </w:rPr>
        <w:br/>
      </w:r>
      <w:r w:rsidR="00BD23E0" w:rsidRPr="00534284">
        <w:rPr>
          <w:color w:val="auto"/>
          <w:sz w:val="24"/>
          <w:szCs w:val="24"/>
        </w:rPr>
        <w:t xml:space="preserve">DURANTE </w:t>
      </w:r>
      <w:r w:rsidR="00BE5C1E" w:rsidRPr="00534284">
        <w:rPr>
          <w:color w:val="auto"/>
          <w:sz w:val="24"/>
          <w:szCs w:val="24"/>
        </w:rPr>
        <w:t xml:space="preserve">EL </w:t>
      </w:r>
      <w:r w:rsidR="00097002" w:rsidRPr="00534284">
        <w:rPr>
          <w:color w:val="auto"/>
          <w:sz w:val="24"/>
          <w:szCs w:val="24"/>
        </w:rPr>
        <w:t>PRIMER</w:t>
      </w:r>
      <w:r w:rsidR="00733235" w:rsidRPr="00534284">
        <w:rPr>
          <w:color w:val="auto"/>
          <w:sz w:val="24"/>
          <w:szCs w:val="24"/>
        </w:rPr>
        <w:t xml:space="preserve"> </w:t>
      </w:r>
      <w:r w:rsidR="00793F59" w:rsidRPr="00534284">
        <w:rPr>
          <w:color w:val="auto"/>
          <w:sz w:val="24"/>
          <w:szCs w:val="24"/>
        </w:rPr>
        <w:t>TRIMESTRE</w:t>
      </w:r>
      <w:r w:rsidR="002D42A9" w:rsidRPr="00534284">
        <w:rPr>
          <w:color w:val="auto"/>
          <w:sz w:val="24"/>
          <w:szCs w:val="24"/>
        </w:rPr>
        <w:t xml:space="preserve"> DE </w:t>
      </w:r>
      <w:r w:rsidR="00850881" w:rsidRPr="00534284">
        <w:rPr>
          <w:color w:val="auto"/>
          <w:sz w:val="24"/>
          <w:szCs w:val="24"/>
        </w:rPr>
        <w:t>20</w:t>
      </w:r>
      <w:r w:rsidR="0073207E" w:rsidRPr="00534284">
        <w:rPr>
          <w:color w:val="auto"/>
          <w:sz w:val="24"/>
          <w:szCs w:val="24"/>
        </w:rPr>
        <w:t>2</w:t>
      </w:r>
      <w:r w:rsidR="00097002" w:rsidRPr="00534284">
        <w:rPr>
          <w:color w:val="auto"/>
          <w:sz w:val="24"/>
          <w:szCs w:val="24"/>
        </w:rPr>
        <w:t>1</w:t>
      </w:r>
    </w:p>
    <w:p w14:paraId="770D188E" w14:textId="37623634" w:rsidR="00215B14" w:rsidRPr="00534284" w:rsidRDefault="00215B14" w:rsidP="00215B14">
      <w:pPr>
        <w:jc w:val="center"/>
        <w:rPr>
          <w:rFonts w:ascii="Arial" w:hAnsi="Arial" w:cs="Arial"/>
          <w:b/>
          <w:bCs/>
          <w:i/>
          <w:iCs/>
          <w:sz w:val="24"/>
          <w:szCs w:val="24"/>
        </w:rPr>
      </w:pPr>
      <w:r w:rsidRPr="00534284">
        <w:rPr>
          <w:rFonts w:ascii="Arial" w:hAnsi="Arial" w:cs="Arial"/>
          <w:b/>
          <w:bCs/>
          <w:i/>
          <w:iCs/>
          <w:sz w:val="24"/>
          <w:szCs w:val="24"/>
        </w:rPr>
        <w:t xml:space="preserve">(Cifras </w:t>
      </w:r>
      <w:r w:rsidR="00481678" w:rsidRPr="00534284">
        <w:rPr>
          <w:rFonts w:ascii="Arial" w:hAnsi="Arial" w:cs="Arial"/>
          <w:b/>
          <w:bCs/>
          <w:i/>
          <w:iCs/>
          <w:sz w:val="24"/>
          <w:szCs w:val="24"/>
        </w:rPr>
        <w:t>d</w:t>
      </w:r>
      <w:r w:rsidRPr="00534284">
        <w:rPr>
          <w:rFonts w:ascii="Arial" w:hAnsi="Arial" w:cs="Arial"/>
          <w:b/>
          <w:bCs/>
          <w:i/>
          <w:iCs/>
          <w:sz w:val="24"/>
          <w:szCs w:val="24"/>
        </w:rPr>
        <w:t>esestacionalizadas</w:t>
      </w:r>
      <w:r w:rsidR="000230B9" w:rsidRPr="00534284">
        <w:rPr>
          <w:rFonts w:ascii="Arial" w:hAnsi="Arial" w:cs="Arial"/>
          <w:b/>
          <w:bCs/>
          <w:i/>
          <w:iCs/>
          <w:sz w:val="24"/>
          <w:szCs w:val="24"/>
        </w:rPr>
        <w:t>)</w:t>
      </w:r>
      <w:r w:rsidR="000230B9" w:rsidRPr="00534284">
        <w:rPr>
          <w:color w:val="000000"/>
          <w:sz w:val="24"/>
          <w:szCs w:val="24"/>
          <w:vertAlign w:val="superscript"/>
        </w:rPr>
        <w:t xml:space="preserve"> </w:t>
      </w:r>
      <w:r w:rsidR="000230B9" w:rsidRPr="00534284">
        <w:rPr>
          <w:rFonts w:ascii="Arial" w:hAnsi="Arial" w:cs="Arial"/>
          <w:b/>
          <w:bCs/>
          <w:color w:val="000000"/>
          <w:sz w:val="24"/>
          <w:szCs w:val="24"/>
          <w:vertAlign w:val="superscript"/>
        </w:rPr>
        <w:footnoteReference w:id="5"/>
      </w:r>
    </w:p>
    <w:p w14:paraId="451467BD" w14:textId="225C394A" w:rsidR="003C29DC" w:rsidRPr="00615E5F" w:rsidRDefault="003C29DC" w:rsidP="0014227D">
      <w:pPr>
        <w:pStyle w:val="p1"/>
        <w:keepLines w:val="0"/>
        <w:spacing w:before="100" w:beforeAutospacing="1"/>
        <w:rPr>
          <w:rFonts w:cs="Arial"/>
          <w:b/>
          <w:i/>
          <w:color w:val="auto"/>
          <w:sz w:val="28"/>
          <w:szCs w:val="28"/>
        </w:rPr>
      </w:pPr>
      <w:r w:rsidRPr="00615E5F">
        <w:rPr>
          <w:rFonts w:cs="Arial"/>
          <w:b/>
          <w:i/>
          <w:color w:val="auto"/>
          <w:sz w:val="28"/>
          <w:szCs w:val="28"/>
        </w:rPr>
        <w:t>Principales resultados</w:t>
      </w:r>
    </w:p>
    <w:p w14:paraId="320A434D" w14:textId="45D2882F" w:rsidR="00F005FE" w:rsidRPr="00615E5F" w:rsidRDefault="00F005FE" w:rsidP="009534C4">
      <w:pPr>
        <w:pStyle w:val="Textoindependiente"/>
        <w:spacing w:before="240" w:line="140" w:lineRule="exact"/>
        <w:rPr>
          <w:rFonts w:cs="Arial"/>
          <w:b/>
          <w:i/>
          <w:sz w:val="26"/>
          <w:szCs w:val="26"/>
          <w:u w:val="single"/>
        </w:rPr>
      </w:pPr>
      <w:r w:rsidRPr="00615E5F">
        <w:rPr>
          <w:rFonts w:cs="Arial"/>
          <w:b/>
          <w:i/>
          <w:sz w:val="26"/>
          <w:szCs w:val="26"/>
          <w:u w:val="single"/>
        </w:rPr>
        <w:t>Cifras Desestacionalizadas</w:t>
      </w:r>
    </w:p>
    <w:p w14:paraId="5C90C9F5" w14:textId="5BEC553F" w:rsidR="002D42A9" w:rsidRPr="00615E5F" w:rsidRDefault="009C6238" w:rsidP="009534C4">
      <w:pPr>
        <w:pStyle w:val="p1"/>
        <w:keepLines w:val="0"/>
        <w:spacing w:before="240"/>
        <w:rPr>
          <w:b/>
          <w:i/>
          <w:color w:val="auto"/>
          <w:szCs w:val="24"/>
        </w:rPr>
      </w:pPr>
      <w:r w:rsidRPr="00615E5F">
        <w:rPr>
          <w:b/>
          <w:i/>
          <w:color w:val="auto"/>
          <w:szCs w:val="24"/>
        </w:rPr>
        <w:t xml:space="preserve">Oferta </w:t>
      </w:r>
      <w:r w:rsidR="009F03BB" w:rsidRPr="00615E5F">
        <w:rPr>
          <w:b/>
          <w:i/>
          <w:color w:val="auto"/>
          <w:szCs w:val="24"/>
        </w:rPr>
        <w:t xml:space="preserve">Global </w:t>
      </w:r>
      <w:r w:rsidRPr="00615E5F">
        <w:rPr>
          <w:b/>
          <w:i/>
          <w:color w:val="auto"/>
          <w:szCs w:val="24"/>
        </w:rPr>
        <w:t>de Bienes y Servicios</w:t>
      </w:r>
    </w:p>
    <w:p w14:paraId="39A0B012" w14:textId="7921C66D" w:rsidR="00686368" w:rsidRDefault="00615E5F" w:rsidP="006C4BA7">
      <w:pPr>
        <w:pStyle w:val="p1"/>
        <w:keepLines w:val="0"/>
        <w:spacing w:before="120"/>
        <w:rPr>
          <w:color w:val="000000" w:themeColor="text1"/>
        </w:rPr>
      </w:pPr>
      <w:r>
        <w:rPr>
          <w:color w:val="000000" w:themeColor="text1"/>
        </w:rPr>
        <w:t xml:space="preserve">Con </w:t>
      </w:r>
      <w:r w:rsidRPr="00BB2BAB">
        <w:rPr>
          <w:color w:val="000000" w:themeColor="text1"/>
        </w:rPr>
        <w:t xml:space="preserve">cifras </w:t>
      </w:r>
      <w:r>
        <w:rPr>
          <w:color w:val="000000" w:themeColor="text1"/>
        </w:rPr>
        <w:t>ajustadas estacionalmente,</w:t>
      </w:r>
      <w:r w:rsidRPr="00BB2BAB">
        <w:rPr>
          <w:color w:val="000000" w:themeColor="text1"/>
        </w:rPr>
        <w:t xml:space="preserve"> </w:t>
      </w:r>
      <w:r>
        <w:rPr>
          <w:color w:val="000000" w:themeColor="text1"/>
        </w:rPr>
        <w:t>e</w:t>
      </w:r>
      <w:r w:rsidR="00E963B6" w:rsidRPr="00BB2BAB">
        <w:rPr>
          <w:color w:val="000000" w:themeColor="text1"/>
        </w:rPr>
        <w:t xml:space="preserve">l INEGI informa que </w:t>
      </w:r>
      <w:r w:rsidR="00724360" w:rsidRPr="00BB2BAB">
        <w:rPr>
          <w:color w:val="000000" w:themeColor="text1"/>
        </w:rPr>
        <w:t xml:space="preserve">la Oferta </w:t>
      </w:r>
      <w:r w:rsidR="009F03BB" w:rsidRPr="00BB2BAB">
        <w:rPr>
          <w:color w:val="000000" w:themeColor="text1"/>
        </w:rPr>
        <w:t xml:space="preserve">Global </w:t>
      </w:r>
      <w:r w:rsidR="00533415" w:rsidRPr="00BB2BAB">
        <w:rPr>
          <w:color w:val="000000" w:themeColor="text1"/>
        </w:rPr>
        <w:t xml:space="preserve">(igual a la Demanda </w:t>
      </w:r>
      <w:r w:rsidR="00756B63" w:rsidRPr="00BB2BAB">
        <w:rPr>
          <w:color w:val="000000" w:themeColor="text1"/>
        </w:rPr>
        <w:t>Global</w:t>
      </w:r>
      <w:r w:rsidR="00533415" w:rsidRPr="00BB2BAB">
        <w:rPr>
          <w:color w:val="000000" w:themeColor="text1"/>
        </w:rPr>
        <w:t xml:space="preserve">) </w:t>
      </w:r>
      <w:r w:rsidR="00724360" w:rsidRPr="00BB2BAB">
        <w:rPr>
          <w:color w:val="000000" w:themeColor="text1"/>
        </w:rPr>
        <w:t>de Bienes y Servicios registró u</w:t>
      </w:r>
      <w:r w:rsidR="002A4B8C" w:rsidRPr="00BB2BAB">
        <w:rPr>
          <w:color w:val="000000" w:themeColor="text1"/>
        </w:rPr>
        <w:t xml:space="preserve">n </w:t>
      </w:r>
      <w:r w:rsidR="00EC7691" w:rsidRPr="00BB2BAB">
        <w:rPr>
          <w:color w:val="000000" w:themeColor="text1"/>
        </w:rPr>
        <w:t>crecimiento</w:t>
      </w:r>
      <w:r w:rsidR="00120B12" w:rsidRPr="00BB2BAB">
        <w:rPr>
          <w:color w:val="000000" w:themeColor="text1"/>
        </w:rPr>
        <w:t xml:space="preserve"> </w:t>
      </w:r>
      <w:r w:rsidR="002A4B8C" w:rsidRPr="00BB2BAB">
        <w:rPr>
          <w:color w:val="000000" w:themeColor="text1"/>
        </w:rPr>
        <w:t xml:space="preserve">de </w:t>
      </w:r>
      <w:r w:rsidR="00024E5D">
        <w:rPr>
          <w:color w:val="000000" w:themeColor="text1"/>
        </w:rPr>
        <w:t>2</w:t>
      </w:r>
      <w:r w:rsidR="00724360" w:rsidRPr="00BB2BAB">
        <w:rPr>
          <w:color w:val="000000" w:themeColor="text1"/>
        </w:rPr>
        <w:t xml:space="preserve">% </w:t>
      </w:r>
      <w:r w:rsidR="006A68BB" w:rsidRPr="00BB2BAB">
        <w:rPr>
          <w:color w:val="000000" w:themeColor="text1"/>
        </w:rPr>
        <w:t>en el</w:t>
      </w:r>
      <w:r w:rsidR="00684A3F">
        <w:rPr>
          <w:color w:val="000000" w:themeColor="text1"/>
        </w:rPr>
        <w:t xml:space="preserve"> </w:t>
      </w:r>
      <w:r w:rsidR="00426883">
        <w:rPr>
          <w:color w:val="000000" w:themeColor="text1"/>
        </w:rPr>
        <w:t>primer</w:t>
      </w:r>
      <w:r w:rsidR="006A68BB" w:rsidRPr="00BB2BAB">
        <w:rPr>
          <w:color w:val="000000" w:themeColor="text1"/>
        </w:rPr>
        <w:t xml:space="preserve"> trimestre </w:t>
      </w:r>
      <w:r w:rsidR="00453460" w:rsidRPr="00BB2BAB">
        <w:rPr>
          <w:color w:val="000000" w:themeColor="text1"/>
        </w:rPr>
        <w:t>de 20</w:t>
      </w:r>
      <w:r w:rsidR="0057593E">
        <w:rPr>
          <w:color w:val="000000" w:themeColor="text1"/>
        </w:rPr>
        <w:t>2</w:t>
      </w:r>
      <w:r w:rsidR="00426883">
        <w:rPr>
          <w:color w:val="000000" w:themeColor="text1"/>
        </w:rPr>
        <w:t>1</w:t>
      </w:r>
      <w:r w:rsidR="00453460" w:rsidRPr="00BB2BAB">
        <w:rPr>
          <w:color w:val="000000" w:themeColor="text1"/>
        </w:rPr>
        <w:t xml:space="preserve"> </w:t>
      </w:r>
      <w:r w:rsidR="00120B12" w:rsidRPr="00BB2BAB">
        <w:rPr>
          <w:color w:val="000000" w:themeColor="text1"/>
        </w:rPr>
        <w:t xml:space="preserve">respecto al trimestre </w:t>
      </w:r>
      <w:r w:rsidR="00BB2BAB">
        <w:rPr>
          <w:color w:val="000000" w:themeColor="text1"/>
        </w:rPr>
        <w:t>precedente</w:t>
      </w:r>
      <w:r w:rsidR="00724360" w:rsidRPr="00BB2BAB">
        <w:rPr>
          <w:color w:val="000000" w:themeColor="text1"/>
        </w:rPr>
        <w:t>.</w:t>
      </w:r>
      <w:r w:rsidR="008B65AC" w:rsidRPr="00BB2BAB">
        <w:rPr>
          <w:color w:val="000000" w:themeColor="text1"/>
        </w:rPr>
        <w:t xml:space="preserve"> </w:t>
      </w:r>
    </w:p>
    <w:p w14:paraId="613886BA" w14:textId="77777777" w:rsidR="009534C4" w:rsidRDefault="009534C4" w:rsidP="00BA555B">
      <w:pPr>
        <w:widowControl/>
        <w:spacing w:before="120"/>
        <w:jc w:val="center"/>
        <w:rPr>
          <w:rFonts w:ascii="Arial" w:hAnsi="Arial" w:cs="Arial"/>
          <w:szCs w:val="22"/>
        </w:rPr>
      </w:pPr>
    </w:p>
    <w:p w14:paraId="397136BD" w14:textId="2902886D" w:rsidR="001E3DC3" w:rsidRPr="0057720D" w:rsidRDefault="001E3DC3" w:rsidP="00BA555B">
      <w:pPr>
        <w:widowControl/>
        <w:spacing w:before="120"/>
        <w:jc w:val="center"/>
        <w:rPr>
          <w:rFonts w:ascii="Arial" w:hAnsi="Arial" w:cs="Arial"/>
          <w:szCs w:val="22"/>
        </w:rPr>
      </w:pPr>
      <w:r>
        <w:rPr>
          <w:rFonts w:ascii="Arial" w:hAnsi="Arial" w:cs="Arial"/>
          <w:szCs w:val="22"/>
        </w:rPr>
        <w:t>Cuadro 1</w:t>
      </w:r>
    </w:p>
    <w:p w14:paraId="06EB4DB1" w14:textId="72C08369" w:rsidR="000E52BE" w:rsidRDefault="000E52BE" w:rsidP="001E3DC3">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Ofert</w:t>
      </w:r>
      <w:r>
        <w:rPr>
          <w:rFonts w:ascii="Arial" w:hAnsi="Arial" w:cs="Arial"/>
          <w:b/>
          <w:smallCaps/>
          <w:color w:val="auto"/>
          <w:sz w:val="22"/>
          <w:szCs w:val="22"/>
        </w:rPr>
        <w:t xml:space="preserve">a y </w:t>
      </w:r>
      <w:r w:rsidRPr="0057593E">
        <w:rPr>
          <w:rFonts w:ascii="Arial" w:hAnsi="Arial" w:cs="Arial"/>
          <w:b/>
          <w:smallCaps/>
          <w:color w:val="auto"/>
          <w:sz w:val="22"/>
          <w:szCs w:val="22"/>
        </w:rPr>
        <w:t xml:space="preserve">Demanda </w:t>
      </w:r>
      <w:r>
        <w:rPr>
          <w:rFonts w:ascii="Arial" w:hAnsi="Arial" w:cs="Arial"/>
          <w:b/>
          <w:smallCaps/>
          <w:color w:val="auto"/>
          <w:sz w:val="22"/>
          <w:szCs w:val="22"/>
        </w:rPr>
        <w:t xml:space="preserve">Global de </w:t>
      </w:r>
      <w:r w:rsidR="004A72DB">
        <w:rPr>
          <w:rFonts w:ascii="Arial" w:hAnsi="Arial" w:cs="Arial"/>
          <w:b/>
          <w:smallCaps/>
          <w:color w:val="auto"/>
          <w:sz w:val="22"/>
          <w:szCs w:val="22"/>
        </w:rPr>
        <w:t>B</w:t>
      </w:r>
      <w:r>
        <w:rPr>
          <w:rFonts w:ascii="Arial" w:hAnsi="Arial" w:cs="Arial"/>
          <w:b/>
          <w:smallCaps/>
          <w:color w:val="auto"/>
          <w:sz w:val="22"/>
          <w:szCs w:val="22"/>
        </w:rPr>
        <w:t xml:space="preserve">ienes y </w:t>
      </w:r>
      <w:r w:rsidR="004A72DB">
        <w:rPr>
          <w:rFonts w:ascii="Arial" w:hAnsi="Arial" w:cs="Arial"/>
          <w:b/>
          <w:smallCaps/>
          <w:color w:val="auto"/>
          <w:sz w:val="22"/>
          <w:szCs w:val="22"/>
        </w:rPr>
        <w:t>S</w:t>
      </w:r>
      <w:r>
        <w:rPr>
          <w:rFonts w:ascii="Arial" w:hAnsi="Arial" w:cs="Arial"/>
          <w:b/>
          <w:smallCaps/>
          <w:color w:val="auto"/>
          <w:sz w:val="22"/>
          <w:szCs w:val="22"/>
        </w:rPr>
        <w:t>ervicios</w:t>
      </w:r>
      <w:r w:rsidR="004A72DB">
        <w:rPr>
          <w:rFonts w:ascii="Arial" w:hAnsi="Arial" w:cs="Arial"/>
          <w:b/>
          <w:smallCaps/>
          <w:color w:val="auto"/>
          <w:sz w:val="22"/>
          <w:szCs w:val="22"/>
        </w:rPr>
        <w:t xml:space="preserve"> por componentes</w:t>
      </w:r>
      <w:r>
        <w:rPr>
          <w:rFonts w:ascii="Arial" w:hAnsi="Arial" w:cs="Arial"/>
          <w:b/>
          <w:smallCaps/>
          <w:color w:val="auto"/>
          <w:sz w:val="22"/>
          <w:szCs w:val="22"/>
        </w:rPr>
        <w:t xml:space="preserve"> </w:t>
      </w:r>
      <w:r w:rsidRPr="0057593E">
        <w:rPr>
          <w:rFonts w:ascii="Arial" w:hAnsi="Arial" w:cs="Arial"/>
          <w:b/>
          <w:smallCaps/>
          <w:color w:val="auto"/>
          <w:sz w:val="22"/>
          <w:szCs w:val="22"/>
        </w:rPr>
        <w:t xml:space="preserve"> </w:t>
      </w:r>
    </w:p>
    <w:p w14:paraId="0C103B52" w14:textId="749F6CB6" w:rsidR="000E52BE" w:rsidRPr="0057593E" w:rsidRDefault="000E52BE" w:rsidP="000E52BE">
      <w:pPr>
        <w:pStyle w:val="p01"/>
        <w:keepLines w:val="0"/>
        <w:widowControl w:val="0"/>
        <w:spacing w:before="0"/>
        <w:jc w:val="center"/>
        <w:rPr>
          <w:rFonts w:ascii="Arial" w:hAnsi="Arial" w:cs="Arial"/>
          <w:b/>
          <w:smallCaps/>
          <w:color w:val="auto"/>
          <w:sz w:val="22"/>
          <w:szCs w:val="22"/>
        </w:rPr>
      </w:pPr>
      <w:r w:rsidRPr="0057593E">
        <w:rPr>
          <w:rFonts w:ascii="Arial" w:hAnsi="Arial" w:cs="Arial"/>
          <w:b/>
          <w:smallCaps/>
          <w:color w:val="auto"/>
          <w:sz w:val="22"/>
          <w:szCs w:val="22"/>
        </w:rPr>
        <w:t xml:space="preserve">al </w:t>
      </w:r>
      <w:r w:rsidR="00097002">
        <w:rPr>
          <w:rFonts w:ascii="Arial" w:hAnsi="Arial" w:cs="Arial"/>
          <w:b/>
          <w:smallCaps/>
          <w:color w:val="auto"/>
          <w:sz w:val="22"/>
          <w:szCs w:val="22"/>
        </w:rPr>
        <w:t>primer</w:t>
      </w:r>
      <w:r w:rsidRPr="0057593E">
        <w:rPr>
          <w:rFonts w:ascii="Arial" w:hAnsi="Arial" w:cs="Arial"/>
          <w:b/>
          <w:smallCaps/>
          <w:color w:val="auto"/>
          <w:sz w:val="22"/>
          <w:szCs w:val="22"/>
        </w:rPr>
        <w:t xml:space="preserve"> trimestre</w:t>
      </w:r>
      <w:r>
        <w:rPr>
          <w:rFonts w:ascii="Arial" w:hAnsi="Arial" w:cs="Arial"/>
          <w:b/>
          <w:smallCaps/>
          <w:color w:val="auto"/>
          <w:sz w:val="22"/>
          <w:szCs w:val="22"/>
        </w:rPr>
        <w:t xml:space="preserve"> </w:t>
      </w:r>
      <w:r w:rsidRPr="0057593E">
        <w:rPr>
          <w:rFonts w:ascii="Arial" w:hAnsi="Arial" w:cs="Arial"/>
          <w:b/>
          <w:smallCaps/>
          <w:color w:val="auto"/>
          <w:sz w:val="22"/>
          <w:szCs w:val="22"/>
        </w:rPr>
        <w:t>de 202</w:t>
      </w:r>
      <w:r w:rsidR="00097002">
        <w:rPr>
          <w:rFonts w:ascii="Arial" w:hAnsi="Arial" w:cs="Arial"/>
          <w:b/>
          <w:smallCaps/>
          <w:color w:val="auto"/>
          <w:sz w:val="22"/>
          <w:szCs w:val="22"/>
        </w:rPr>
        <w:t>1</w:t>
      </w:r>
    </w:p>
    <w:p w14:paraId="65C07F38" w14:textId="77777777" w:rsidR="000E52BE" w:rsidRPr="00EF651A" w:rsidRDefault="000E52BE" w:rsidP="000E52BE">
      <w:pPr>
        <w:pStyle w:val="Textoindependiente"/>
        <w:keepNext/>
        <w:keepLines/>
        <w:spacing w:before="0" w:line="180" w:lineRule="exact"/>
        <w:jc w:val="center"/>
        <w:rPr>
          <w:rFonts w:cs="Arial"/>
          <w:bCs/>
          <w:sz w:val="16"/>
          <w:szCs w:val="16"/>
        </w:rPr>
      </w:pPr>
      <w:r w:rsidRPr="00EF651A">
        <w:rPr>
          <w:rFonts w:cs="Arial"/>
          <w:bCs/>
          <w:sz w:val="18"/>
        </w:rPr>
        <w:t xml:space="preserve">Cifras desestacionalizadas </w:t>
      </w:r>
      <w:r w:rsidRPr="00EF651A">
        <w:rPr>
          <w:rFonts w:cs="Arial"/>
          <w:bCs/>
          <w:sz w:val="16"/>
          <w:szCs w:val="16"/>
          <w:vertAlign w:val="superscript"/>
        </w:rPr>
        <w:t xml:space="preserve"> </w:t>
      </w:r>
    </w:p>
    <w:tbl>
      <w:tblPr>
        <w:tblStyle w:val="Tablaconcuadrcula"/>
        <w:tblW w:w="6789" w:type="dxa"/>
        <w:jc w:val="center"/>
        <w:tblLayout w:type="fixed"/>
        <w:tblLook w:val="04A0" w:firstRow="1" w:lastRow="0" w:firstColumn="1" w:lastColumn="0" w:noHBand="0" w:noVBand="1"/>
      </w:tblPr>
      <w:tblGrid>
        <w:gridCol w:w="3521"/>
        <w:gridCol w:w="1457"/>
        <w:gridCol w:w="1811"/>
      </w:tblGrid>
      <w:tr w:rsidR="000E52BE" w14:paraId="3570E692" w14:textId="77777777" w:rsidTr="00E73206">
        <w:trPr>
          <w:trHeight w:val="694"/>
          <w:jc w:val="center"/>
        </w:trPr>
        <w:tc>
          <w:tcPr>
            <w:tcW w:w="3521" w:type="dxa"/>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24DD7DA8" w14:textId="77777777" w:rsidR="000E52BE" w:rsidRPr="0057593E" w:rsidRDefault="000E52BE" w:rsidP="00E73206">
            <w:pPr>
              <w:pStyle w:val="not31"/>
              <w:widowControl w:val="0"/>
              <w:spacing w:before="0" w:line="180" w:lineRule="atLeast"/>
              <w:ind w:left="-262" w:right="0" w:firstLine="310"/>
              <w:jc w:val="center"/>
              <w:rPr>
                <w:rFonts w:cs="Arial"/>
                <w:b/>
                <w:color w:val="auto"/>
                <w:sz w:val="18"/>
                <w:szCs w:val="18"/>
                <w:lang w:val="es-MX" w:eastAsia="es-MX"/>
              </w:rPr>
            </w:pPr>
            <w:r w:rsidRPr="0057593E">
              <w:rPr>
                <w:rFonts w:cs="Arial"/>
                <w:b/>
                <w:color w:val="auto"/>
                <w:sz w:val="18"/>
                <w:szCs w:val="18"/>
                <w:lang w:val="es-MX" w:eastAsia="es-MX"/>
              </w:rPr>
              <w:t>Concepto</w:t>
            </w:r>
          </w:p>
        </w:tc>
        <w:tc>
          <w:tcPr>
            <w:tcW w:w="1457" w:type="dxa"/>
            <w:tcBorders>
              <w:top w:val="double" w:sz="4" w:space="0" w:color="auto"/>
              <w:left w:val="single" w:sz="4" w:space="0" w:color="auto"/>
              <w:bottom w:val="double" w:sz="4" w:space="0" w:color="auto"/>
              <w:right w:val="single" w:sz="4" w:space="0" w:color="auto"/>
            </w:tcBorders>
            <w:shd w:val="clear" w:color="auto" w:fill="C2D69B" w:themeFill="accent3" w:themeFillTint="99"/>
            <w:vAlign w:val="center"/>
          </w:tcPr>
          <w:p w14:paraId="602A689A" w14:textId="77777777" w:rsidR="000E52BE" w:rsidRPr="0057593E" w:rsidRDefault="000E52BE" w:rsidP="00E73206">
            <w:pPr>
              <w:pStyle w:val="not31"/>
              <w:widowControl w:val="0"/>
              <w:spacing w:before="0" w:line="180" w:lineRule="atLeast"/>
              <w:ind w:left="-100" w:right="-72"/>
              <w:jc w:val="center"/>
              <w:rPr>
                <w:rFonts w:cs="Arial"/>
                <w:b/>
                <w:color w:val="auto"/>
                <w:sz w:val="18"/>
                <w:szCs w:val="18"/>
                <w:lang w:val="es-MX" w:eastAsia="es-MX"/>
              </w:rPr>
            </w:pPr>
            <w:r w:rsidRPr="0057593E">
              <w:rPr>
                <w:rFonts w:cs="Arial"/>
                <w:b/>
                <w:color w:val="auto"/>
                <w:sz w:val="18"/>
                <w:szCs w:val="18"/>
                <w:lang w:val="es-MX" w:eastAsia="es-MX"/>
              </w:rPr>
              <w:t>Variación % respecto al trimestre previo</w:t>
            </w:r>
          </w:p>
        </w:tc>
        <w:tc>
          <w:tcPr>
            <w:tcW w:w="1811" w:type="dxa"/>
            <w:tcBorders>
              <w:top w:val="double" w:sz="4" w:space="0" w:color="auto"/>
              <w:left w:val="single" w:sz="4" w:space="0" w:color="auto"/>
              <w:bottom w:val="double" w:sz="4" w:space="0" w:color="auto"/>
              <w:right w:val="double" w:sz="4" w:space="0" w:color="auto"/>
            </w:tcBorders>
            <w:shd w:val="clear" w:color="auto" w:fill="C2D69B" w:themeFill="accent3" w:themeFillTint="99"/>
            <w:vAlign w:val="center"/>
          </w:tcPr>
          <w:p w14:paraId="55FBBC3A" w14:textId="3D6E72DF" w:rsidR="000E52BE" w:rsidRPr="0057593E" w:rsidRDefault="000E52BE" w:rsidP="00E73206">
            <w:pPr>
              <w:pStyle w:val="not31"/>
              <w:widowControl w:val="0"/>
              <w:spacing w:before="0" w:line="180" w:lineRule="atLeast"/>
              <w:ind w:right="0"/>
              <w:jc w:val="center"/>
              <w:rPr>
                <w:rFonts w:cs="Arial"/>
                <w:b/>
                <w:color w:val="auto"/>
                <w:sz w:val="18"/>
                <w:szCs w:val="18"/>
                <w:lang w:val="es-MX" w:eastAsia="es-MX"/>
              </w:rPr>
            </w:pPr>
            <w:r w:rsidRPr="0057593E">
              <w:rPr>
                <w:rFonts w:cs="Arial"/>
                <w:b/>
                <w:color w:val="auto"/>
                <w:sz w:val="18"/>
                <w:szCs w:val="18"/>
                <w:lang w:val="es-MX" w:eastAsia="es-MX"/>
              </w:rPr>
              <w:t>Variación % respecto a igual trimestre de 20</w:t>
            </w:r>
            <w:r w:rsidR="00097002">
              <w:rPr>
                <w:rFonts w:cs="Arial"/>
                <w:b/>
                <w:color w:val="auto"/>
                <w:sz w:val="18"/>
                <w:szCs w:val="18"/>
                <w:lang w:val="es-MX" w:eastAsia="es-MX"/>
              </w:rPr>
              <w:t>20</w:t>
            </w:r>
          </w:p>
        </w:tc>
      </w:tr>
      <w:tr w:rsidR="000E52BE" w14:paraId="3ADB560B" w14:textId="77777777" w:rsidTr="00E73206">
        <w:trPr>
          <w:jc w:val="center"/>
        </w:trPr>
        <w:tc>
          <w:tcPr>
            <w:tcW w:w="3521" w:type="dxa"/>
            <w:tcBorders>
              <w:top w:val="double" w:sz="4" w:space="0" w:color="auto"/>
              <w:left w:val="double" w:sz="4" w:space="0" w:color="auto"/>
              <w:bottom w:val="nil"/>
              <w:right w:val="single" w:sz="4" w:space="0" w:color="auto"/>
            </w:tcBorders>
            <w:vAlign w:val="center"/>
          </w:tcPr>
          <w:p w14:paraId="474A3F4A" w14:textId="45FFC330"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Producto Interno Bruto</w:t>
            </w:r>
          </w:p>
        </w:tc>
        <w:tc>
          <w:tcPr>
            <w:tcW w:w="1457" w:type="dxa"/>
            <w:tcBorders>
              <w:top w:val="double" w:sz="4" w:space="0" w:color="auto"/>
              <w:left w:val="single" w:sz="4" w:space="0" w:color="auto"/>
              <w:bottom w:val="nil"/>
              <w:right w:val="nil"/>
            </w:tcBorders>
            <w:vAlign w:val="bottom"/>
          </w:tcPr>
          <w:p w14:paraId="066AC1F8" w14:textId="01B15F3E" w:rsidR="000E52BE" w:rsidRPr="0057593E" w:rsidRDefault="00024E5D" w:rsidP="00E73206">
            <w:pPr>
              <w:spacing w:before="20" w:after="20"/>
              <w:ind w:right="397"/>
              <w:jc w:val="right"/>
              <w:rPr>
                <w:rFonts w:ascii="Arial" w:hAnsi="Arial" w:cs="Arial"/>
                <w:sz w:val="18"/>
                <w:szCs w:val="18"/>
              </w:rPr>
            </w:pPr>
            <w:r>
              <w:rPr>
                <w:rFonts w:ascii="Arial" w:hAnsi="Arial" w:cs="Arial"/>
                <w:sz w:val="18"/>
                <w:szCs w:val="18"/>
                <w:lang w:eastAsia="es-MX"/>
              </w:rPr>
              <w:t>0.8</w:t>
            </w:r>
          </w:p>
        </w:tc>
        <w:tc>
          <w:tcPr>
            <w:tcW w:w="1811" w:type="dxa"/>
            <w:tcBorders>
              <w:top w:val="double" w:sz="4" w:space="0" w:color="auto"/>
              <w:left w:val="single" w:sz="4" w:space="0" w:color="auto"/>
              <w:bottom w:val="nil"/>
              <w:right w:val="double" w:sz="4" w:space="0" w:color="auto"/>
            </w:tcBorders>
            <w:shd w:val="clear" w:color="auto" w:fill="auto"/>
            <w:vAlign w:val="bottom"/>
          </w:tcPr>
          <w:p w14:paraId="489FF087" w14:textId="16A30DBA" w:rsidR="000E52BE" w:rsidRPr="0057593E" w:rsidRDefault="000E52BE" w:rsidP="00396B4C">
            <w:pPr>
              <w:spacing w:before="20" w:after="20"/>
              <w:ind w:right="510"/>
              <w:jc w:val="right"/>
              <w:rPr>
                <w:rFonts w:ascii="Arial" w:hAnsi="Arial" w:cs="Arial"/>
                <w:sz w:val="18"/>
                <w:szCs w:val="18"/>
              </w:rPr>
            </w:pPr>
            <w:r w:rsidRPr="0057593E">
              <w:rPr>
                <w:rFonts w:ascii="Arial" w:hAnsi="Arial" w:cs="Arial"/>
                <w:sz w:val="18"/>
                <w:szCs w:val="18"/>
                <w:lang w:eastAsia="es-MX"/>
              </w:rPr>
              <w:t>(</w:t>
            </w:r>
            <w:proofErr w:type="gramStart"/>
            <w:r w:rsidRPr="0057593E">
              <w:rPr>
                <w:rFonts w:ascii="Arial" w:hAnsi="Arial" w:cs="Arial"/>
                <w:sz w:val="18"/>
                <w:szCs w:val="18"/>
                <w:lang w:eastAsia="es-MX"/>
              </w:rPr>
              <w:noBreakHyphen/>
              <w:t xml:space="preserve">)   </w:t>
            </w:r>
            <w:proofErr w:type="gramEnd"/>
            <w:r w:rsidRPr="0057593E">
              <w:rPr>
                <w:rFonts w:ascii="Arial" w:hAnsi="Arial" w:cs="Arial"/>
                <w:sz w:val="18"/>
                <w:szCs w:val="18"/>
                <w:lang w:eastAsia="es-MX"/>
              </w:rPr>
              <w:t xml:space="preserve">  </w:t>
            </w:r>
            <w:r w:rsidR="00024E5D">
              <w:rPr>
                <w:rFonts w:ascii="Arial" w:hAnsi="Arial" w:cs="Arial"/>
                <w:sz w:val="18"/>
                <w:szCs w:val="18"/>
                <w:lang w:eastAsia="es-MX"/>
              </w:rPr>
              <w:t>2.8</w:t>
            </w:r>
          </w:p>
        </w:tc>
      </w:tr>
      <w:tr w:rsidR="000E52BE" w14:paraId="112F20B5" w14:textId="77777777" w:rsidTr="00E73206">
        <w:trPr>
          <w:jc w:val="center"/>
        </w:trPr>
        <w:tc>
          <w:tcPr>
            <w:tcW w:w="3521" w:type="dxa"/>
            <w:tcBorders>
              <w:top w:val="nil"/>
              <w:left w:val="double" w:sz="4" w:space="0" w:color="auto"/>
              <w:bottom w:val="nil"/>
              <w:right w:val="single" w:sz="4" w:space="0" w:color="auto"/>
            </w:tcBorders>
            <w:vAlign w:val="center"/>
          </w:tcPr>
          <w:p w14:paraId="0B80A629" w14:textId="7FEFEE09"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Importación de Bienes y Servicios</w:t>
            </w:r>
          </w:p>
        </w:tc>
        <w:tc>
          <w:tcPr>
            <w:tcW w:w="1457" w:type="dxa"/>
            <w:tcBorders>
              <w:top w:val="nil"/>
              <w:left w:val="single" w:sz="4" w:space="0" w:color="auto"/>
              <w:bottom w:val="nil"/>
              <w:right w:val="nil"/>
            </w:tcBorders>
            <w:vAlign w:val="center"/>
          </w:tcPr>
          <w:p w14:paraId="61733547" w14:textId="78328488" w:rsidR="000E52BE" w:rsidRPr="0057593E" w:rsidRDefault="00024E5D" w:rsidP="00E7320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5.9</w:t>
            </w:r>
          </w:p>
        </w:tc>
        <w:tc>
          <w:tcPr>
            <w:tcW w:w="1811" w:type="dxa"/>
            <w:tcBorders>
              <w:top w:val="nil"/>
              <w:left w:val="single" w:sz="4" w:space="0" w:color="auto"/>
              <w:bottom w:val="nil"/>
              <w:right w:val="double" w:sz="4" w:space="0" w:color="auto"/>
            </w:tcBorders>
            <w:shd w:val="clear" w:color="auto" w:fill="auto"/>
            <w:vAlign w:val="center"/>
          </w:tcPr>
          <w:p w14:paraId="1BCFE273" w14:textId="6E5D24E2" w:rsidR="000E52BE" w:rsidRPr="0057593E" w:rsidRDefault="00024E5D"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0.7</w:t>
            </w:r>
          </w:p>
        </w:tc>
      </w:tr>
      <w:tr w:rsidR="000E52BE" w14:paraId="0FBB5643" w14:textId="77777777" w:rsidTr="00E73206">
        <w:trPr>
          <w:jc w:val="center"/>
        </w:trPr>
        <w:tc>
          <w:tcPr>
            <w:tcW w:w="3521" w:type="dxa"/>
            <w:tcBorders>
              <w:top w:val="nil"/>
              <w:left w:val="double" w:sz="4" w:space="0" w:color="auto"/>
              <w:bottom w:val="nil"/>
              <w:right w:val="single" w:sz="4" w:space="0" w:color="auto"/>
            </w:tcBorders>
            <w:vAlign w:val="center"/>
          </w:tcPr>
          <w:p w14:paraId="58068BCE" w14:textId="7305DB4B" w:rsidR="000E52BE" w:rsidRPr="0057593E" w:rsidRDefault="000E52BE" w:rsidP="00E73206">
            <w:pPr>
              <w:pStyle w:val="not31"/>
              <w:keepLines w:val="0"/>
              <w:widowControl w:val="0"/>
              <w:spacing w:before="20" w:after="20"/>
              <w:ind w:left="-123" w:right="-79"/>
              <w:jc w:val="left"/>
              <w:rPr>
                <w:rFonts w:cs="Arial"/>
                <w:b/>
                <w:color w:val="auto"/>
                <w:sz w:val="18"/>
                <w:szCs w:val="18"/>
                <w:lang w:val="es-MX" w:eastAsia="es-MX"/>
              </w:rPr>
            </w:pPr>
            <w:r w:rsidRPr="0057593E">
              <w:rPr>
                <w:rFonts w:cs="Arial"/>
                <w:b/>
                <w:color w:val="auto"/>
                <w:sz w:val="18"/>
                <w:szCs w:val="18"/>
                <w:lang w:val="es-MX" w:eastAsia="es-MX"/>
              </w:rPr>
              <w:t xml:space="preserve"> </w:t>
            </w:r>
            <w:r>
              <w:rPr>
                <w:rFonts w:cs="Arial"/>
                <w:b/>
                <w:color w:val="auto"/>
                <w:sz w:val="18"/>
                <w:szCs w:val="18"/>
                <w:lang w:val="es-MX" w:eastAsia="es-MX"/>
              </w:rPr>
              <w:t xml:space="preserve"> </w:t>
            </w:r>
            <w:r w:rsidRPr="0057593E">
              <w:rPr>
                <w:rFonts w:cs="Arial"/>
                <w:b/>
                <w:color w:val="auto"/>
                <w:sz w:val="18"/>
                <w:szCs w:val="18"/>
                <w:lang w:val="es-MX" w:eastAsia="es-MX"/>
              </w:rPr>
              <w:t xml:space="preserve">Oferta </w:t>
            </w:r>
            <w:r w:rsidR="00473F1E">
              <w:rPr>
                <w:rFonts w:cs="Arial"/>
                <w:b/>
                <w:color w:val="auto"/>
                <w:sz w:val="18"/>
                <w:szCs w:val="18"/>
                <w:lang w:val="es-MX" w:eastAsia="es-MX"/>
              </w:rPr>
              <w:t>=</w:t>
            </w:r>
            <w:r w:rsidRPr="0057593E">
              <w:rPr>
                <w:rFonts w:cs="Arial"/>
                <w:b/>
                <w:color w:val="auto"/>
                <w:sz w:val="18"/>
                <w:szCs w:val="18"/>
                <w:lang w:val="es-MX" w:eastAsia="es-MX"/>
              </w:rPr>
              <w:t xml:space="preserve"> Demanda</w:t>
            </w:r>
            <w:r>
              <w:rPr>
                <w:rFonts w:cs="Arial"/>
                <w:b/>
                <w:color w:val="auto"/>
                <w:sz w:val="18"/>
                <w:szCs w:val="18"/>
                <w:lang w:val="es-MX" w:eastAsia="es-MX"/>
              </w:rPr>
              <w:t xml:space="preserve"> Global</w:t>
            </w:r>
          </w:p>
        </w:tc>
        <w:tc>
          <w:tcPr>
            <w:tcW w:w="1457" w:type="dxa"/>
            <w:tcBorders>
              <w:top w:val="nil"/>
              <w:left w:val="single" w:sz="4" w:space="0" w:color="auto"/>
              <w:bottom w:val="nil"/>
              <w:right w:val="nil"/>
            </w:tcBorders>
            <w:vAlign w:val="bottom"/>
          </w:tcPr>
          <w:p w14:paraId="0E2E45B1" w14:textId="05B784EC" w:rsidR="000E52BE" w:rsidRPr="0057593E" w:rsidRDefault="00024E5D" w:rsidP="00E73206">
            <w:pPr>
              <w:pStyle w:val="not31"/>
              <w:keepLines w:val="0"/>
              <w:widowControl w:val="0"/>
              <w:spacing w:before="20" w:after="20"/>
              <w:ind w:right="397"/>
              <w:jc w:val="right"/>
              <w:rPr>
                <w:rFonts w:cs="Arial"/>
                <w:b/>
                <w:color w:val="auto"/>
                <w:sz w:val="18"/>
                <w:szCs w:val="18"/>
                <w:lang w:val="es-MX" w:eastAsia="es-MX"/>
              </w:rPr>
            </w:pPr>
            <w:r>
              <w:rPr>
                <w:rFonts w:cs="Arial"/>
                <w:b/>
                <w:color w:val="auto"/>
                <w:sz w:val="18"/>
                <w:szCs w:val="18"/>
                <w:lang w:val="es-MX" w:eastAsia="es-MX"/>
              </w:rPr>
              <w:t>2.0</w:t>
            </w:r>
          </w:p>
        </w:tc>
        <w:tc>
          <w:tcPr>
            <w:tcW w:w="1811" w:type="dxa"/>
            <w:tcBorders>
              <w:top w:val="nil"/>
              <w:left w:val="single" w:sz="4" w:space="0" w:color="auto"/>
              <w:bottom w:val="nil"/>
              <w:right w:val="double" w:sz="4" w:space="0" w:color="auto"/>
            </w:tcBorders>
            <w:shd w:val="clear" w:color="auto" w:fill="auto"/>
            <w:vAlign w:val="bottom"/>
          </w:tcPr>
          <w:p w14:paraId="20344156" w14:textId="61A2BD31" w:rsidR="000E52BE" w:rsidRPr="0057593E" w:rsidRDefault="000E52BE" w:rsidP="00396B4C">
            <w:pPr>
              <w:pStyle w:val="not31"/>
              <w:keepLines w:val="0"/>
              <w:widowControl w:val="0"/>
              <w:spacing w:before="20" w:after="20"/>
              <w:ind w:right="510"/>
              <w:jc w:val="right"/>
              <w:rPr>
                <w:rFonts w:cs="Arial"/>
                <w:b/>
                <w:color w:val="auto"/>
                <w:sz w:val="18"/>
                <w:szCs w:val="18"/>
                <w:lang w:val="es-MX" w:eastAsia="es-MX"/>
              </w:rPr>
            </w:pPr>
            <w:r w:rsidRPr="0057593E">
              <w:rPr>
                <w:rFonts w:cs="Arial"/>
                <w:b/>
                <w:color w:val="auto"/>
                <w:sz w:val="18"/>
                <w:szCs w:val="18"/>
                <w:lang w:val="es-MX" w:eastAsia="es-MX"/>
              </w:rPr>
              <w:t>(</w:t>
            </w:r>
            <w:proofErr w:type="gramStart"/>
            <w:r w:rsidRPr="0057593E">
              <w:rPr>
                <w:rFonts w:cs="Arial"/>
                <w:b/>
                <w:color w:val="auto"/>
                <w:sz w:val="18"/>
                <w:szCs w:val="18"/>
                <w:lang w:val="es-MX" w:eastAsia="es-MX"/>
              </w:rPr>
              <w:noBreakHyphen/>
              <w:t xml:space="preserve">) </w:t>
            </w:r>
            <w:r w:rsidR="00024E5D">
              <w:rPr>
                <w:rFonts w:cs="Arial"/>
                <w:b/>
                <w:color w:val="auto"/>
                <w:sz w:val="18"/>
                <w:szCs w:val="18"/>
                <w:lang w:val="es-MX" w:eastAsia="es-MX"/>
              </w:rPr>
              <w:t xml:space="preserve">  </w:t>
            </w:r>
            <w:proofErr w:type="gramEnd"/>
            <w:r w:rsidRPr="0057593E">
              <w:rPr>
                <w:rFonts w:cs="Arial"/>
                <w:b/>
                <w:color w:val="auto"/>
                <w:sz w:val="18"/>
                <w:szCs w:val="18"/>
                <w:lang w:val="es-MX" w:eastAsia="es-MX"/>
              </w:rPr>
              <w:t xml:space="preserve">  </w:t>
            </w:r>
            <w:r w:rsidR="00024E5D">
              <w:rPr>
                <w:rFonts w:cs="Arial"/>
                <w:b/>
                <w:color w:val="auto"/>
                <w:sz w:val="18"/>
                <w:szCs w:val="18"/>
                <w:lang w:val="es-MX" w:eastAsia="es-MX"/>
              </w:rPr>
              <w:t>2.0</w:t>
            </w:r>
          </w:p>
        </w:tc>
      </w:tr>
      <w:tr w:rsidR="000E52BE" w14:paraId="4C9C6506" w14:textId="77777777" w:rsidTr="00E73206">
        <w:trPr>
          <w:jc w:val="center"/>
        </w:trPr>
        <w:tc>
          <w:tcPr>
            <w:tcW w:w="3521" w:type="dxa"/>
            <w:tcBorders>
              <w:top w:val="nil"/>
              <w:left w:val="double" w:sz="4" w:space="0" w:color="auto"/>
              <w:bottom w:val="nil"/>
              <w:right w:val="single" w:sz="4" w:space="0" w:color="auto"/>
            </w:tcBorders>
            <w:vAlign w:val="center"/>
          </w:tcPr>
          <w:p w14:paraId="20E90FE6" w14:textId="328BDB29"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Consumo Privado</w:t>
            </w:r>
          </w:p>
        </w:tc>
        <w:tc>
          <w:tcPr>
            <w:tcW w:w="1457" w:type="dxa"/>
            <w:tcBorders>
              <w:top w:val="nil"/>
              <w:left w:val="single" w:sz="4" w:space="0" w:color="auto"/>
              <w:bottom w:val="nil"/>
              <w:right w:val="nil"/>
            </w:tcBorders>
            <w:vAlign w:val="bottom"/>
          </w:tcPr>
          <w:p w14:paraId="2813AFF1" w14:textId="3804E3C0" w:rsidR="000E52BE" w:rsidRPr="0057593E" w:rsidRDefault="00024E5D" w:rsidP="00E7320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2.9</w:t>
            </w:r>
          </w:p>
        </w:tc>
        <w:tc>
          <w:tcPr>
            <w:tcW w:w="1811" w:type="dxa"/>
            <w:tcBorders>
              <w:top w:val="nil"/>
              <w:left w:val="single" w:sz="4" w:space="0" w:color="auto"/>
              <w:bottom w:val="nil"/>
              <w:right w:val="double" w:sz="4" w:space="0" w:color="auto"/>
            </w:tcBorders>
            <w:shd w:val="clear" w:color="auto" w:fill="auto"/>
            <w:vAlign w:val="bottom"/>
          </w:tcPr>
          <w:p w14:paraId="16516BAC" w14:textId="55DCF28F"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w:t>
            </w:r>
            <w:proofErr w:type="gramStart"/>
            <w:r w:rsidRPr="0057593E">
              <w:rPr>
                <w:rFonts w:cs="Arial"/>
                <w:color w:val="auto"/>
                <w:sz w:val="18"/>
                <w:szCs w:val="18"/>
                <w:lang w:val="es-MX" w:eastAsia="es-MX"/>
              </w:rPr>
              <w:noBreakHyphen/>
              <w:t xml:space="preserve">) </w:t>
            </w:r>
            <w:r w:rsidR="00024E5D">
              <w:rPr>
                <w:rFonts w:cs="Arial"/>
                <w:color w:val="auto"/>
                <w:sz w:val="18"/>
                <w:szCs w:val="18"/>
                <w:lang w:val="es-MX" w:eastAsia="es-MX"/>
              </w:rPr>
              <w:t xml:space="preserve">  </w:t>
            </w:r>
            <w:proofErr w:type="gramEnd"/>
            <w:r w:rsidRPr="0057593E">
              <w:rPr>
                <w:rFonts w:cs="Arial"/>
                <w:color w:val="auto"/>
                <w:sz w:val="18"/>
                <w:szCs w:val="18"/>
                <w:lang w:val="es-MX" w:eastAsia="es-MX"/>
              </w:rPr>
              <w:t xml:space="preserve">  </w:t>
            </w:r>
            <w:r w:rsidR="00024E5D">
              <w:rPr>
                <w:rFonts w:cs="Arial"/>
                <w:color w:val="auto"/>
                <w:sz w:val="18"/>
                <w:szCs w:val="18"/>
                <w:lang w:val="es-MX" w:eastAsia="es-MX"/>
              </w:rPr>
              <w:t>3.4</w:t>
            </w:r>
          </w:p>
        </w:tc>
      </w:tr>
      <w:tr w:rsidR="000E52BE" w14:paraId="68AB5C04" w14:textId="77777777" w:rsidTr="00E73206">
        <w:trPr>
          <w:jc w:val="center"/>
        </w:trPr>
        <w:tc>
          <w:tcPr>
            <w:tcW w:w="3521" w:type="dxa"/>
            <w:tcBorders>
              <w:top w:val="nil"/>
              <w:left w:val="double" w:sz="4" w:space="0" w:color="auto"/>
              <w:bottom w:val="nil"/>
              <w:right w:val="single" w:sz="4" w:space="0" w:color="auto"/>
            </w:tcBorders>
            <w:vAlign w:val="center"/>
          </w:tcPr>
          <w:p w14:paraId="26DC7238" w14:textId="3A639288"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Consumo de Gobierno</w:t>
            </w:r>
          </w:p>
        </w:tc>
        <w:tc>
          <w:tcPr>
            <w:tcW w:w="1457" w:type="dxa"/>
            <w:tcBorders>
              <w:top w:val="nil"/>
              <w:left w:val="single" w:sz="4" w:space="0" w:color="auto"/>
              <w:bottom w:val="nil"/>
              <w:right w:val="nil"/>
            </w:tcBorders>
            <w:vAlign w:val="bottom"/>
          </w:tcPr>
          <w:p w14:paraId="72169C6B" w14:textId="1AA2B808" w:rsidR="000E52BE" w:rsidRPr="0057593E" w:rsidRDefault="000E52BE" w:rsidP="00E73206">
            <w:pPr>
              <w:pStyle w:val="not31"/>
              <w:keepLines w:val="0"/>
              <w:widowControl w:val="0"/>
              <w:spacing w:before="20" w:after="20"/>
              <w:ind w:right="397"/>
              <w:jc w:val="right"/>
              <w:rPr>
                <w:rFonts w:cs="Arial"/>
                <w:color w:val="auto"/>
                <w:sz w:val="18"/>
                <w:szCs w:val="18"/>
                <w:lang w:val="es-MX" w:eastAsia="es-MX"/>
              </w:rPr>
            </w:pPr>
            <w:r w:rsidRPr="0057593E">
              <w:rPr>
                <w:rFonts w:cs="Arial"/>
                <w:color w:val="auto"/>
                <w:sz w:val="18"/>
                <w:szCs w:val="18"/>
                <w:lang w:val="es-MX" w:eastAsia="es-MX"/>
              </w:rPr>
              <w:t>0.</w:t>
            </w:r>
            <w:r w:rsidR="00024E5D">
              <w:rPr>
                <w:rFonts w:cs="Arial"/>
                <w:color w:val="auto"/>
                <w:sz w:val="18"/>
                <w:szCs w:val="18"/>
                <w:lang w:val="es-MX" w:eastAsia="es-MX"/>
              </w:rPr>
              <w:t>5</w:t>
            </w:r>
          </w:p>
        </w:tc>
        <w:tc>
          <w:tcPr>
            <w:tcW w:w="1811" w:type="dxa"/>
            <w:tcBorders>
              <w:top w:val="nil"/>
              <w:left w:val="single" w:sz="4" w:space="0" w:color="auto"/>
              <w:bottom w:val="nil"/>
              <w:right w:val="double" w:sz="4" w:space="0" w:color="auto"/>
            </w:tcBorders>
            <w:shd w:val="clear" w:color="auto" w:fill="auto"/>
            <w:vAlign w:val="bottom"/>
          </w:tcPr>
          <w:p w14:paraId="687B990C" w14:textId="14A472BC" w:rsidR="000E52BE" w:rsidRPr="0057593E" w:rsidRDefault="00024E5D" w:rsidP="00396B4C">
            <w:pPr>
              <w:pStyle w:val="not31"/>
              <w:keepLines w:val="0"/>
              <w:widowControl w:val="0"/>
              <w:spacing w:before="20" w:after="20"/>
              <w:ind w:right="510"/>
              <w:jc w:val="right"/>
              <w:rPr>
                <w:rFonts w:cs="Arial"/>
                <w:color w:val="auto"/>
                <w:sz w:val="18"/>
                <w:szCs w:val="18"/>
                <w:lang w:val="es-MX" w:eastAsia="es-MX"/>
              </w:rPr>
            </w:pPr>
            <w:r>
              <w:rPr>
                <w:rFonts w:cs="Arial"/>
                <w:color w:val="auto"/>
                <w:sz w:val="18"/>
                <w:szCs w:val="18"/>
                <w:lang w:val="es-MX" w:eastAsia="es-MX"/>
              </w:rPr>
              <w:t>(-)     0.7</w:t>
            </w:r>
          </w:p>
        </w:tc>
      </w:tr>
      <w:tr w:rsidR="000E52BE" w14:paraId="1801A3F5" w14:textId="77777777" w:rsidTr="00E73206">
        <w:trPr>
          <w:jc w:val="center"/>
        </w:trPr>
        <w:tc>
          <w:tcPr>
            <w:tcW w:w="3521" w:type="dxa"/>
            <w:tcBorders>
              <w:top w:val="nil"/>
              <w:left w:val="double" w:sz="4" w:space="0" w:color="auto"/>
              <w:bottom w:val="nil"/>
              <w:right w:val="single" w:sz="4" w:space="0" w:color="auto"/>
            </w:tcBorders>
            <w:vAlign w:val="center"/>
          </w:tcPr>
          <w:p w14:paraId="10F5EC8F" w14:textId="18F92EB2"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Formación Bruta de Capital Fijo</w:t>
            </w:r>
          </w:p>
        </w:tc>
        <w:tc>
          <w:tcPr>
            <w:tcW w:w="1457" w:type="dxa"/>
            <w:tcBorders>
              <w:top w:val="nil"/>
              <w:left w:val="single" w:sz="4" w:space="0" w:color="auto"/>
              <w:bottom w:val="nil"/>
              <w:right w:val="nil"/>
            </w:tcBorders>
            <w:vAlign w:val="bottom"/>
          </w:tcPr>
          <w:p w14:paraId="4580DB07" w14:textId="5C7E59F7" w:rsidR="000E52BE" w:rsidRPr="0057593E" w:rsidRDefault="00024E5D" w:rsidP="00E7320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5.3</w:t>
            </w:r>
          </w:p>
        </w:tc>
        <w:tc>
          <w:tcPr>
            <w:tcW w:w="1811" w:type="dxa"/>
            <w:tcBorders>
              <w:top w:val="nil"/>
              <w:left w:val="single" w:sz="4" w:space="0" w:color="auto"/>
              <w:bottom w:val="nil"/>
              <w:right w:val="double" w:sz="4" w:space="0" w:color="auto"/>
            </w:tcBorders>
            <w:shd w:val="clear" w:color="auto" w:fill="auto"/>
            <w:vAlign w:val="bottom"/>
          </w:tcPr>
          <w:p w14:paraId="7B5F7468" w14:textId="01A15FC7"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w:t>
            </w:r>
            <w:proofErr w:type="gramStart"/>
            <w:r w:rsidRPr="0057593E">
              <w:rPr>
                <w:rFonts w:cs="Arial"/>
                <w:color w:val="auto"/>
                <w:sz w:val="18"/>
                <w:szCs w:val="18"/>
                <w:lang w:val="es-MX" w:eastAsia="es-MX"/>
              </w:rPr>
              <w:noBreakHyphen/>
              <w:t xml:space="preserve">)  </w:t>
            </w:r>
            <w:r w:rsidR="00024E5D">
              <w:rPr>
                <w:rFonts w:cs="Arial"/>
                <w:color w:val="auto"/>
                <w:sz w:val="18"/>
                <w:szCs w:val="18"/>
                <w:lang w:val="es-MX" w:eastAsia="es-MX"/>
              </w:rPr>
              <w:t xml:space="preserve"> </w:t>
            </w:r>
            <w:proofErr w:type="gramEnd"/>
            <w:r w:rsidR="00024E5D">
              <w:rPr>
                <w:rFonts w:cs="Arial"/>
                <w:color w:val="auto"/>
                <w:sz w:val="18"/>
                <w:szCs w:val="18"/>
                <w:lang w:val="es-MX" w:eastAsia="es-MX"/>
              </w:rPr>
              <w:t xml:space="preserve"> </w:t>
            </w:r>
            <w:r w:rsidRPr="0057593E">
              <w:rPr>
                <w:rFonts w:cs="Arial"/>
                <w:color w:val="auto"/>
                <w:sz w:val="18"/>
                <w:szCs w:val="18"/>
                <w:lang w:val="es-MX" w:eastAsia="es-MX"/>
              </w:rPr>
              <w:t xml:space="preserve"> </w:t>
            </w:r>
            <w:r w:rsidR="00024E5D">
              <w:rPr>
                <w:rFonts w:cs="Arial"/>
                <w:color w:val="auto"/>
                <w:sz w:val="18"/>
                <w:szCs w:val="18"/>
                <w:lang w:val="es-MX" w:eastAsia="es-MX"/>
              </w:rPr>
              <w:t>4.9</w:t>
            </w:r>
          </w:p>
        </w:tc>
      </w:tr>
      <w:tr w:rsidR="000E52BE" w14:paraId="2FA6833A" w14:textId="77777777" w:rsidTr="00E73206">
        <w:trPr>
          <w:jc w:val="center"/>
        </w:trPr>
        <w:tc>
          <w:tcPr>
            <w:tcW w:w="3521" w:type="dxa"/>
            <w:tcBorders>
              <w:top w:val="nil"/>
              <w:left w:val="double" w:sz="4" w:space="0" w:color="auto"/>
              <w:bottom w:val="nil"/>
              <w:right w:val="single" w:sz="4" w:space="0" w:color="auto"/>
            </w:tcBorders>
            <w:vAlign w:val="center"/>
          </w:tcPr>
          <w:p w14:paraId="11FBB052" w14:textId="2A811A7D"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Variación de Existencias</w:t>
            </w:r>
          </w:p>
        </w:tc>
        <w:tc>
          <w:tcPr>
            <w:tcW w:w="1457" w:type="dxa"/>
            <w:tcBorders>
              <w:top w:val="nil"/>
              <w:left w:val="single" w:sz="4" w:space="0" w:color="auto"/>
              <w:bottom w:val="nil"/>
              <w:right w:val="nil"/>
            </w:tcBorders>
            <w:vAlign w:val="bottom"/>
          </w:tcPr>
          <w:p w14:paraId="7FA7E3BF" w14:textId="77777777" w:rsidR="000E52BE" w:rsidRPr="0057593E" w:rsidRDefault="000E52BE" w:rsidP="00E73206">
            <w:pPr>
              <w:pStyle w:val="not31"/>
              <w:keepLines w:val="0"/>
              <w:widowControl w:val="0"/>
              <w:spacing w:before="20" w:after="20"/>
              <w:ind w:right="397"/>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c>
          <w:tcPr>
            <w:tcW w:w="1811" w:type="dxa"/>
            <w:tcBorders>
              <w:top w:val="nil"/>
              <w:left w:val="single" w:sz="4" w:space="0" w:color="auto"/>
              <w:bottom w:val="nil"/>
              <w:right w:val="double" w:sz="4" w:space="0" w:color="auto"/>
            </w:tcBorders>
            <w:shd w:val="clear" w:color="auto" w:fill="auto"/>
            <w:vAlign w:val="bottom"/>
          </w:tcPr>
          <w:p w14:paraId="66D90BCC" w14:textId="77777777"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r>
      <w:tr w:rsidR="000E52BE" w14:paraId="7FA9F7A3" w14:textId="77777777" w:rsidTr="00E73206">
        <w:trPr>
          <w:jc w:val="center"/>
        </w:trPr>
        <w:tc>
          <w:tcPr>
            <w:tcW w:w="3521" w:type="dxa"/>
            <w:tcBorders>
              <w:top w:val="nil"/>
              <w:left w:val="double" w:sz="4" w:space="0" w:color="auto"/>
              <w:bottom w:val="nil"/>
              <w:right w:val="single" w:sz="4" w:space="0" w:color="auto"/>
            </w:tcBorders>
            <w:vAlign w:val="center"/>
          </w:tcPr>
          <w:p w14:paraId="2205140D" w14:textId="35E1ED40"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Exportación de Bienes y Servicios</w:t>
            </w:r>
          </w:p>
        </w:tc>
        <w:tc>
          <w:tcPr>
            <w:tcW w:w="1457" w:type="dxa"/>
            <w:tcBorders>
              <w:top w:val="nil"/>
              <w:left w:val="single" w:sz="4" w:space="0" w:color="auto"/>
              <w:bottom w:val="nil"/>
              <w:right w:val="nil"/>
            </w:tcBorders>
            <w:vAlign w:val="center"/>
          </w:tcPr>
          <w:p w14:paraId="37DEF13E" w14:textId="4A339F3E" w:rsidR="000E52BE" w:rsidRPr="0057593E" w:rsidRDefault="00024E5D" w:rsidP="00E73206">
            <w:pPr>
              <w:pStyle w:val="not31"/>
              <w:keepLines w:val="0"/>
              <w:widowControl w:val="0"/>
              <w:spacing w:before="20" w:after="20"/>
              <w:ind w:right="397"/>
              <w:jc w:val="right"/>
              <w:rPr>
                <w:rFonts w:cs="Arial"/>
                <w:color w:val="auto"/>
                <w:sz w:val="18"/>
                <w:szCs w:val="18"/>
                <w:lang w:val="es-MX" w:eastAsia="es-MX"/>
              </w:rPr>
            </w:pPr>
            <w:r>
              <w:rPr>
                <w:rFonts w:cs="Arial"/>
                <w:color w:val="auto"/>
                <w:sz w:val="18"/>
                <w:szCs w:val="18"/>
                <w:lang w:val="es-MX" w:eastAsia="es-MX"/>
              </w:rPr>
              <w:t>(-)   3.3</w:t>
            </w:r>
          </w:p>
        </w:tc>
        <w:tc>
          <w:tcPr>
            <w:tcW w:w="1811" w:type="dxa"/>
            <w:tcBorders>
              <w:top w:val="nil"/>
              <w:left w:val="single" w:sz="4" w:space="0" w:color="auto"/>
              <w:bottom w:val="nil"/>
              <w:right w:val="double" w:sz="4" w:space="0" w:color="auto"/>
            </w:tcBorders>
            <w:shd w:val="clear" w:color="auto" w:fill="auto"/>
            <w:vAlign w:val="center"/>
          </w:tcPr>
          <w:p w14:paraId="7ED9AC0A" w14:textId="3B8013B5"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r w:rsidRPr="0057593E">
              <w:rPr>
                <w:rFonts w:cs="Arial"/>
                <w:color w:val="auto"/>
                <w:sz w:val="18"/>
                <w:szCs w:val="18"/>
                <w:lang w:val="es-MX" w:eastAsia="es-MX"/>
              </w:rPr>
              <w:t xml:space="preserve">(-)     </w:t>
            </w:r>
            <w:r w:rsidR="00024E5D">
              <w:rPr>
                <w:rFonts w:cs="Arial"/>
                <w:color w:val="auto"/>
                <w:sz w:val="18"/>
                <w:szCs w:val="18"/>
                <w:lang w:val="es-MX" w:eastAsia="es-MX"/>
              </w:rPr>
              <w:t>4.2</w:t>
            </w:r>
          </w:p>
        </w:tc>
      </w:tr>
      <w:tr w:rsidR="000E52BE" w14:paraId="32919FD7" w14:textId="77777777" w:rsidTr="00E73206">
        <w:trPr>
          <w:jc w:val="center"/>
        </w:trPr>
        <w:tc>
          <w:tcPr>
            <w:tcW w:w="3521" w:type="dxa"/>
            <w:tcBorders>
              <w:top w:val="nil"/>
              <w:left w:val="double" w:sz="4" w:space="0" w:color="auto"/>
              <w:bottom w:val="double" w:sz="4" w:space="0" w:color="auto"/>
              <w:right w:val="single" w:sz="4" w:space="0" w:color="auto"/>
            </w:tcBorders>
            <w:vAlign w:val="center"/>
          </w:tcPr>
          <w:p w14:paraId="368E19BB" w14:textId="375780CC" w:rsidR="000E52BE" w:rsidRPr="0057593E" w:rsidRDefault="00D216D6" w:rsidP="00E73206">
            <w:pPr>
              <w:pStyle w:val="not31"/>
              <w:keepLines w:val="0"/>
              <w:widowControl w:val="0"/>
              <w:spacing w:before="20" w:after="20"/>
              <w:ind w:left="48" w:right="-79"/>
              <w:jc w:val="left"/>
              <w:rPr>
                <w:rFonts w:cs="Arial"/>
                <w:color w:val="auto"/>
                <w:sz w:val="18"/>
                <w:szCs w:val="18"/>
                <w:lang w:val="es-MX" w:eastAsia="es-MX"/>
              </w:rPr>
            </w:pPr>
            <w:r>
              <w:rPr>
                <w:rFonts w:cs="Arial"/>
                <w:color w:val="auto"/>
                <w:sz w:val="18"/>
                <w:szCs w:val="18"/>
                <w:lang w:val="es-MX" w:eastAsia="es-MX"/>
              </w:rPr>
              <w:t xml:space="preserve"> </w:t>
            </w:r>
            <w:r w:rsidR="000E52BE" w:rsidRPr="0057593E">
              <w:rPr>
                <w:rFonts w:cs="Arial"/>
                <w:color w:val="auto"/>
                <w:sz w:val="18"/>
                <w:szCs w:val="18"/>
                <w:lang w:val="es-MX" w:eastAsia="es-MX"/>
              </w:rPr>
              <w:t>Discrepancia Estadística</w:t>
            </w:r>
          </w:p>
        </w:tc>
        <w:tc>
          <w:tcPr>
            <w:tcW w:w="1457" w:type="dxa"/>
            <w:tcBorders>
              <w:top w:val="nil"/>
              <w:left w:val="single" w:sz="4" w:space="0" w:color="auto"/>
              <w:bottom w:val="double" w:sz="4" w:space="0" w:color="auto"/>
              <w:right w:val="nil"/>
            </w:tcBorders>
            <w:vAlign w:val="center"/>
          </w:tcPr>
          <w:p w14:paraId="047DFBF8" w14:textId="77777777" w:rsidR="000E52BE" w:rsidRPr="0057593E" w:rsidRDefault="000E52BE" w:rsidP="00E73206">
            <w:pPr>
              <w:pStyle w:val="not31"/>
              <w:keepLines w:val="0"/>
              <w:widowControl w:val="0"/>
              <w:spacing w:before="20" w:after="20"/>
              <w:ind w:right="397"/>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c>
          <w:tcPr>
            <w:tcW w:w="1811" w:type="dxa"/>
            <w:tcBorders>
              <w:top w:val="nil"/>
              <w:left w:val="single" w:sz="4" w:space="0" w:color="auto"/>
              <w:bottom w:val="double" w:sz="4" w:space="0" w:color="auto"/>
              <w:right w:val="double" w:sz="4" w:space="0" w:color="auto"/>
            </w:tcBorders>
            <w:shd w:val="clear" w:color="auto" w:fill="auto"/>
            <w:vAlign w:val="center"/>
          </w:tcPr>
          <w:p w14:paraId="7038152F" w14:textId="77777777" w:rsidR="000E52BE" w:rsidRPr="0057593E" w:rsidRDefault="000E52BE" w:rsidP="00396B4C">
            <w:pPr>
              <w:pStyle w:val="not31"/>
              <w:keepLines w:val="0"/>
              <w:widowControl w:val="0"/>
              <w:spacing w:before="20" w:after="20"/>
              <w:ind w:right="510"/>
              <w:jc w:val="right"/>
              <w:rPr>
                <w:rFonts w:cs="Arial"/>
                <w:color w:val="auto"/>
                <w:sz w:val="18"/>
                <w:szCs w:val="18"/>
                <w:lang w:val="es-MX" w:eastAsia="es-MX"/>
              </w:rPr>
            </w:pPr>
            <w:proofErr w:type="gramStart"/>
            <w:r w:rsidRPr="0057593E">
              <w:rPr>
                <w:rFonts w:cs="Arial"/>
                <w:color w:val="auto"/>
                <w:sz w:val="18"/>
                <w:szCs w:val="18"/>
                <w:lang w:val="es-MX" w:eastAsia="es-MX"/>
              </w:rPr>
              <w:t>N.A</w:t>
            </w:r>
            <w:proofErr w:type="gramEnd"/>
          </w:p>
        </w:tc>
      </w:tr>
    </w:tbl>
    <w:p w14:paraId="17ADC703" w14:textId="1B88AC61" w:rsidR="000E52BE" w:rsidRPr="00D247C1" w:rsidRDefault="000E52BE" w:rsidP="000E52BE">
      <w:pPr>
        <w:pStyle w:val="Textoindependiente"/>
        <w:spacing w:before="0"/>
        <w:ind w:left="1560" w:right="843" w:hanging="426"/>
        <w:rPr>
          <w:rFonts w:cs="Arial"/>
          <w:sz w:val="16"/>
          <w:szCs w:val="16"/>
        </w:rPr>
      </w:pPr>
      <w:r w:rsidRPr="00D247C1">
        <w:rPr>
          <w:rFonts w:cs="Arial"/>
          <w:sz w:val="16"/>
          <w:szCs w:val="16"/>
        </w:rPr>
        <w:t xml:space="preserve">Nota: Las series desestacionalizadas de la Oferta y Demanda Global </w:t>
      </w:r>
      <w:r w:rsidR="004A72DB">
        <w:rPr>
          <w:rFonts w:cs="Arial"/>
          <w:sz w:val="16"/>
          <w:szCs w:val="16"/>
        </w:rPr>
        <w:t xml:space="preserve">de </w:t>
      </w:r>
      <w:r w:rsidR="00EF651A">
        <w:rPr>
          <w:rFonts w:cs="Arial"/>
          <w:sz w:val="16"/>
          <w:szCs w:val="16"/>
        </w:rPr>
        <w:t>B</w:t>
      </w:r>
      <w:r w:rsidR="004A72DB">
        <w:rPr>
          <w:rFonts w:cs="Arial"/>
          <w:sz w:val="16"/>
          <w:szCs w:val="16"/>
        </w:rPr>
        <w:t xml:space="preserve">ienes y </w:t>
      </w:r>
      <w:r w:rsidR="00EF651A">
        <w:rPr>
          <w:rFonts w:cs="Arial"/>
          <w:sz w:val="16"/>
          <w:szCs w:val="16"/>
        </w:rPr>
        <w:t>S</w:t>
      </w:r>
      <w:r w:rsidR="004A72DB">
        <w:rPr>
          <w:rFonts w:cs="Arial"/>
          <w:sz w:val="16"/>
          <w:szCs w:val="16"/>
        </w:rPr>
        <w:t xml:space="preserve">ervicios </w:t>
      </w:r>
      <w:r w:rsidRPr="00D247C1">
        <w:rPr>
          <w:rFonts w:cs="Arial"/>
          <w:sz w:val="16"/>
          <w:szCs w:val="16"/>
        </w:rPr>
        <w:t>se calculan de manera independiente a la de sus componentes, por lo que no necesariamente reflejan el comportamiento de dichos componentes.</w:t>
      </w:r>
    </w:p>
    <w:p w14:paraId="00B871A5" w14:textId="77777777" w:rsidR="000E52BE" w:rsidRPr="00BD64BD" w:rsidRDefault="000E52BE" w:rsidP="000E52BE">
      <w:pPr>
        <w:pStyle w:val="bullet"/>
        <w:tabs>
          <w:tab w:val="left" w:pos="709"/>
          <w:tab w:val="left" w:pos="8080"/>
        </w:tabs>
        <w:spacing w:before="0"/>
        <w:ind w:left="1560" w:right="114" w:hanging="426"/>
        <w:rPr>
          <w:b w:val="0"/>
          <w:bCs/>
          <w:color w:val="000000"/>
        </w:rPr>
      </w:pPr>
      <w:r w:rsidRPr="00BD64BD">
        <w:rPr>
          <w:rFonts w:cs="Arial"/>
          <w:b w:val="0"/>
          <w:bCs/>
          <w:color w:val="auto"/>
          <w:sz w:val="16"/>
          <w:szCs w:val="16"/>
        </w:rPr>
        <w:t>N.A No aplica</w:t>
      </w:r>
      <w:r w:rsidRPr="00BD64BD">
        <w:rPr>
          <w:rFonts w:cs="Arial"/>
          <w:b w:val="0"/>
          <w:bCs/>
          <w:sz w:val="16"/>
          <w:szCs w:val="16"/>
        </w:rPr>
        <w:t>.</w:t>
      </w:r>
    </w:p>
    <w:p w14:paraId="6E7482FD" w14:textId="77777777" w:rsidR="006F6587" w:rsidRDefault="006F6587" w:rsidP="006C4BA7">
      <w:pPr>
        <w:pStyle w:val="Ttulo"/>
        <w:keepNext/>
        <w:keepLines/>
        <w:spacing w:before="120"/>
        <w:rPr>
          <w:rFonts w:cs="Arial"/>
          <w:b w:val="0"/>
          <w:smallCaps w:val="0"/>
          <w:sz w:val="20"/>
        </w:rPr>
      </w:pPr>
    </w:p>
    <w:p w14:paraId="2F1A55FF" w14:textId="1705C46F" w:rsidR="00E73206" w:rsidRDefault="00E73206">
      <w:pPr>
        <w:widowControl/>
        <w:rPr>
          <w:rFonts w:ascii="Arial" w:hAnsi="Arial" w:cs="Arial"/>
          <w:snapToGrid/>
          <w:lang w:val="es-ES"/>
        </w:rPr>
      </w:pPr>
      <w:r>
        <w:rPr>
          <w:rFonts w:cs="Arial"/>
          <w:b/>
          <w:smallCaps/>
        </w:rPr>
        <w:br w:type="page"/>
      </w:r>
    </w:p>
    <w:p w14:paraId="534D859A" w14:textId="77777777" w:rsidR="006F6587" w:rsidRDefault="006F6587" w:rsidP="006C4BA7">
      <w:pPr>
        <w:pStyle w:val="Ttulo"/>
        <w:keepNext/>
        <w:keepLines/>
        <w:spacing w:before="120"/>
        <w:rPr>
          <w:rFonts w:cs="Arial"/>
          <w:b w:val="0"/>
          <w:smallCaps w:val="0"/>
          <w:sz w:val="20"/>
        </w:rPr>
      </w:pPr>
    </w:p>
    <w:p w14:paraId="6BF77133" w14:textId="3B405C1B" w:rsidR="00BD6504" w:rsidRPr="00056379" w:rsidRDefault="00BD6504" w:rsidP="009408F6">
      <w:pPr>
        <w:pStyle w:val="Ttulo"/>
        <w:keepNext/>
        <w:keepLines/>
        <w:spacing w:before="720"/>
        <w:rPr>
          <w:rFonts w:cs="Arial"/>
          <w:b w:val="0"/>
          <w:smallCaps w:val="0"/>
          <w:sz w:val="20"/>
        </w:rPr>
      </w:pPr>
      <w:r w:rsidRPr="00056379">
        <w:rPr>
          <w:rFonts w:cs="Arial"/>
          <w:b w:val="0"/>
          <w:smallCaps w:val="0"/>
          <w:sz w:val="20"/>
        </w:rPr>
        <w:t>Gráfica 1</w:t>
      </w:r>
    </w:p>
    <w:p w14:paraId="7C71470F" w14:textId="77777777"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Oferta y Demanda Global de Bienes y Servicios </w:t>
      </w:r>
    </w:p>
    <w:p w14:paraId="20C010CC" w14:textId="2D1BD8C4" w:rsidR="00234428" w:rsidRPr="00234428" w:rsidRDefault="00234428" w:rsidP="00EC4770">
      <w:pPr>
        <w:pStyle w:val="p0"/>
        <w:keepNext/>
        <w:widowControl/>
        <w:spacing w:before="0" w:line="240" w:lineRule="atLeast"/>
        <w:jc w:val="center"/>
        <w:rPr>
          <w:rFonts w:cs="Arial"/>
          <w:b/>
          <w:smallCaps/>
          <w:snapToGrid/>
          <w:color w:val="auto"/>
          <w:sz w:val="22"/>
          <w:szCs w:val="22"/>
          <w:lang w:eastAsia="es-MX"/>
        </w:rPr>
      </w:pPr>
      <w:r w:rsidRPr="00234428">
        <w:rPr>
          <w:rFonts w:cs="Arial"/>
          <w:b/>
          <w:smallCaps/>
          <w:snapToGrid/>
          <w:color w:val="auto"/>
          <w:sz w:val="22"/>
          <w:szCs w:val="22"/>
          <w:lang w:eastAsia="es-MX"/>
        </w:rPr>
        <w:t xml:space="preserve">al </w:t>
      </w:r>
      <w:r w:rsidR="00097002">
        <w:rPr>
          <w:rFonts w:cs="Arial"/>
          <w:b/>
          <w:smallCaps/>
          <w:snapToGrid/>
          <w:color w:val="auto"/>
          <w:sz w:val="22"/>
          <w:szCs w:val="22"/>
          <w:lang w:eastAsia="es-MX"/>
        </w:rPr>
        <w:t>primer</w:t>
      </w:r>
      <w:r w:rsidRPr="00234428">
        <w:rPr>
          <w:rFonts w:cs="Arial"/>
          <w:b/>
          <w:smallCaps/>
          <w:snapToGrid/>
          <w:color w:val="auto"/>
          <w:sz w:val="22"/>
          <w:szCs w:val="22"/>
          <w:lang w:eastAsia="es-MX"/>
        </w:rPr>
        <w:t xml:space="preserve"> trimestre de 202</w:t>
      </w:r>
      <w:r w:rsidR="00097002">
        <w:rPr>
          <w:rFonts w:cs="Arial"/>
          <w:b/>
          <w:smallCaps/>
          <w:snapToGrid/>
          <w:color w:val="auto"/>
          <w:sz w:val="22"/>
          <w:szCs w:val="22"/>
          <w:lang w:eastAsia="es-MX"/>
        </w:rPr>
        <w:t>1</w:t>
      </w:r>
    </w:p>
    <w:p w14:paraId="03512FD0" w14:textId="77777777" w:rsidR="00234428" w:rsidRDefault="00234428" w:rsidP="00EC4770">
      <w:pPr>
        <w:pStyle w:val="p0"/>
        <w:keepNext/>
        <w:widowControl/>
        <w:spacing w:before="0" w:line="240" w:lineRule="atLeast"/>
        <w:jc w:val="center"/>
        <w:rPr>
          <w:rFonts w:asciiTheme="minorHAnsi" w:hAnsiTheme="minorHAnsi" w:cstheme="minorHAnsi"/>
          <w:b/>
          <w:smallCaps/>
          <w:snapToGrid/>
          <w:color w:val="auto"/>
          <w:sz w:val="18"/>
          <w:szCs w:val="18"/>
          <w:lang w:eastAsia="es-MX"/>
        </w:rPr>
      </w:pPr>
      <w:r w:rsidRPr="00234428">
        <w:rPr>
          <w:rFonts w:cs="Arial"/>
          <w:b/>
          <w:smallCaps/>
          <w:snapToGrid/>
          <w:color w:val="auto"/>
          <w:sz w:val="22"/>
          <w:szCs w:val="22"/>
          <w:lang w:eastAsia="es-MX"/>
        </w:rPr>
        <w:t>Series desestacionalizada y de tendencia-ciclo</w:t>
      </w:r>
    </w:p>
    <w:p w14:paraId="51B686F8" w14:textId="1C99C1B3" w:rsidR="00BD6504" w:rsidRPr="00EF651A" w:rsidRDefault="00BD6504" w:rsidP="00BD6504">
      <w:pPr>
        <w:jc w:val="center"/>
        <w:rPr>
          <w:rFonts w:ascii="Arial" w:hAnsi="Arial" w:cs="Arial"/>
          <w:sz w:val="18"/>
          <w:szCs w:val="18"/>
        </w:rPr>
      </w:pPr>
      <w:r w:rsidRPr="00EF651A">
        <w:rPr>
          <w:rFonts w:ascii="Arial" w:hAnsi="Arial" w:cs="Arial"/>
          <w:sz w:val="18"/>
          <w:szCs w:val="18"/>
        </w:rPr>
        <w:t>(Millones de pesos a precios de 20</w:t>
      </w:r>
      <w:r w:rsidR="00234428" w:rsidRPr="00EF651A">
        <w:rPr>
          <w:rFonts w:ascii="Arial" w:hAnsi="Arial" w:cs="Arial"/>
          <w:sz w:val="18"/>
          <w:szCs w:val="18"/>
        </w:rPr>
        <w:t>13</w:t>
      </w:r>
      <w:r w:rsidRPr="00EF651A">
        <w:rPr>
          <w:rFonts w:ascii="Arial" w:hAnsi="Arial" w:cs="Arial"/>
          <w:sz w:val="18"/>
          <w:szCs w:val="18"/>
        </w:rPr>
        <w:t>)</w:t>
      </w:r>
    </w:p>
    <w:p w14:paraId="6264B42E" w14:textId="10806475" w:rsidR="00BD6504" w:rsidRPr="00056379" w:rsidRDefault="001020D1" w:rsidP="00BD6504">
      <w:pPr>
        <w:jc w:val="center"/>
        <w:rPr>
          <w:rFonts w:ascii="Arial" w:hAnsi="Arial" w:cs="Arial"/>
        </w:rPr>
      </w:pPr>
      <w:r>
        <w:rPr>
          <w:noProof/>
          <w:snapToGrid/>
        </w:rPr>
        <w:drawing>
          <wp:inline distT="0" distB="0" distL="0" distR="0" wp14:anchorId="289A86D7" wp14:editId="1899C620">
            <wp:extent cx="4320000" cy="2160000"/>
            <wp:effectExtent l="0" t="0" r="23495" b="12065"/>
            <wp:docPr id="1"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612B9E" w14:textId="01992D5D" w:rsidR="00350D7D" w:rsidRPr="00D216D6" w:rsidRDefault="00350D7D" w:rsidP="00287157">
      <w:pPr>
        <w:pStyle w:val="p1"/>
        <w:keepLines w:val="0"/>
        <w:spacing w:before="0"/>
        <w:ind w:left="850" w:firstLine="143"/>
        <w:rPr>
          <w:rFonts w:cs="Arial"/>
          <w:color w:val="000000" w:themeColor="text1"/>
          <w:sz w:val="16"/>
          <w:szCs w:val="16"/>
        </w:rPr>
      </w:pPr>
      <w:r w:rsidRPr="00D216D6">
        <w:rPr>
          <w:rFonts w:cs="Arial"/>
          <w:color w:val="000000"/>
          <w:sz w:val="16"/>
          <w:szCs w:val="16"/>
        </w:rPr>
        <w:t>Fuente:  INEGI</w:t>
      </w:r>
      <w:r w:rsidRPr="00D216D6">
        <w:rPr>
          <w:rFonts w:cs="Arial"/>
          <w:color w:val="000000" w:themeColor="text1"/>
          <w:sz w:val="16"/>
          <w:szCs w:val="16"/>
        </w:rPr>
        <w:t>.</w:t>
      </w:r>
    </w:p>
    <w:p w14:paraId="6C6DFD15" w14:textId="52930697" w:rsidR="00E972F1" w:rsidRDefault="00E972F1" w:rsidP="00350D7D">
      <w:pPr>
        <w:pStyle w:val="p1"/>
        <w:keepLines w:val="0"/>
        <w:spacing w:before="0"/>
        <w:ind w:left="850" w:firstLine="566"/>
        <w:rPr>
          <w:rFonts w:cs="Arial"/>
          <w:color w:val="000000" w:themeColor="text1"/>
          <w:sz w:val="18"/>
          <w:szCs w:val="18"/>
        </w:rPr>
      </w:pPr>
    </w:p>
    <w:p w14:paraId="104AE632" w14:textId="77777777" w:rsidR="009534C4" w:rsidRDefault="009534C4" w:rsidP="00215B14">
      <w:pPr>
        <w:pStyle w:val="p1"/>
        <w:keepLines w:val="0"/>
        <w:spacing w:before="120"/>
        <w:rPr>
          <w:color w:val="000000" w:themeColor="text1"/>
        </w:rPr>
      </w:pPr>
    </w:p>
    <w:p w14:paraId="75D6F514" w14:textId="77777777" w:rsidR="009534C4" w:rsidRDefault="009534C4" w:rsidP="00215B14">
      <w:pPr>
        <w:pStyle w:val="p1"/>
        <w:keepLines w:val="0"/>
        <w:spacing w:before="120"/>
        <w:rPr>
          <w:color w:val="000000" w:themeColor="text1"/>
        </w:rPr>
      </w:pPr>
    </w:p>
    <w:p w14:paraId="6D70ACE3" w14:textId="3B52E2E3" w:rsidR="00E972F1" w:rsidRDefault="00E972F1" w:rsidP="00215B14">
      <w:pPr>
        <w:pStyle w:val="p1"/>
        <w:keepLines w:val="0"/>
        <w:spacing w:before="120"/>
        <w:rPr>
          <w:color w:val="000000"/>
        </w:rPr>
      </w:pPr>
      <w:r>
        <w:rPr>
          <w:color w:val="000000" w:themeColor="text1"/>
        </w:rPr>
        <w:t>Al interior de la Oferta</w:t>
      </w:r>
      <w:r w:rsidRPr="00BB2BAB">
        <w:rPr>
          <w:color w:val="000000" w:themeColor="text1"/>
        </w:rPr>
        <w:t xml:space="preserve">, el Producto Interno Bruto aumentó </w:t>
      </w:r>
      <w:r w:rsidR="002228CB">
        <w:rPr>
          <w:color w:val="000000" w:themeColor="text1"/>
        </w:rPr>
        <w:t>0.8</w:t>
      </w:r>
      <w:r w:rsidRPr="00BB2BAB">
        <w:rPr>
          <w:color w:val="000000" w:themeColor="text1"/>
        </w:rPr>
        <w:t>%</w:t>
      </w:r>
      <w:r>
        <w:rPr>
          <w:color w:val="000000" w:themeColor="text1"/>
        </w:rPr>
        <w:t xml:space="preserve"> y</w:t>
      </w:r>
      <w:r w:rsidRPr="00BB2BAB">
        <w:rPr>
          <w:color w:val="000000" w:themeColor="text1"/>
        </w:rPr>
        <w:t xml:space="preserve"> las Importaciones de Bienes y Servicios </w:t>
      </w:r>
      <w:r w:rsidR="004F0905">
        <w:rPr>
          <w:color w:val="000000" w:themeColor="text1"/>
        </w:rPr>
        <w:t>5.9</w:t>
      </w:r>
      <w:r w:rsidRPr="00BB2BAB">
        <w:rPr>
          <w:color w:val="000000" w:themeColor="text1"/>
        </w:rPr>
        <w:t xml:space="preserve">% </w:t>
      </w:r>
      <w:r w:rsidR="00426883">
        <w:rPr>
          <w:color w:val="000000" w:themeColor="text1"/>
        </w:rPr>
        <w:t xml:space="preserve">en el trimestre de referencia </w:t>
      </w:r>
      <w:r w:rsidRPr="00BB2BAB">
        <w:rPr>
          <w:color w:val="000000" w:themeColor="text1"/>
        </w:rPr>
        <w:t xml:space="preserve">frente a las </w:t>
      </w:r>
      <w:r w:rsidR="00867F7A">
        <w:rPr>
          <w:color w:val="000000" w:themeColor="text1"/>
        </w:rPr>
        <w:t>de un</w:t>
      </w:r>
      <w:r w:rsidRPr="00BB2BAB">
        <w:rPr>
          <w:color w:val="000000" w:themeColor="text1"/>
        </w:rPr>
        <w:t xml:space="preserve"> trimestre </w:t>
      </w:r>
      <w:r w:rsidR="00867F7A">
        <w:rPr>
          <w:color w:val="000000" w:themeColor="text1"/>
        </w:rPr>
        <w:t>antes</w:t>
      </w:r>
      <w:r w:rsidRPr="00BB2BAB">
        <w:rPr>
          <w:color w:val="000000" w:themeColor="text1"/>
        </w:rPr>
        <w:t>.</w:t>
      </w:r>
    </w:p>
    <w:p w14:paraId="293F1D78" w14:textId="77777777" w:rsidR="004672C5" w:rsidRDefault="004672C5" w:rsidP="00921772">
      <w:pPr>
        <w:pStyle w:val="Ttulo"/>
        <w:keepNext/>
        <w:keepLines/>
        <w:spacing w:before="240"/>
        <w:rPr>
          <w:rFonts w:cs="Arial"/>
          <w:b w:val="0"/>
          <w:smallCaps w:val="0"/>
          <w:sz w:val="20"/>
        </w:rPr>
      </w:pPr>
    </w:p>
    <w:p w14:paraId="255BCBB7" w14:textId="3A9181A9" w:rsidR="004672C5" w:rsidRDefault="004672C5">
      <w:pPr>
        <w:widowControl/>
        <w:rPr>
          <w:rFonts w:ascii="Arial" w:hAnsi="Arial" w:cs="Arial"/>
          <w:snapToGrid/>
          <w:lang w:val="es-ES"/>
        </w:rPr>
      </w:pPr>
      <w:r>
        <w:rPr>
          <w:rFonts w:cs="Arial"/>
          <w:b/>
          <w:smallCaps/>
        </w:rPr>
        <w:br w:type="page"/>
      </w:r>
    </w:p>
    <w:p w14:paraId="0060BFDD" w14:textId="77777777" w:rsidR="004672C5" w:rsidRDefault="004672C5" w:rsidP="00921772">
      <w:pPr>
        <w:pStyle w:val="Ttulo"/>
        <w:keepNext/>
        <w:keepLines/>
        <w:spacing w:before="240"/>
        <w:rPr>
          <w:rFonts w:cs="Arial"/>
          <w:b w:val="0"/>
          <w:smallCaps w:val="0"/>
          <w:sz w:val="20"/>
        </w:rPr>
      </w:pPr>
    </w:p>
    <w:p w14:paraId="46D31D3F" w14:textId="1AAD38A9" w:rsidR="00F413DA" w:rsidRDefault="00F413DA" w:rsidP="00921772">
      <w:pPr>
        <w:pStyle w:val="Ttulo"/>
        <w:keepNext/>
        <w:keepLines/>
        <w:spacing w:before="240"/>
        <w:rPr>
          <w:rFonts w:cs="Arial"/>
          <w:b w:val="0"/>
          <w:smallCaps w:val="0"/>
          <w:sz w:val="20"/>
        </w:rPr>
      </w:pPr>
      <w:r w:rsidRPr="00056379">
        <w:rPr>
          <w:rFonts w:cs="Arial"/>
          <w:b w:val="0"/>
          <w:smallCaps w:val="0"/>
          <w:sz w:val="20"/>
        </w:rPr>
        <w:t xml:space="preserve">Gráfica </w:t>
      </w:r>
      <w:r>
        <w:rPr>
          <w:rFonts w:cs="Arial"/>
          <w:b w:val="0"/>
          <w:smallCaps w:val="0"/>
          <w:sz w:val="20"/>
        </w:rPr>
        <w:t>2</w:t>
      </w:r>
    </w:p>
    <w:p w14:paraId="3555AF63" w14:textId="6B867B22" w:rsidR="002306D9" w:rsidRPr="002306D9" w:rsidRDefault="002306D9" w:rsidP="002306D9">
      <w:pPr>
        <w:pStyle w:val="Ttulo"/>
        <w:keepNext/>
        <w:keepLines/>
        <w:rPr>
          <w:rFonts w:cs="Arial"/>
          <w:sz w:val="22"/>
        </w:rPr>
      </w:pPr>
      <w:r w:rsidRPr="002306D9">
        <w:rPr>
          <w:rFonts w:cs="Arial"/>
          <w:sz w:val="22"/>
        </w:rPr>
        <w:t xml:space="preserve">Producto Interno Bruto al </w:t>
      </w:r>
      <w:r w:rsidR="00426883">
        <w:rPr>
          <w:rFonts w:cs="Arial"/>
          <w:sz w:val="22"/>
        </w:rPr>
        <w:t>primer</w:t>
      </w:r>
      <w:r w:rsidRPr="002306D9">
        <w:rPr>
          <w:rFonts w:cs="Arial"/>
          <w:sz w:val="22"/>
        </w:rPr>
        <w:t xml:space="preserve"> trimestre de 202</w:t>
      </w:r>
      <w:r w:rsidR="00426883">
        <w:rPr>
          <w:rFonts w:cs="Arial"/>
          <w:sz w:val="22"/>
        </w:rPr>
        <w:t>1</w:t>
      </w:r>
    </w:p>
    <w:p w14:paraId="333625F5" w14:textId="77777777" w:rsidR="002306D9" w:rsidRDefault="002306D9" w:rsidP="002306D9">
      <w:pPr>
        <w:pStyle w:val="Ttulo"/>
        <w:keepNext/>
        <w:keepLines/>
        <w:rPr>
          <w:rFonts w:asciiTheme="minorHAnsi" w:hAnsiTheme="minorHAnsi" w:cstheme="minorHAnsi"/>
          <w:b w:val="0"/>
          <w:smallCaps w:val="0"/>
          <w:sz w:val="18"/>
          <w:szCs w:val="18"/>
          <w:lang w:eastAsia="es-MX"/>
        </w:rPr>
      </w:pPr>
      <w:r w:rsidRPr="002306D9">
        <w:rPr>
          <w:rFonts w:cs="Arial"/>
          <w:sz w:val="22"/>
        </w:rPr>
        <w:t>Series desestacionalizada y de tendencia-ciclo</w:t>
      </w:r>
    </w:p>
    <w:p w14:paraId="53A2EB79" w14:textId="3531B865" w:rsidR="00D247C1" w:rsidRPr="00100026" w:rsidRDefault="002306D9" w:rsidP="008068F1">
      <w:pPr>
        <w:pStyle w:val="Textoindependiente"/>
        <w:spacing w:before="0"/>
        <w:jc w:val="center"/>
        <w:rPr>
          <w:rFonts w:cs="Arial"/>
          <w:szCs w:val="22"/>
        </w:rPr>
      </w:pPr>
      <w:r w:rsidRPr="00100026">
        <w:rPr>
          <w:rFonts w:cs="Arial"/>
          <w:sz w:val="18"/>
        </w:rPr>
        <w:t>(Millones de pesos a precios de 2013)</w:t>
      </w:r>
    </w:p>
    <w:p w14:paraId="6A461F9C" w14:textId="7735C769" w:rsidR="002306D9" w:rsidRDefault="000F70EB" w:rsidP="002147B4">
      <w:pPr>
        <w:pStyle w:val="Ttulo"/>
        <w:keepNext/>
        <w:keepLines/>
        <w:ind w:left="1276"/>
        <w:jc w:val="left"/>
        <w:rPr>
          <w:noProof/>
        </w:rPr>
      </w:pPr>
      <w:r>
        <w:rPr>
          <w:noProof/>
        </w:rPr>
        <w:drawing>
          <wp:inline distT="0" distB="0" distL="0" distR="0" wp14:anchorId="652FF79C" wp14:editId="5FC1B2C1">
            <wp:extent cx="3960000" cy="2520000"/>
            <wp:effectExtent l="0" t="0" r="21590" b="33020"/>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85F625" w14:textId="28162F8A" w:rsidR="00921772" w:rsidRPr="00D216D6" w:rsidRDefault="00921772" w:rsidP="00F3597C">
      <w:pPr>
        <w:pStyle w:val="Ttulo"/>
        <w:keepNext/>
        <w:keepLines/>
        <w:ind w:left="1418"/>
        <w:jc w:val="both"/>
        <w:rPr>
          <w:rFonts w:cs="Arial"/>
          <w:b w:val="0"/>
          <w:bCs/>
          <w:szCs w:val="22"/>
        </w:rPr>
      </w:pPr>
      <w:r w:rsidRPr="00D216D6">
        <w:rPr>
          <w:rFonts w:cs="Arial"/>
          <w:b w:val="0"/>
          <w:smallCaps w:val="0"/>
          <w:snapToGrid w:val="0"/>
          <w:color w:val="000000"/>
          <w:sz w:val="16"/>
          <w:szCs w:val="16"/>
          <w:lang w:val="es-ES_tradnl"/>
        </w:rPr>
        <w:t>Fuente:  INEGI</w:t>
      </w:r>
      <w:r w:rsidRPr="00D216D6">
        <w:rPr>
          <w:rFonts w:cs="Arial"/>
          <w:b w:val="0"/>
          <w:bCs/>
          <w:color w:val="000000" w:themeColor="text1"/>
          <w:sz w:val="16"/>
          <w:szCs w:val="16"/>
        </w:rPr>
        <w:t>.</w:t>
      </w:r>
    </w:p>
    <w:p w14:paraId="2BEBAB27" w14:textId="16F6A656" w:rsidR="00F3597C" w:rsidRDefault="00F3597C" w:rsidP="00921772">
      <w:pPr>
        <w:pStyle w:val="Ttulo"/>
        <w:keepNext/>
        <w:keepLines/>
        <w:spacing w:before="240"/>
        <w:rPr>
          <w:rFonts w:asciiTheme="minorHAnsi" w:hAnsiTheme="minorHAnsi" w:cstheme="minorHAnsi"/>
          <w:b w:val="0"/>
          <w:smallCaps w:val="0"/>
          <w:sz w:val="20"/>
          <w:lang w:eastAsia="es-MX"/>
        </w:rPr>
      </w:pPr>
      <w:r w:rsidRPr="00056379">
        <w:rPr>
          <w:rFonts w:cs="Arial"/>
          <w:b w:val="0"/>
          <w:smallCaps w:val="0"/>
          <w:sz w:val="20"/>
        </w:rPr>
        <w:t xml:space="preserve">Gráfica </w:t>
      </w:r>
      <w:r>
        <w:rPr>
          <w:rFonts w:cs="Arial"/>
          <w:b w:val="0"/>
          <w:smallCaps w:val="0"/>
          <w:sz w:val="20"/>
        </w:rPr>
        <w:t>3</w:t>
      </w:r>
    </w:p>
    <w:p w14:paraId="2468F70D" w14:textId="7DC28EC2" w:rsidR="00F3597C" w:rsidRPr="00F3597C" w:rsidRDefault="00F3597C" w:rsidP="00F3597C">
      <w:pPr>
        <w:pStyle w:val="Ttulo"/>
        <w:keepNext/>
        <w:keepLines/>
        <w:rPr>
          <w:rFonts w:cs="Arial"/>
          <w:sz w:val="22"/>
        </w:rPr>
      </w:pPr>
      <w:r w:rsidRPr="00F3597C">
        <w:rPr>
          <w:rFonts w:cs="Arial"/>
          <w:sz w:val="22"/>
        </w:rPr>
        <w:t xml:space="preserve">Importación de Bienes y Servicios </w:t>
      </w:r>
    </w:p>
    <w:p w14:paraId="69DA6265" w14:textId="1B34D325" w:rsidR="00F3597C" w:rsidRPr="00F3597C" w:rsidRDefault="00F3597C" w:rsidP="00F3597C">
      <w:pPr>
        <w:pStyle w:val="Ttulo"/>
        <w:keepNext/>
        <w:keepLines/>
        <w:rPr>
          <w:rFonts w:cs="Arial"/>
          <w:sz w:val="22"/>
        </w:rPr>
      </w:pPr>
      <w:r w:rsidRPr="00F3597C">
        <w:rPr>
          <w:rFonts w:cs="Arial"/>
          <w:sz w:val="22"/>
        </w:rPr>
        <w:t xml:space="preserve">al </w:t>
      </w:r>
      <w:r w:rsidR="00426883">
        <w:rPr>
          <w:rFonts w:cs="Arial"/>
          <w:sz w:val="22"/>
        </w:rPr>
        <w:t>primer</w:t>
      </w:r>
      <w:r w:rsidRPr="00F3597C">
        <w:rPr>
          <w:rFonts w:cs="Arial"/>
          <w:sz w:val="22"/>
        </w:rPr>
        <w:t xml:space="preserve"> trimestre de 202</w:t>
      </w:r>
      <w:r w:rsidR="00426883">
        <w:rPr>
          <w:rFonts w:cs="Arial"/>
          <w:sz w:val="22"/>
        </w:rPr>
        <w:t>1</w:t>
      </w:r>
    </w:p>
    <w:p w14:paraId="79FDBCA1" w14:textId="77777777" w:rsidR="00F3597C" w:rsidRPr="00F3597C" w:rsidRDefault="00F3597C" w:rsidP="00F3597C">
      <w:pPr>
        <w:pStyle w:val="Ttulo"/>
        <w:keepNext/>
        <w:keepLines/>
        <w:rPr>
          <w:rFonts w:cs="Arial"/>
          <w:sz w:val="22"/>
        </w:rPr>
      </w:pPr>
      <w:r w:rsidRPr="00F3597C">
        <w:rPr>
          <w:rFonts w:cs="Arial"/>
          <w:sz w:val="22"/>
        </w:rPr>
        <w:t>Series desestacionalizada y de tendencia-ciclo</w:t>
      </w:r>
    </w:p>
    <w:p w14:paraId="163A5F48" w14:textId="77777777" w:rsidR="00F3597C" w:rsidRPr="00100026" w:rsidRDefault="00F3597C" w:rsidP="00F35110">
      <w:pPr>
        <w:pStyle w:val="Textoindependiente"/>
        <w:keepNext/>
        <w:keepLines/>
        <w:spacing w:before="0"/>
        <w:jc w:val="center"/>
        <w:rPr>
          <w:rFonts w:cs="Arial"/>
          <w:sz w:val="18"/>
        </w:rPr>
      </w:pPr>
      <w:r w:rsidRPr="00100026">
        <w:rPr>
          <w:rFonts w:cs="Arial"/>
          <w:sz w:val="18"/>
        </w:rPr>
        <w:t>(Millones de pesos a precios de 2013)</w:t>
      </w:r>
    </w:p>
    <w:p w14:paraId="1DC0366E" w14:textId="2BA69929" w:rsidR="00F3597C" w:rsidRDefault="00DE4D5F" w:rsidP="00F3597C">
      <w:pPr>
        <w:pStyle w:val="p1"/>
        <w:keepLines w:val="0"/>
        <w:spacing w:before="0"/>
        <w:ind w:left="142"/>
        <w:jc w:val="center"/>
        <w:rPr>
          <w:rFonts w:cs="Arial"/>
          <w:color w:val="000000"/>
          <w:sz w:val="18"/>
          <w:szCs w:val="18"/>
        </w:rPr>
      </w:pPr>
      <w:r>
        <w:rPr>
          <w:noProof/>
          <w:snapToGrid/>
        </w:rPr>
        <w:drawing>
          <wp:inline distT="0" distB="0" distL="0" distR="0" wp14:anchorId="314E79BC" wp14:editId="408EE1C0">
            <wp:extent cx="3960000" cy="2520000"/>
            <wp:effectExtent l="0" t="0" r="21590" b="13970"/>
            <wp:docPr id="12" name="Gráfico 12">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6D8D84B" w14:textId="20ACBC4A" w:rsidR="00F413DA" w:rsidRPr="00D216D6" w:rsidRDefault="00F413DA" w:rsidP="00F3597C">
      <w:pPr>
        <w:pStyle w:val="p1"/>
        <w:keepLines w:val="0"/>
        <w:spacing w:before="0"/>
        <w:ind w:left="850" w:firstLine="566"/>
        <w:rPr>
          <w:color w:val="000000"/>
          <w:sz w:val="22"/>
          <w:szCs w:val="18"/>
        </w:rPr>
      </w:pPr>
      <w:r w:rsidRPr="00D216D6">
        <w:rPr>
          <w:rFonts w:cs="Arial"/>
          <w:color w:val="000000"/>
          <w:sz w:val="16"/>
          <w:szCs w:val="16"/>
        </w:rPr>
        <w:t>Fuente:  INEGI</w:t>
      </w:r>
      <w:r w:rsidRPr="00D216D6">
        <w:rPr>
          <w:rFonts w:cs="Arial"/>
          <w:color w:val="000000" w:themeColor="text1"/>
          <w:sz w:val="16"/>
          <w:szCs w:val="16"/>
        </w:rPr>
        <w:t>.</w:t>
      </w:r>
    </w:p>
    <w:p w14:paraId="4924666F" w14:textId="77777777" w:rsidR="00BA555B" w:rsidRDefault="00BA555B" w:rsidP="003C29DC">
      <w:pPr>
        <w:pStyle w:val="p1"/>
        <w:keepLines w:val="0"/>
        <w:spacing w:before="240"/>
        <w:rPr>
          <w:color w:val="000000" w:themeColor="text1"/>
        </w:rPr>
      </w:pPr>
    </w:p>
    <w:p w14:paraId="40DF4853" w14:textId="77777777" w:rsidR="009408F6" w:rsidRDefault="009408F6" w:rsidP="00D216D6">
      <w:pPr>
        <w:pStyle w:val="p1"/>
        <w:keepLines w:val="0"/>
        <w:spacing w:before="120"/>
        <w:rPr>
          <w:color w:val="000000" w:themeColor="text1"/>
        </w:rPr>
      </w:pPr>
    </w:p>
    <w:p w14:paraId="320C41D4" w14:textId="77777777" w:rsidR="009408F6" w:rsidRDefault="009408F6" w:rsidP="00D216D6">
      <w:pPr>
        <w:pStyle w:val="p1"/>
        <w:keepLines w:val="0"/>
        <w:spacing w:before="120"/>
        <w:rPr>
          <w:color w:val="000000" w:themeColor="text1"/>
        </w:rPr>
      </w:pPr>
    </w:p>
    <w:p w14:paraId="6E9027F4" w14:textId="77777777" w:rsidR="009408F6" w:rsidRDefault="009408F6" w:rsidP="00D216D6">
      <w:pPr>
        <w:pStyle w:val="p1"/>
        <w:keepLines w:val="0"/>
        <w:spacing w:before="120"/>
        <w:rPr>
          <w:color w:val="000000" w:themeColor="text1"/>
        </w:rPr>
      </w:pPr>
    </w:p>
    <w:p w14:paraId="67EE7F93" w14:textId="1B462F45" w:rsidR="00120B12" w:rsidRDefault="003C29DC" w:rsidP="00D216D6">
      <w:pPr>
        <w:pStyle w:val="p1"/>
        <w:keepLines w:val="0"/>
        <w:spacing w:before="120"/>
        <w:rPr>
          <w:color w:val="000000" w:themeColor="text1"/>
        </w:rPr>
      </w:pPr>
      <w:r w:rsidRPr="003C29DC">
        <w:rPr>
          <w:color w:val="000000" w:themeColor="text1"/>
        </w:rPr>
        <w:t xml:space="preserve">En su comparación anual con cifras desestacionalizadas, la Oferta Global cayó </w:t>
      </w:r>
      <w:r w:rsidR="004F0905">
        <w:rPr>
          <w:color w:val="000000" w:themeColor="text1"/>
        </w:rPr>
        <w:t>2</w:t>
      </w:r>
      <w:r w:rsidRPr="003C29DC">
        <w:rPr>
          <w:color w:val="000000" w:themeColor="text1"/>
        </w:rPr>
        <w:t xml:space="preserve"> por ciento. </w:t>
      </w:r>
      <w:r w:rsidR="00921772">
        <w:rPr>
          <w:color w:val="000000" w:themeColor="text1"/>
        </w:rPr>
        <w:t>A su interior</w:t>
      </w:r>
      <w:r w:rsidRPr="003C29DC">
        <w:rPr>
          <w:color w:val="000000" w:themeColor="text1"/>
        </w:rPr>
        <w:t xml:space="preserve">, el Producto Interno Bruto se redujo </w:t>
      </w:r>
      <w:r w:rsidR="004F0905">
        <w:rPr>
          <w:color w:val="000000" w:themeColor="text1"/>
        </w:rPr>
        <w:t>2.8</w:t>
      </w:r>
      <w:r w:rsidRPr="003C29DC">
        <w:rPr>
          <w:color w:val="000000" w:themeColor="text1"/>
        </w:rPr>
        <w:t>% y las Importaciones de Bienes y Servicios</w:t>
      </w:r>
      <w:r w:rsidR="004F0905">
        <w:rPr>
          <w:color w:val="000000" w:themeColor="text1"/>
        </w:rPr>
        <w:t xml:space="preserve"> crecieron 0.7</w:t>
      </w:r>
      <w:r w:rsidR="00A17A39">
        <w:rPr>
          <w:color w:val="000000" w:themeColor="text1"/>
        </w:rPr>
        <w:t>%</w:t>
      </w:r>
      <w:r w:rsidRPr="003C29DC">
        <w:rPr>
          <w:color w:val="000000" w:themeColor="text1"/>
        </w:rPr>
        <w:t xml:space="preserve"> </w:t>
      </w:r>
      <w:r>
        <w:rPr>
          <w:color w:val="000000" w:themeColor="text1"/>
        </w:rPr>
        <w:t xml:space="preserve">en el </w:t>
      </w:r>
      <w:r w:rsidR="00426883">
        <w:rPr>
          <w:color w:val="000000" w:themeColor="text1"/>
        </w:rPr>
        <w:t>primer</w:t>
      </w:r>
      <w:r>
        <w:rPr>
          <w:color w:val="000000" w:themeColor="text1"/>
        </w:rPr>
        <w:t xml:space="preserve"> trimestre de 202</w:t>
      </w:r>
      <w:r w:rsidR="00426883">
        <w:rPr>
          <w:color w:val="000000" w:themeColor="text1"/>
        </w:rPr>
        <w:t>1</w:t>
      </w:r>
      <w:r>
        <w:rPr>
          <w:color w:val="000000" w:themeColor="text1"/>
        </w:rPr>
        <w:t xml:space="preserve"> frente a igual trimestre de 20</w:t>
      </w:r>
      <w:r w:rsidR="00426883">
        <w:rPr>
          <w:color w:val="000000" w:themeColor="text1"/>
        </w:rPr>
        <w:t>20</w:t>
      </w:r>
      <w:r w:rsidRPr="003C29DC">
        <w:rPr>
          <w:color w:val="000000" w:themeColor="text1"/>
        </w:rPr>
        <w:t>.</w:t>
      </w:r>
    </w:p>
    <w:p w14:paraId="5AA3C4C7" w14:textId="77777777" w:rsidR="000E7FFC" w:rsidRDefault="000E7FFC" w:rsidP="00BA555B">
      <w:pPr>
        <w:pStyle w:val="p1"/>
        <w:keepNext/>
        <w:widowControl/>
        <w:spacing w:before="240"/>
        <w:rPr>
          <w:color w:val="auto"/>
        </w:rPr>
      </w:pPr>
      <w:r>
        <w:rPr>
          <w:b/>
          <w:i/>
          <w:color w:val="auto"/>
        </w:rPr>
        <w:t>Demanda Global de Bienes y Servicios</w:t>
      </w:r>
    </w:p>
    <w:p w14:paraId="55C9BFC4" w14:textId="162021B6" w:rsidR="000E7FFC" w:rsidRDefault="000E7FFC" w:rsidP="00D216D6">
      <w:pPr>
        <w:pStyle w:val="p1"/>
        <w:keepLines w:val="0"/>
        <w:spacing w:before="240"/>
        <w:rPr>
          <w:color w:val="000000" w:themeColor="text1"/>
        </w:rPr>
      </w:pPr>
      <w:r w:rsidRPr="000E7FFC">
        <w:rPr>
          <w:color w:val="000000" w:themeColor="text1"/>
        </w:rPr>
        <w:t xml:space="preserve">Por su parte, los componentes de la Demanda Global </w:t>
      </w:r>
      <w:r w:rsidR="00A259A3" w:rsidRPr="00BD691B">
        <w:rPr>
          <w:color w:val="000000"/>
        </w:rPr>
        <w:t xml:space="preserve">mostraron el siguiente comportamiento en el trimestre de referencia respecto al trimestre anterior: la Formación Bruta de Capital Fijo </w:t>
      </w:r>
      <w:r w:rsidR="00A259A3">
        <w:rPr>
          <w:color w:val="000000"/>
        </w:rPr>
        <w:t>se incrementó 5.3</w:t>
      </w:r>
      <w:r w:rsidR="00A259A3" w:rsidRPr="00BD691B">
        <w:rPr>
          <w:color w:val="000000"/>
        </w:rPr>
        <w:t xml:space="preserve">%, el Consumo Privado </w:t>
      </w:r>
      <w:r w:rsidR="00A259A3">
        <w:rPr>
          <w:color w:val="000000"/>
        </w:rPr>
        <w:t>2.9</w:t>
      </w:r>
      <w:r w:rsidR="00A259A3" w:rsidRPr="00BD691B">
        <w:rPr>
          <w:color w:val="000000"/>
        </w:rPr>
        <w:t xml:space="preserve">% y el Consumo de Gobierno </w:t>
      </w:r>
      <w:r w:rsidR="00A259A3">
        <w:rPr>
          <w:color w:val="000000"/>
        </w:rPr>
        <w:t>lo hizo en</w:t>
      </w:r>
      <w:r w:rsidR="00A259A3" w:rsidRPr="00BD691B">
        <w:rPr>
          <w:color w:val="000000"/>
        </w:rPr>
        <w:t xml:space="preserve"> </w:t>
      </w:r>
      <w:r w:rsidR="00A259A3">
        <w:rPr>
          <w:color w:val="000000"/>
        </w:rPr>
        <w:t>0.5</w:t>
      </w:r>
      <w:r w:rsidR="00A259A3" w:rsidRPr="00BD691B">
        <w:rPr>
          <w:color w:val="000000"/>
        </w:rPr>
        <w:t>%</w:t>
      </w:r>
      <w:r w:rsidR="00A259A3">
        <w:rPr>
          <w:color w:val="000000"/>
        </w:rPr>
        <w:t>, en tanto que las</w:t>
      </w:r>
      <w:r w:rsidR="00A259A3" w:rsidRPr="00BD691B">
        <w:rPr>
          <w:color w:val="000000"/>
        </w:rPr>
        <w:t xml:space="preserve"> Exportaciones de Bienes y Servicios </w:t>
      </w:r>
      <w:r w:rsidR="00A259A3">
        <w:rPr>
          <w:color w:val="000000"/>
        </w:rPr>
        <w:t>retrocedieron 3.3</w:t>
      </w:r>
      <w:r w:rsidR="00A259A3" w:rsidRPr="00BD691B">
        <w:rPr>
          <w:color w:val="000000"/>
        </w:rPr>
        <w:t>%</w:t>
      </w:r>
      <w:r w:rsidR="00A259A3">
        <w:rPr>
          <w:color w:val="000000"/>
        </w:rPr>
        <w:t xml:space="preserve"> </w:t>
      </w:r>
      <w:r w:rsidR="00A259A3" w:rsidRPr="00BD691B">
        <w:rPr>
          <w:color w:val="000000"/>
        </w:rPr>
        <w:t xml:space="preserve">con </w:t>
      </w:r>
      <w:r w:rsidR="00F35110">
        <w:rPr>
          <w:color w:val="000000"/>
        </w:rPr>
        <w:t>series</w:t>
      </w:r>
      <w:r w:rsidR="00A259A3" w:rsidRPr="00BD691B">
        <w:rPr>
          <w:color w:val="000000"/>
        </w:rPr>
        <w:t xml:space="preserve"> desestacionalizadas.</w:t>
      </w:r>
    </w:p>
    <w:p w14:paraId="5EF9ADBB" w14:textId="15D7C140" w:rsidR="00455638" w:rsidRDefault="00455638" w:rsidP="00D216D6">
      <w:pPr>
        <w:pStyle w:val="Ttulo"/>
        <w:keepNext/>
        <w:keepLines/>
        <w:spacing w:before="360"/>
        <w:rPr>
          <w:rFonts w:cs="Arial"/>
          <w:sz w:val="22"/>
        </w:rPr>
      </w:pPr>
      <w:r w:rsidRPr="00056379">
        <w:rPr>
          <w:rFonts w:cs="Arial"/>
          <w:b w:val="0"/>
          <w:smallCaps w:val="0"/>
          <w:sz w:val="20"/>
        </w:rPr>
        <w:t xml:space="preserve">Gráfica </w:t>
      </w:r>
      <w:r w:rsidR="00F3597C">
        <w:rPr>
          <w:rFonts w:cs="Arial"/>
          <w:b w:val="0"/>
          <w:smallCaps w:val="0"/>
          <w:sz w:val="20"/>
        </w:rPr>
        <w:t>4</w:t>
      </w:r>
    </w:p>
    <w:p w14:paraId="00087056" w14:textId="7BB26CFF" w:rsidR="00F3597C" w:rsidRPr="00F3597C" w:rsidRDefault="00F3597C" w:rsidP="00F3597C">
      <w:pPr>
        <w:pStyle w:val="Ttulo"/>
        <w:keepNext/>
        <w:keepLines/>
        <w:rPr>
          <w:rFonts w:cs="Arial"/>
          <w:sz w:val="22"/>
        </w:rPr>
      </w:pPr>
      <w:r w:rsidRPr="00F3597C">
        <w:rPr>
          <w:rFonts w:cs="Arial"/>
          <w:sz w:val="22"/>
        </w:rPr>
        <w:t xml:space="preserve">Consumo Privado al </w:t>
      </w:r>
      <w:r w:rsidR="00426883">
        <w:rPr>
          <w:rFonts w:cs="Arial"/>
          <w:sz w:val="22"/>
        </w:rPr>
        <w:t>primer</w:t>
      </w:r>
      <w:r w:rsidRPr="00F3597C">
        <w:rPr>
          <w:rFonts w:cs="Arial"/>
          <w:sz w:val="22"/>
        </w:rPr>
        <w:t xml:space="preserve"> trimestre de 202</w:t>
      </w:r>
      <w:r w:rsidR="00426883">
        <w:rPr>
          <w:rFonts w:cs="Arial"/>
          <w:sz w:val="22"/>
        </w:rPr>
        <w:t>1</w:t>
      </w:r>
    </w:p>
    <w:p w14:paraId="5ECA4E49" w14:textId="77777777" w:rsidR="00F3597C" w:rsidRPr="00F3597C" w:rsidRDefault="00F3597C" w:rsidP="00F3597C">
      <w:pPr>
        <w:pStyle w:val="Ttulo"/>
        <w:keepNext/>
        <w:keepLines/>
        <w:rPr>
          <w:rFonts w:cs="Arial"/>
          <w:sz w:val="22"/>
        </w:rPr>
      </w:pPr>
      <w:r w:rsidRPr="00F3597C">
        <w:rPr>
          <w:rFonts w:cs="Arial"/>
          <w:sz w:val="22"/>
        </w:rPr>
        <w:t>Series desestacionalizada y de tendencia-ciclo</w:t>
      </w:r>
    </w:p>
    <w:p w14:paraId="32F57BA7" w14:textId="274708D5" w:rsidR="00F3597C" w:rsidRPr="00100026" w:rsidRDefault="00F3597C" w:rsidP="00F3597C">
      <w:pPr>
        <w:pStyle w:val="Ttulo"/>
        <w:keepNext/>
        <w:keepLines/>
        <w:rPr>
          <w:rFonts w:cs="Arial"/>
          <w:b w:val="0"/>
          <w:bCs/>
          <w:smallCaps w:val="0"/>
          <w:szCs w:val="22"/>
        </w:rPr>
      </w:pPr>
      <w:r w:rsidRPr="00100026">
        <w:rPr>
          <w:rFonts w:cs="Arial"/>
          <w:b w:val="0"/>
          <w:bCs/>
          <w:smallCaps w:val="0"/>
          <w:sz w:val="18"/>
        </w:rPr>
        <w:t>(Millones de pesos a precios de 2013)</w:t>
      </w:r>
    </w:p>
    <w:p w14:paraId="003F8180" w14:textId="576F6E03" w:rsidR="00455638" w:rsidRDefault="001D3564" w:rsidP="00455638">
      <w:pPr>
        <w:keepNext/>
        <w:keepLines/>
        <w:jc w:val="center"/>
        <w:rPr>
          <w:rFonts w:ascii="Arial" w:hAnsi="Arial" w:cs="Arial"/>
        </w:rPr>
      </w:pPr>
      <w:r>
        <w:rPr>
          <w:noProof/>
          <w:snapToGrid/>
        </w:rPr>
        <w:drawing>
          <wp:inline distT="0" distB="0" distL="0" distR="0" wp14:anchorId="68DC5FD9" wp14:editId="299B2969">
            <wp:extent cx="3960000" cy="2520000"/>
            <wp:effectExtent l="0" t="0" r="21590" b="33020"/>
            <wp:docPr id="13" name="Gráfico 13">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37490B" w14:textId="016EA730" w:rsidR="00F3597C" w:rsidRPr="00D216D6" w:rsidRDefault="00F3597C" w:rsidP="00F3597C">
      <w:pPr>
        <w:keepNext/>
        <w:keepLines/>
        <w:ind w:left="708" w:firstLine="708"/>
        <w:rPr>
          <w:rFonts w:ascii="Arial" w:hAnsi="Arial" w:cs="Arial"/>
          <w:color w:val="000000" w:themeColor="text1"/>
          <w:sz w:val="16"/>
          <w:szCs w:val="16"/>
        </w:rPr>
      </w:pPr>
      <w:r w:rsidRPr="00D216D6">
        <w:rPr>
          <w:rFonts w:ascii="Arial" w:hAnsi="Arial" w:cs="Arial"/>
          <w:color w:val="000000"/>
          <w:sz w:val="16"/>
          <w:szCs w:val="16"/>
        </w:rPr>
        <w:t>Fuente:  INEGI</w:t>
      </w:r>
      <w:r w:rsidRPr="00D216D6">
        <w:rPr>
          <w:rFonts w:ascii="Arial" w:hAnsi="Arial" w:cs="Arial"/>
          <w:color w:val="000000" w:themeColor="text1"/>
          <w:sz w:val="16"/>
          <w:szCs w:val="16"/>
        </w:rPr>
        <w:t>.</w:t>
      </w:r>
    </w:p>
    <w:p w14:paraId="3C133EEE" w14:textId="496209DA" w:rsidR="00BA555B" w:rsidRDefault="00BA555B">
      <w:pPr>
        <w:widowControl/>
        <w:rPr>
          <w:rFonts w:ascii="Arial" w:hAnsi="Arial" w:cs="Arial"/>
          <w:bCs/>
        </w:rPr>
      </w:pPr>
    </w:p>
    <w:p w14:paraId="52508A8E" w14:textId="77777777" w:rsidR="00BA555B" w:rsidRDefault="00BA555B">
      <w:pPr>
        <w:widowControl/>
        <w:rPr>
          <w:rFonts w:ascii="Arial" w:hAnsi="Arial" w:cs="Arial"/>
          <w:bCs/>
        </w:rPr>
      </w:pPr>
      <w:r>
        <w:rPr>
          <w:rFonts w:cs="Arial"/>
          <w:bCs/>
        </w:rPr>
        <w:br w:type="page"/>
      </w:r>
    </w:p>
    <w:p w14:paraId="0A19FBAF" w14:textId="77777777" w:rsidR="00CF64DE" w:rsidRDefault="00CF64DE" w:rsidP="00471244">
      <w:pPr>
        <w:pStyle w:val="p0"/>
        <w:keepNext/>
        <w:spacing w:before="120" w:line="220" w:lineRule="exact"/>
        <w:jc w:val="center"/>
        <w:rPr>
          <w:rFonts w:cs="Arial"/>
          <w:bCs/>
          <w:color w:val="auto"/>
          <w:sz w:val="20"/>
        </w:rPr>
      </w:pPr>
    </w:p>
    <w:p w14:paraId="45D9860D" w14:textId="0ADE3814" w:rsidR="00B402BD" w:rsidRPr="00B402BD" w:rsidRDefault="00B402BD" w:rsidP="00471244">
      <w:pPr>
        <w:pStyle w:val="p0"/>
        <w:keepNext/>
        <w:spacing w:before="120" w:line="220" w:lineRule="exact"/>
        <w:jc w:val="center"/>
        <w:rPr>
          <w:rFonts w:cs="Arial"/>
          <w:bCs/>
          <w:snapToGrid/>
          <w:color w:val="auto"/>
          <w:sz w:val="22"/>
          <w:szCs w:val="22"/>
          <w:lang w:eastAsia="es-MX"/>
        </w:rPr>
      </w:pPr>
      <w:r w:rsidRPr="00B402BD">
        <w:rPr>
          <w:rFonts w:cs="Arial"/>
          <w:bCs/>
          <w:color w:val="auto"/>
          <w:sz w:val="20"/>
        </w:rPr>
        <w:t xml:space="preserve">Gráfica </w:t>
      </w:r>
      <w:r>
        <w:rPr>
          <w:rFonts w:cs="Arial"/>
          <w:bCs/>
          <w:color w:val="auto"/>
          <w:sz w:val="20"/>
        </w:rPr>
        <w:t>5</w:t>
      </w:r>
    </w:p>
    <w:p w14:paraId="44D3BDE2" w14:textId="1E4DA53E" w:rsidR="00471244" w:rsidRPr="00471244" w:rsidRDefault="00471244" w:rsidP="00B402BD">
      <w:pPr>
        <w:pStyle w:val="p0"/>
        <w:keepNext/>
        <w:spacing w:before="0" w:line="220" w:lineRule="exact"/>
        <w:jc w:val="center"/>
        <w:rPr>
          <w:rFonts w:cs="Arial"/>
          <w:b/>
          <w:smallCaps/>
          <w:snapToGrid/>
          <w:color w:val="auto"/>
          <w:sz w:val="22"/>
          <w:szCs w:val="22"/>
          <w:lang w:eastAsia="es-MX"/>
        </w:rPr>
      </w:pPr>
      <w:r w:rsidRPr="00471244">
        <w:rPr>
          <w:rFonts w:cs="Arial"/>
          <w:b/>
          <w:smallCaps/>
          <w:snapToGrid/>
          <w:color w:val="auto"/>
          <w:sz w:val="22"/>
          <w:szCs w:val="22"/>
          <w:lang w:eastAsia="es-MX"/>
        </w:rPr>
        <w:t xml:space="preserve">Consumo de Gobierno al </w:t>
      </w:r>
      <w:r w:rsidR="00426883">
        <w:rPr>
          <w:rFonts w:cs="Arial"/>
          <w:b/>
          <w:smallCaps/>
          <w:snapToGrid/>
          <w:color w:val="auto"/>
          <w:sz w:val="22"/>
          <w:szCs w:val="22"/>
          <w:lang w:eastAsia="es-MX"/>
        </w:rPr>
        <w:t>primer</w:t>
      </w:r>
      <w:r w:rsidRPr="00471244">
        <w:rPr>
          <w:rFonts w:cs="Arial"/>
          <w:b/>
          <w:smallCaps/>
          <w:snapToGrid/>
          <w:color w:val="auto"/>
          <w:sz w:val="22"/>
          <w:szCs w:val="22"/>
          <w:lang w:eastAsia="es-MX"/>
        </w:rPr>
        <w:t xml:space="preserve"> trimestre de 202</w:t>
      </w:r>
      <w:r w:rsidR="00426883">
        <w:rPr>
          <w:rFonts w:cs="Arial"/>
          <w:b/>
          <w:smallCaps/>
          <w:snapToGrid/>
          <w:color w:val="auto"/>
          <w:sz w:val="22"/>
          <w:szCs w:val="22"/>
          <w:lang w:eastAsia="es-MX"/>
        </w:rPr>
        <w:t>1</w:t>
      </w:r>
    </w:p>
    <w:p w14:paraId="0A284DC3" w14:textId="77777777" w:rsidR="00471244" w:rsidRDefault="00471244" w:rsidP="000B17DA">
      <w:pPr>
        <w:pStyle w:val="p0"/>
        <w:keepNext/>
        <w:widowControl/>
        <w:spacing w:before="0"/>
        <w:jc w:val="center"/>
        <w:rPr>
          <w:rFonts w:asciiTheme="minorHAnsi" w:hAnsiTheme="minorHAnsi" w:cstheme="minorHAnsi"/>
          <w:b/>
          <w:smallCaps/>
          <w:snapToGrid/>
          <w:color w:val="auto"/>
          <w:sz w:val="18"/>
          <w:szCs w:val="18"/>
          <w:lang w:eastAsia="es-MX"/>
        </w:rPr>
      </w:pPr>
      <w:r w:rsidRPr="00471244">
        <w:rPr>
          <w:rFonts w:cs="Arial"/>
          <w:b/>
          <w:smallCaps/>
          <w:snapToGrid/>
          <w:color w:val="auto"/>
          <w:sz w:val="22"/>
          <w:szCs w:val="22"/>
          <w:lang w:eastAsia="es-MX"/>
        </w:rPr>
        <w:t>Series desestacionalizada y de tendencia-ciclo</w:t>
      </w:r>
    </w:p>
    <w:p w14:paraId="473BF054" w14:textId="60DA625B" w:rsidR="00471244" w:rsidRDefault="00471244" w:rsidP="00F35110">
      <w:pPr>
        <w:pStyle w:val="Textoindependiente"/>
        <w:spacing w:before="0"/>
        <w:jc w:val="center"/>
        <w:rPr>
          <w:rFonts w:cs="Arial"/>
          <w:sz w:val="20"/>
          <w:szCs w:val="22"/>
        </w:rPr>
      </w:pPr>
      <w:r w:rsidRPr="00100026">
        <w:rPr>
          <w:rFonts w:cs="Arial"/>
          <w:sz w:val="18"/>
        </w:rPr>
        <w:t>(Millones de pesos a precios de 2013</w:t>
      </w:r>
      <w:r w:rsidRPr="00471244">
        <w:rPr>
          <w:rFonts w:cs="Arial"/>
          <w:sz w:val="20"/>
          <w:szCs w:val="22"/>
        </w:rPr>
        <w:t>)</w:t>
      </w:r>
    </w:p>
    <w:p w14:paraId="34FC2A61" w14:textId="1B0B3FCD" w:rsidR="00471244" w:rsidRDefault="001D3564" w:rsidP="00471244">
      <w:pPr>
        <w:pStyle w:val="Ttulo"/>
        <w:widowControl w:val="0"/>
        <w:rPr>
          <w:rFonts w:cs="Arial"/>
          <w:b w:val="0"/>
          <w:bCs/>
          <w:smallCaps w:val="0"/>
          <w:sz w:val="28"/>
          <w:szCs w:val="24"/>
        </w:rPr>
      </w:pPr>
      <w:r>
        <w:rPr>
          <w:noProof/>
        </w:rPr>
        <w:drawing>
          <wp:inline distT="0" distB="0" distL="0" distR="0" wp14:anchorId="199B5A6A" wp14:editId="462B09B9">
            <wp:extent cx="3960000" cy="2520000"/>
            <wp:effectExtent l="0" t="0" r="21590" b="13970"/>
            <wp:docPr id="14" name="Gráfico 1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0E169A" w14:textId="65732438" w:rsidR="00471244" w:rsidRPr="00D216D6" w:rsidRDefault="00471244" w:rsidP="00471244">
      <w:pPr>
        <w:pStyle w:val="Ttulo"/>
        <w:widowControl w:val="0"/>
        <w:ind w:left="1418"/>
        <w:jc w:val="both"/>
        <w:rPr>
          <w:rFonts w:cs="Arial"/>
          <w:b w:val="0"/>
          <w:bCs/>
          <w:smallCaps w:val="0"/>
          <w:sz w:val="22"/>
        </w:rPr>
      </w:pPr>
      <w:r w:rsidRPr="00D216D6">
        <w:rPr>
          <w:rFonts w:cs="Arial"/>
          <w:b w:val="0"/>
          <w:bCs/>
          <w:smallCaps w:val="0"/>
          <w:color w:val="000000"/>
          <w:sz w:val="16"/>
          <w:szCs w:val="16"/>
        </w:rPr>
        <w:t>Fuente:  INEGI</w:t>
      </w:r>
      <w:r w:rsidRPr="00D216D6">
        <w:rPr>
          <w:rFonts w:cs="Arial"/>
          <w:b w:val="0"/>
          <w:bCs/>
          <w:smallCaps w:val="0"/>
          <w:color w:val="000000" w:themeColor="text1"/>
          <w:sz w:val="16"/>
          <w:szCs w:val="16"/>
        </w:rPr>
        <w:t>.</w:t>
      </w:r>
    </w:p>
    <w:p w14:paraId="23BAA658" w14:textId="674BA5C8" w:rsidR="00B402BD" w:rsidRPr="001E3DC3" w:rsidRDefault="00B402BD" w:rsidP="004C5A6C">
      <w:pPr>
        <w:pStyle w:val="p0"/>
        <w:keepLines w:val="0"/>
        <w:jc w:val="center"/>
        <w:rPr>
          <w:rFonts w:cs="Arial"/>
          <w:bCs/>
          <w:snapToGrid/>
          <w:color w:val="000000" w:themeColor="text1"/>
          <w:sz w:val="22"/>
          <w:szCs w:val="22"/>
          <w:lang w:eastAsia="es-MX"/>
        </w:rPr>
      </w:pPr>
      <w:r w:rsidRPr="001E3DC3">
        <w:rPr>
          <w:rFonts w:cs="Arial"/>
          <w:bCs/>
          <w:color w:val="000000" w:themeColor="text1"/>
          <w:sz w:val="20"/>
        </w:rPr>
        <w:t>Gráfica 6</w:t>
      </w:r>
    </w:p>
    <w:p w14:paraId="103066E7" w14:textId="0047B532" w:rsidR="00B402BD" w:rsidRPr="00B402BD" w:rsidRDefault="00B402BD" w:rsidP="00EB48A7">
      <w:pPr>
        <w:pStyle w:val="p0"/>
        <w:keepLines w:val="0"/>
        <w:spacing w:before="0" w:line="240" w:lineRule="atLeast"/>
        <w:jc w:val="center"/>
        <w:rPr>
          <w:rFonts w:cs="Arial"/>
          <w:b/>
          <w:smallCaps/>
          <w:snapToGrid/>
          <w:color w:val="auto"/>
          <w:sz w:val="22"/>
          <w:szCs w:val="22"/>
          <w:lang w:eastAsia="es-MX"/>
        </w:rPr>
      </w:pPr>
      <w:r w:rsidRPr="00B402BD">
        <w:rPr>
          <w:rFonts w:cs="Arial"/>
          <w:b/>
          <w:smallCaps/>
          <w:snapToGrid/>
          <w:color w:val="auto"/>
          <w:sz w:val="22"/>
          <w:szCs w:val="22"/>
          <w:lang w:eastAsia="es-MX"/>
        </w:rPr>
        <w:t>Formación Bruta de Capital Fijo</w:t>
      </w:r>
      <w:r>
        <w:rPr>
          <w:rFonts w:cs="Arial"/>
          <w:b/>
          <w:smallCaps/>
          <w:snapToGrid/>
          <w:color w:val="auto"/>
          <w:sz w:val="22"/>
          <w:szCs w:val="22"/>
          <w:lang w:eastAsia="es-MX"/>
        </w:rPr>
        <w:t xml:space="preserve"> </w:t>
      </w:r>
      <w:r w:rsidRPr="00B402BD">
        <w:rPr>
          <w:rFonts w:cs="Arial"/>
          <w:b/>
          <w:smallCaps/>
          <w:snapToGrid/>
          <w:color w:val="auto"/>
          <w:sz w:val="22"/>
          <w:szCs w:val="22"/>
          <w:lang w:eastAsia="es-MX"/>
        </w:rPr>
        <w:t xml:space="preserve">al </w:t>
      </w:r>
      <w:r w:rsidR="00426883">
        <w:rPr>
          <w:rFonts w:cs="Arial"/>
          <w:b/>
          <w:smallCaps/>
          <w:snapToGrid/>
          <w:color w:val="auto"/>
          <w:sz w:val="22"/>
          <w:szCs w:val="22"/>
          <w:lang w:eastAsia="es-MX"/>
        </w:rPr>
        <w:t>primer</w:t>
      </w:r>
      <w:r w:rsidRPr="00B402BD">
        <w:rPr>
          <w:rFonts w:cs="Arial"/>
          <w:b/>
          <w:smallCaps/>
          <w:snapToGrid/>
          <w:color w:val="auto"/>
          <w:sz w:val="22"/>
          <w:szCs w:val="22"/>
          <w:lang w:eastAsia="es-MX"/>
        </w:rPr>
        <w:t xml:space="preserve"> trimestre de 202</w:t>
      </w:r>
      <w:r w:rsidR="00426883">
        <w:rPr>
          <w:rFonts w:cs="Arial"/>
          <w:b/>
          <w:smallCaps/>
          <w:snapToGrid/>
          <w:color w:val="auto"/>
          <w:sz w:val="22"/>
          <w:szCs w:val="22"/>
          <w:lang w:eastAsia="es-MX"/>
        </w:rPr>
        <w:t>1</w:t>
      </w:r>
    </w:p>
    <w:p w14:paraId="2BE85581" w14:textId="77777777" w:rsidR="00B402BD" w:rsidRPr="00B402BD" w:rsidRDefault="00B402BD" w:rsidP="00EB48A7">
      <w:pPr>
        <w:pStyle w:val="p0"/>
        <w:keepLines w:val="0"/>
        <w:spacing w:before="0" w:line="240" w:lineRule="atLeast"/>
        <w:jc w:val="center"/>
        <w:rPr>
          <w:rFonts w:cs="Arial"/>
          <w:b/>
          <w:smallCaps/>
          <w:snapToGrid/>
          <w:color w:val="auto"/>
          <w:sz w:val="20"/>
          <w:lang w:eastAsia="es-MX"/>
        </w:rPr>
      </w:pPr>
      <w:r w:rsidRPr="00B402BD">
        <w:rPr>
          <w:rFonts w:cs="Arial"/>
          <w:b/>
          <w:smallCaps/>
          <w:snapToGrid/>
          <w:color w:val="auto"/>
          <w:sz w:val="22"/>
          <w:szCs w:val="22"/>
          <w:lang w:eastAsia="es-MX"/>
        </w:rPr>
        <w:t>Series desestacionalizada y de tendencia-ciclo</w:t>
      </w:r>
    </w:p>
    <w:p w14:paraId="2D1FBE7E" w14:textId="6CF5BA9C" w:rsidR="00471244" w:rsidRPr="00100026" w:rsidRDefault="00B402BD" w:rsidP="00F35110">
      <w:pPr>
        <w:pStyle w:val="Textoindependiente"/>
        <w:spacing w:before="0"/>
        <w:jc w:val="center"/>
        <w:rPr>
          <w:noProof/>
          <w:sz w:val="18"/>
          <w:szCs w:val="18"/>
        </w:rPr>
      </w:pPr>
      <w:r w:rsidRPr="00100026">
        <w:rPr>
          <w:rFonts w:cs="Arial"/>
          <w:sz w:val="18"/>
          <w:szCs w:val="18"/>
        </w:rPr>
        <w:t>(Millones de pesos a precios de 2013</w:t>
      </w:r>
      <w:r w:rsidRPr="00100026">
        <w:rPr>
          <w:rFonts w:asciiTheme="minorHAnsi" w:hAnsiTheme="minorHAnsi" w:cstheme="minorHAnsi"/>
          <w:sz w:val="18"/>
          <w:szCs w:val="18"/>
        </w:rPr>
        <w:t>)</w:t>
      </w:r>
    </w:p>
    <w:p w14:paraId="2A04DB46" w14:textId="1C8C3C73" w:rsidR="001D3564" w:rsidRDefault="001D3564" w:rsidP="00EB48A7">
      <w:pPr>
        <w:pStyle w:val="Textoindependiente"/>
        <w:spacing w:before="0" w:line="240" w:lineRule="atLeast"/>
        <w:jc w:val="center"/>
        <w:rPr>
          <w:rFonts w:cs="Arial"/>
          <w:b/>
          <w:bCs/>
          <w:smallCaps/>
          <w:sz w:val="28"/>
          <w:szCs w:val="24"/>
        </w:rPr>
      </w:pPr>
      <w:r>
        <w:rPr>
          <w:noProof/>
          <w:snapToGrid/>
        </w:rPr>
        <w:drawing>
          <wp:inline distT="0" distB="0" distL="0" distR="0" wp14:anchorId="4AF7DADF" wp14:editId="7DAF3902">
            <wp:extent cx="3960000" cy="2520000"/>
            <wp:effectExtent l="0" t="0" r="21590" b="13970"/>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E821AA" w14:textId="4CF72C72" w:rsidR="00B402BD" w:rsidRPr="00D216D6" w:rsidRDefault="00B402BD" w:rsidP="00EB48A7">
      <w:pPr>
        <w:pStyle w:val="p1"/>
        <w:keepLines w:val="0"/>
        <w:spacing w:before="0"/>
        <w:ind w:left="1418"/>
        <w:rPr>
          <w:b/>
          <w:i/>
          <w:color w:val="auto"/>
          <w:sz w:val="22"/>
          <w:szCs w:val="18"/>
        </w:rPr>
      </w:pPr>
      <w:r w:rsidRPr="00D216D6">
        <w:rPr>
          <w:rFonts w:cs="Arial"/>
          <w:color w:val="000000"/>
          <w:sz w:val="16"/>
          <w:szCs w:val="16"/>
        </w:rPr>
        <w:t>Fuente: INEGI.</w:t>
      </w:r>
    </w:p>
    <w:p w14:paraId="44744007" w14:textId="77777777" w:rsidR="00EB48A7" w:rsidRDefault="00EB48A7" w:rsidP="00471244">
      <w:pPr>
        <w:pStyle w:val="Ttulo"/>
        <w:keepNext/>
        <w:keepLines/>
        <w:rPr>
          <w:rFonts w:cs="Arial"/>
          <w:b w:val="0"/>
          <w:smallCaps w:val="0"/>
          <w:sz w:val="20"/>
        </w:rPr>
      </w:pPr>
    </w:p>
    <w:p w14:paraId="6B11DC27" w14:textId="77777777" w:rsidR="001E33A7" w:rsidRDefault="001E33A7" w:rsidP="00471244">
      <w:pPr>
        <w:pStyle w:val="Ttulo"/>
        <w:keepNext/>
        <w:keepLines/>
        <w:rPr>
          <w:rFonts w:cs="Arial"/>
          <w:b w:val="0"/>
          <w:smallCaps w:val="0"/>
          <w:sz w:val="20"/>
        </w:rPr>
      </w:pPr>
    </w:p>
    <w:p w14:paraId="0DEE0C42" w14:textId="41FEE7DD" w:rsidR="00B402BD" w:rsidRDefault="00B402BD" w:rsidP="00471244">
      <w:pPr>
        <w:pStyle w:val="Ttulo"/>
        <w:keepNext/>
        <w:keepLines/>
        <w:rPr>
          <w:rFonts w:cs="Arial"/>
          <w:b w:val="0"/>
          <w:bCs/>
          <w:smallCaps w:val="0"/>
          <w:sz w:val="28"/>
          <w:szCs w:val="24"/>
        </w:rPr>
      </w:pPr>
      <w:r w:rsidRPr="00056379">
        <w:rPr>
          <w:rFonts w:cs="Arial"/>
          <w:b w:val="0"/>
          <w:smallCaps w:val="0"/>
          <w:sz w:val="20"/>
        </w:rPr>
        <w:t xml:space="preserve">Gráfica </w:t>
      </w:r>
      <w:r>
        <w:rPr>
          <w:rFonts w:cs="Arial"/>
          <w:b w:val="0"/>
          <w:smallCaps w:val="0"/>
          <w:sz w:val="20"/>
        </w:rPr>
        <w:t>7</w:t>
      </w:r>
    </w:p>
    <w:p w14:paraId="3BFA723D" w14:textId="5FB36A99" w:rsidR="00B402BD" w:rsidRPr="00B402BD" w:rsidRDefault="00B402BD" w:rsidP="00B402BD">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Exportación de Bienes y Servicios</w:t>
      </w:r>
      <w:r>
        <w:rPr>
          <w:rFonts w:cs="Arial"/>
          <w:b/>
          <w:smallCaps/>
          <w:snapToGrid/>
          <w:color w:val="auto"/>
          <w:sz w:val="22"/>
          <w:szCs w:val="22"/>
          <w:lang w:eastAsia="es-MX"/>
        </w:rPr>
        <w:t xml:space="preserve"> </w:t>
      </w:r>
      <w:r w:rsidRPr="00B402BD">
        <w:rPr>
          <w:rFonts w:cs="Arial"/>
          <w:b/>
          <w:smallCaps/>
          <w:snapToGrid/>
          <w:color w:val="auto"/>
          <w:sz w:val="22"/>
          <w:szCs w:val="22"/>
          <w:lang w:eastAsia="es-MX"/>
        </w:rPr>
        <w:t xml:space="preserve">al </w:t>
      </w:r>
      <w:r w:rsidR="00426883">
        <w:rPr>
          <w:rFonts w:cs="Arial"/>
          <w:b/>
          <w:smallCaps/>
          <w:snapToGrid/>
          <w:color w:val="auto"/>
          <w:sz w:val="22"/>
          <w:szCs w:val="22"/>
          <w:lang w:eastAsia="es-MX"/>
        </w:rPr>
        <w:t>primer</w:t>
      </w:r>
      <w:r w:rsidRPr="00B402BD">
        <w:rPr>
          <w:rFonts w:cs="Arial"/>
          <w:b/>
          <w:smallCaps/>
          <w:snapToGrid/>
          <w:color w:val="auto"/>
          <w:sz w:val="22"/>
          <w:szCs w:val="22"/>
          <w:lang w:eastAsia="es-MX"/>
        </w:rPr>
        <w:t xml:space="preserve"> trimestre de 202</w:t>
      </w:r>
      <w:r w:rsidR="00426883">
        <w:rPr>
          <w:rFonts w:cs="Arial"/>
          <w:b/>
          <w:smallCaps/>
          <w:snapToGrid/>
          <w:color w:val="auto"/>
          <w:sz w:val="22"/>
          <w:szCs w:val="22"/>
          <w:lang w:eastAsia="es-MX"/>
        </w:rPr>
        <w:t>1</w:t>
      </w:r>
    </w:p>
    <w:p w14:paraId="11FD659B" w14:textId="77777777" w:rsidR="00B402BD" w:rsidRPr="00B402BD" w:rsidRDefault="00B402BD" w:rsidP="000B17DA">
      <w:pPr>
        <w:pStyle w:val="p0"/>
        <w:keepNext/>
        <w:widowControl/>
        <w:spacing w:before="0"/>
        <w:jc w:val="center"/>
        <w:rPr>
          <w:rFonts w:cs="Arial"/>
          <w:b/>
          <w:smallCaps/>
          <w:snapToGrid/>
          <w:color w:val="auto"/>
          <w:sz w:val="22"/>
          <w:szCs w:val="22"/>
          <w:lang w:eastAsia="es-MX"/>
        </w:rPr>
      </w:pPr>
      <w:r w:rsidRPr="00B402BD">
        <w:rPr>
          <w:rFonts w:cs="Arial"/>
          <w:b/>
          <w:smallCaps/>
          <w:snapToGrid/>
          <w:color w:val="auto"/>
          <w:sz w:val="22"/>
          <w:szCs w:val="22"/>
          <w:lang w:eastAsia="es-MX"/>
        </w:rPr>
        <w:t>Series desestacionalizada y de tendencia-ciclo</w:t>
      </w:r>
    </w:p>
    <w:p w14:paraId="046C5E1D" w14:textId="70F34AE3" w:rsidR="00B402BD" w:rsidRPr="00100026" w:rsidRDefault="00B402BD" w:rsidP="00B402BD">
      <w:pPr>
        <w:pStyle w:val="Ttulo"/>
        <w:keepNext/>
        <w:keepLines/>
        <w:rPr>
          <w:rFonts w:cs="Arial"/>
          <w:b w:val="0"/>
          <w:bCs/>
          <w:smallCaps w:val="0"/>
          <w:sz w:val="18"/>
        </w:rPr>
      </w:pPr>
      <w:r w:rsidRPr="00100026">
        <w:rPr>
          <w:rFonts w:cs="Arial"/>
          <w:b w:val="0"/>
          <w:bCs/>
          <w:smallCaps w:val="0"/>
          <w:sz w:val="18"/>
        </w:rPr>
        <w:t>(Millones de pesos a precios de 2013)</w:t>
      </w:r>
    </w:p>
    <w:p w14:paraId="408CE013" w14:textId="565BE61A" w:rsidR="00B402BD" w:rsidRPr="00B402BD" w:rsidRDefault="001D3564" w:rsidP="00B402BD">
      <w:pPr>
        <w:pStyle w:val="Ttulo"/>
        <w:keepNext/>
        <w:keepLines/>
        <w:rPr>
          <w:rFonts w:cs="Arial"/>
          <w:b w:val="0"/>
          <w:bCs/>
          <w:smallCaps w:val="0"/>
          <w:sz w:val="22"/>
          <w:szCs w:val="24"/>
        </w:rPr>
      </w:pPr>
      <w:r>
        <w:rPr>
          <w:noProof/>
        </w:rPr>
        <w:drawing>
          <wp:inline distT="0" distB="0" distL="0" distR="0" wp14:anchorId="1E975BAC" wp14:editId="3D1F87F3">
            <wp:extent cx="3960000" cy="2520000"/>
            <wp:effectExtent l="0" t="0" r="21590" b="13970"/>
            <wp:docPr id="16" name="Gráfico 16">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6042EB" w14:textId="4170E87B" w:rsidR="00B402BD" w:rsidRPr="00D216D6" w:rsidRDefault="007531B2" w:rsidP="007531B2">
      <w:pPr>
        <w:pStyle w:val="Ttulo"/>
        <w:keepNext/>
        <w:keepLines/>
        <w:ind w:left="1418"/>
        <w:jc w:val="both"/>
        <w:rPr>
          <w:rFonts w:cs="Arial"/>
          <w:b w:val="0"/>
          <w:bCs/>
          <w:smallCaps w:val="0"/>
          <w:sz w:val="20"/>
          <w:szCs w:val="22"/>
        </w:rPr>
      </w:pPr>
      <w:r w:rsidRPr="00D216D6">
        <w:rPr>
          <w:rFonts w:cs="Arial"/>
          <w:b w:val="0"/>
          <w:bCs/>
          <w:smallCaps w:val="0"/>
          <w:color w:val="000000"/>
          <w:sz w:val="16"/>
          <w:szCs w:val="16"/>
        </w:rPr>
        <w:t>Fuente: INEGI.</w:t>
      </w:r>
    </w:p>
    <w:p w14:paraId="67DC2F00" w14:textId="178D403D" w:rsidR="00455638" w:rsidRDefault="004916E4" w:rsidP="009D1DDD">
      <w:pPr>
        <w:pStyle w:val="p1"/>
        <w:keepLines w:val="0"/>
        <w:rPr>
          <w:b/>
          <w:i/>
          <w:color w:val="auto"/>
        </w:rPr>
      </w:pPr>
      <w:r>
        <w:rPr>
          <w:color w:val="000000" w:themeColor="text1"/>
        </w:rPr>
        <w:t xml:space="preserve">En su comparación anual, </w:t>
      </w:r>
      <w:r w:rsidR="00A259A3" w:rsidRPr="00BD691B">
        <w:rPr>
          <w:color w:val="000000"/>
        </w:rPr>
        <w:t xml:space="preserve">la Formación Bruta de Capital Fijo descendió </w:t>
      </w:r>
      <w:r w:rsidR="00A259A3">
        <w:rPr>
          <w:color w:val="000000"/>
        </w:rPr>
        <w:t>4.9</w:t>
      </w:r>
      <w:r w:rsidR="00A259A3" w:rsidRPr="00BD691B">
        <w:rPr>
          <w:color w:val="000000"/>
        </w:rPr>
        <w:t xml:space="preserve">%, las Exportaciones de Bienes y Servicios </w:t>
      </w:r>
      <w:r w:rsidR="00A259A3">
        <w:rPr>
          <w:color w:val="000000"/>
        </w:rPr>
        <w:t>4.2</w:t>
      </w:r>
      <w:r w:rsidR="00A259A3" w:rsidRPr="00BD691B">
        <w:rPr>
          <w:color w:val="000000"/>
        </w:rPr>
        <w:t>%</w:t>
      </w:r>
      <w:r w:rsidR="00A259A3">
        <w:rPr>
          <w:color w:val="000000"/>
        </w:rPr>
        <w:t>,</w:t>
      </w:r>
      <w:r w:rsidR="00A259A3" w:rsidRPr="00BD691B">
        <w:rPr>
          <w:color w:val="000000"/>
        </w:rPr>
        <w:t xml:space="preserve"> el Consumo Privado </w:t>
      </w:r>
      <w:r w:rsidR="00A259A3">
        <w:rPr>
          <w:color w:val="000000"/>
        </w:rPr>
        <w:t>3.4</w:t>
      </w:r>
      <w:r w:rsidR="00A259A3" w:rsidRPr="00BD691B">
        <w:rPr>
          <w:color w:val="000000"/>
        </w:rPr>
        <w:t xml:space="preserve">% y el Consumo de Gobierno </w:t>
      </w:r>
      <w:r w:rsidR="00A259A3">
        <w:rPr>
          <w:color w:val="000000"/>
        </w:rPr>
        <w:t>cayó</w:t>
      </w:r>
      <w:r w:rsidR="00A259A3" w:rsidRPr="00BD691B">
        <w:rPr>
          <w:color w:val="000000"/>
        </w:rPr>
        <w:t xml:space="preserve"> </w:t>
      </w:r>
      <w:r w:rsidR="00A259A3">
        <w:rPr>
          <w:color w:val="000000"/>
        </w:rPr>
        <w:t>0.7</w:t>
      </w:r>
      <w:r w:rsidR="00A259A3" w:rsidRPr="00BD691B">
        <w:rPr>
          <w:color w:val="000000"/>
        </w:rPr>
        <w:t xml:space="preserve">% en el trimestre </w:t>
      </w:r>
      <w:r w:rsidR="00EB51DE">
        <w:rPr>
          <w:color w:val="000000"/>
        </w:rPr>
        <w:t xml:space="preserve">enero-marzo </w:t>
      </w:r>
      <w:r w:rsidR="00A259A3" w:rsidRPr="00BD691B">
        <w:rPr>
          <w:color w:val="000000"/>
        </w:rPr>
        <w:t xml:space="preserve">de </w:t>
      </w:r>
      <w:r w:rsidR="00EB51DE">
        <w:rPr>
          <w:color w:val="000000"/>
        </w:rPr>
        <w:t>este año</w:t>
      </w:r>
      <w:r w:rsidR="00A259A3" w:rsidRPr="00BD691B">
        <w:rPr>
          <w:color w:val="000000"/>
        </w:rPr>
        <w:t>.</w:t>
      </w:r>
    </w:p>
    <w:p w14:paraId="5F5C2058" w14:textId="3CD091F3" w:rsidR="00367D27" w:rsidRPr="004C5A6C" w:rsidRDefault="0057720D" w:rsidP="004C5A6C">
      <w:pPr>
        <w:pStyle w:val="Textoindependiente"/>
        <w:spacing w:line="140" w:lineRule="exact"/>
        <w:rPr>
          <w:rFonts w:cs="Arial"/>
          <w:b/>
          <w:i/>
          <w:szCs w:val="24"/>
        </w:rPr>
      </w:pPr>
      <w:r w:rsidRPr="004C5A6C">
        <w:rPr>
          <w:rFonts w:cs="Arial"/>
          <w:b/>
          <w:i/>
          <w:szCs w:val="24"/>
        </w:rPr>
        <w:t>Indicador Trimestral del Ahorro Bruto</w:t>
      </w:r>
    </w:p>
    <w:p w14:paraId="759C0B84" w14:textId="270D1AC2" w:rsidR="00215B14" w:rsidRDefault="00215B14" w:rsidP="004C5A6C">
      <w:pPr>
        <w:pStyle w:val="Textoindependiente"/>
        <w:spacing w:before="240"/>
        <w:rPr>
          <w:rFonts w:cs="Arial"/>
          <w:szCs w:val="22"/>
        </w:rPr>
      </w:pPr>
      <w:r w:rsidRPr="0057720D">
        <w:rPr>
          <w:rFonts w:cs="Arial"/>
          <w:szCs w:val="24"/>
        </w:rPr>
        <w:t xml:space="preserve">Con base en cifras desestacionalizadas, </w:t>
      </w:r>
      <w:r w:rsidR="005C0F3E">
        <w:rPr>
          <w:rFonts w:cs="Arial"/>
          <w:szCs w:val="24"/>
        </w:rPr>
        <w:t xml:space="preserve">el </w:t>
      </w:r>
      <w:r w:rsidRPr="0057720D">
        <w:rPr>
          <w:rFonts w:cs="Arial"/>
          <w:szCs w:val="24"/>
        </w:rPr>
        <w:t xml:space="preserve">Indicador Trimestral del Ahorro Bruto </w:t>
      </w:r>
      <w:r w:rsidR="005C0F3E">
        <w:rPr>
          <w:rFonts w:cs="Arial"/>
          <w:szCs w:val="24"/>
        </w:rPr>
        <w:t xml:space="preserve">(ITAB) </w:t>
      </w:r>
      <w:r w:rsidR="004864BD">
        <w:rPr>
          <w:rFonts w:cs="Arial"/>
          <w:szCs w:val="24"/>
        </w:rPr>
        <w:t xml:space="preserve">a precios corrientes </w:t>
      </w:r>
      <w:r w:rsidRPr="0057720D">
        <w:rPr>
          <w:rFonts w:cs="Arial"/>
          <w:szCs w:val="24"/>
        </w:rPr>
        <w:t xml:space="preserve">aumentó </w:t>
      </w:r>
      <w:r w:rsidR="009B1B2D">
        <w:rPr>
          <w:rFonts w:cs="Arial"/>
          <w:szCs w:val="24"/>
        </w:rPr>
        <w:t>6.7</w:t>
      </w:r>
      <w:r w:rsidRPr="0057720D">
        <w:rPr>
          <w:rFonts w:cs="Arial"/>
          <w:szCs w:val="24"/>
        </w:rPr>
        <w:t xml:space="preserve">% en el </w:t>
      </w:r>
      <w:r w:rsidR="00426883">
        <w:rPr>
          <w:rFonts w:cs="Arial"/>
          <w:szCs w:val="24"/>
        </w:rPr>
        <w:t>primer</w:t>
      </w:r>
      <w:r w:rsidRPr="0057720D">
        <w:rPr>
          <w:rFonts w:cs="Arial"/>
          <w:szCs w:val="24"/>
        </w:rPr>
        <w:t xml:space="preserve"> trimestre de 202</w:t>
      </w:r>
      <w:r w:rsidR="00426883">
        <w:rPr>
          <w:rFonts w:cs="Arial"/>
          <w:szCs w:val="24"/>
        </w:rPr>
        <w:t>1</w:t>
      </w:r>
      <w:r w:rsidRPr="0057720D">
        <w:rPr>
          <w:rFonts w:cs="Arial"/>
          <w:szCs w:val="24"/>
        </w:rPr>
        <w:t xml:space="preserve"> frente al trimestre previo.</w:t>
      </w:r>
    </w:p>
    <w:p w14:paraId="27E12A39" w14:textId="77777777" w:rsidR="004C5A6C" w:rsidRDefault="004C5A6C">
      <w:pPr>
        <w:widowControl/>
        <w:rPr>
          <w:rFonts w:ascii="Arial" w:hAnsi="Arial" w:cs="Arial"/>
          <w:szCs w:val="22"/>
        </w:rPr>
      </w:pPr>
      <w:r>
        <w:rPr>
          <w:rFonts w:ascii="Arial" w:hAnsi="Arial" w:cs="Arial"/>
          <w:szCs w:val="22"/>
        </w:rPr>
        <w:br w:type="page"/>
      </w:r>
    </w:p>
    <w:p w14:paraId="25032A89" w14:textId="77777777" w:rsidR="00CF64DE" w:rsidRDefault="00CF64DE" w:rsidP="00215B14">
      <w:pPr>
        <w:widowControl/>
        <w:jc w:val="center"/>
        <w:rPr>
          <w:rFonts w:ascii="Arial" w:hAnsi="Arial" w:cs="Arial"/>
          <w:szCs w:val="22"/>
        </w:rPr>
      </w:pPr>
    </w:p>
    <w:p w14:paraId="7E72B5C5" w14:textId="3E4CD7E4" w:rsidR="00215B14" w:rsidRPr="0057720D" w:rsidRDefault="00215B14" w:rsidP="00D216D6">
      <w:pPr>
        <w:widowControl/>
        <w:spacing w:before="120"/>
        <w:jc w:val="center"/>
        <w:rPr>
          <w:rFonts w:ascii="Arial" w:hAnsi="Arial" w:cs="Arial"/>
          <w:szCs w:val="22"/>
        </w:rPr>
      </w:pPr>
      <w:r w:rsidRPr="0057720D">
        <w:rPr>
          <w:rFonts w:ascii="Arial" w:hAnsi="Arial" w:cs="Arial"/>
          <w:szCs w:val="22"/>
        </w:rPr>
        <w:t xml:space="preserve">Gráfica </w:t>
      </w:r>
      <w:r w:rsidR="001E3DC3">
        <w:rPr>
          <w:rFonts w:ascii="Arial" w:hAnsi="Arial" w:cs="Arial"/>
          <w:szCs w:val="22"/>
        </w:rPr>
        <w:t>8</w:t>
      </w:r>
    </w:p>
    <w:p w14:paraId="11B43949" w14:textId="26FE9540"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al </w:t>
      </w:r>
      <w:r w:rsidR="00426883">
        <w:rPr>
          <w:rFonts w:cs="Arial"/>
          <w:b/>
          <w:smallCaps/>
          <w:color w:val="auto"/>
          <w:sz w:val="22"/>
          <w:szCs w:val="22"/>
          <w:lang w:eastAsia="es-MX"/>
        </w:rPr>
        <w:t>primer</w:t>
      </w:r>
      <w:r>
        <w:rPr>
          <w:rFonts w:cs="Arial"/>
          <w:b/>
          <w:smallCaps/>
          <w:color w:val="auto"/>
          <w:sz w:val="22"/>
          <w:szCs w:val="22"/>
          <w:lang w:eastAsia="es-MX"/>
        </w:rPr>
        <w:t xml:space="preserve"> 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4A065C97"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711AFA19" w14:textId="77777777" w:rsidR="00215B14" w:rsidRPr="00100026" w:rsidRDefault="00215B14" w:rsidP="00215B14">
      <w:pPr>
        <w:jc w:val="center"/>
        <w:outlineLvl w:val="3"/>
        <w:rPr>
          <w:rFonts w:ascii="Arial" w:hAnsi="Arial" w:cs="Arial"/>
          <w:b/>
          <w:smallCaps/>
          <w:sz w:val="18"/>
          <w:szCs w:val="16"/>
        </w:rPr>
      </w:pPr>
      <w:r w:rsidRPr="00100026">
        <w:rPr>
          <w:rFonts w:ascii="Arial" w:hAnsi="Arial" w:cs="Arial"/>
          <w:sz w:val="18"/>
          <w:szCs w:val="18"/>
          <w:lang w:eastAsia="es-MX"/>
        </w:rPr>
        <w:t>(Millones de pesos corrientes)</w:t>
      </w:r>
    </w:p>
    <w:p w14:paraId="32F98AD7" w14:textId="69F1619B" w:rsidR="00215B14" w:rsidRDefault="005D63A9" w:rsidP="00215B14">
      <w:pPr>
        <w:jc w:val="center"/>
        <w:outlineLvl w:val="3"/>
        <w:rPr>
          <w:rFonts w:cs="Arial"/>
          <w:sz w:val="18"/>
          <w:szCs w:val="18"/>
        </w:rPr>
      </w:pPr>
      <w:r>
        <w:rPr>
          <w:noProof/>
          <w:snapToGrid/>
        </w:rPr>
        <w:drawing>
          <wp:inline distT="0" distB="0" distL="0" distR="0" wp14:anchorId="6C3A6C7E" wp14:editId="1BB284B5">
            <wp:extent cx="3960000" cy="2520000"/>
            <wp:effectExtent l="0" t="0" r="21590" b="33020"/>
            <wp:docPr id="4" name="Gráfico 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503A64" w14:textId="77777777" w:rsidR="00215B14" w:rsidRPr="00D216D6" w:rsidRDefault="00215B14" w:rsidP="00215B14">
      <w:pPr>
        <w:ind w:left="708" w:firstLine="708"/>
        <w:rPr>
          <w:rFonts w:ascii="Arial" w:hAnsi="Arial" w:cs="Arial"/>
          <w:sz w:val="24"/>
        </w:rPr>
      </w:pPr>
      <w:r w:rsidRPr="00D216D6">
        <w:rPr>
          <w:rFonts w:ascii="Arial" w:hAnsi="Arial" w:cs="Arial"/>
          <w:sz w:val="16"/>
        </w:rPr>
        <w:t>Fuente: INEGI.</w:t>
      </w:r>
    </w:p>
    <w:p w14:paraId="62DCD176" w14:textId="3C2239DD" w:rsidR="00215B14" w:rsidRPr="0057720D" w:rsidRDefault="00215B14" w:rsidP="004C5A6C">
      <w:pPr>
        <w:pStyle w:val="Textoindependiente"/>
        <w:spacing w:before="240"/>
        <w:rPr>
          <w:rFonts w:cs="Arial"/>
          <w:szCs w:val="24"/>
        </w:rPr>
      </w:pPr>
      <w:r w:rsidRPr="0057720D">
        <w:rPr>
          <w:rFonts w:cs="Arial"/>
          <w:szCs w:val="24"/>
        </w:rPr>
        <w:t xml:space="preserve">Por componentes, el Ahorro de la Economía Interna </w:t>
      </w:r>
      <w:r w:rsidR="009B1B2D">
        <w:rPr>
          <w:rFonts w:cs="Arial"/>
          <w:szCs w:val="24"/>
        </w:rPr>
        <w:t>descendió</w:t>
      </w:r>
      <w:r w:rsidRPr="0057720D">
        <w:rPr>
          <w:rFonts w:cs="Arial"/>
          <w:szCs w:val="24"/>
        </w:rPr>
        <w:t xml:space="preserve"> </w:t>
      </w:r>
      <w:r w:rsidR="009B1B2D">
        <w:rPr>
          <w:rFonts w:cs="Arial"/>
          <w:szCs w:val="24"/>
        </w:rPr>
        <w:t>2.3</w:t>
      </w:r>
      <w:r w:rsidRPr="0057720D">
        <w:rPr>
          <w:rFonts w:cs="Arial"/>
          <w:szCs w:val="24"/>
        </w:rPr>
        <w:t xml:space="preserve">% y los requerimientos de ahorro procedentes del Resto del Mundo para financiar la economía fueron negativos durante el trimestre </w:t>
      </w:r>
      <w:r w:rsidR="00426883">
        <w:rPr>
          <w:rFonts w:cs="Arial"/>
          <w:szCs w:val="24"/>
        </w:rPr>
        <w:t>enero-marzo de 2021</w:t>
      </w:r>
      <w:r w:rsidRPr="0057720D">
        <w:rPr>
          <w:rFonts w:cs="Arial"/>
          <w:szCs w:val="24"/>
        </w:rPr>
        <w:t xml:space="preserve"> frente al trimestre anterior.</w:t>
      </w:r>
    </w:p>
    <w:p w14:paraId="02983E00" w14:textId="4E0A8601" w:rsidR="00215B14" w:rsidRDefault="00215B14" w:rsidP="00D216D6">
      <w:pPr>
        <w:pStyle w:val="p0"/>
        <w:jc w:val="center"/>
        <w:rPr>
          <w:rFonts w:cs="Arial"/>
          <w:color w:val="auto"/>
          <w:sz w:val="20"/>
          <w:szCs w:val="22"/>
        </w:rPr>
      </w:pPr>
      <w:r>
        <w:rPr>
          <w:rFonts w:cs="Arial"/>
          <w:color w:val="auto"/>
          <w:sz w:val="20"/>
          <w:szCs w:val="22"/>
        </w:rPr>
        <w:t xml:space="preserve">Gráfica </w:t>
      </w:r>
      <w:r w:rsidR="001E3DC3">
        <w:rPr>
          <w:rFonts w:cs="Arial"/>
          <w:color w:val="auto"/>
          <w:sz w:val="20"/>
          <w:szCs w:val="22"/>
        </w:rPr>
        <w:t>9</w:t>
      </w:r>
    </w:p>
    <w:p w14:paraId="258F482A" w14:textId="0ED4212F"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de la Economía Interna </w:t>
      </w:r>
      <w:r>
        <w:rPr>
          <w:rFonts w:cs="Arial"/>
          <w:b/>
          <w:smallCaps/>
          <w:color w:val="auto"/>
          <w:sz w:val="22"/>
          <w:szCs w:val="22"/>
          <w:lang w:eastAsia="es-MX"/>
        </w:rPr>
        <w:br/>
        <w:t xml:space="preserve">al </w:t>
      </w:r>
      <w:r w:rsidR="00426883">
        <w:rPr>
          <w:rFonts w:cs="Arial"/>
          <w:b/>
          <w:smallCaps/>
          <w:color w:val="auto"/>
          <w:sz w:val="22"/>
          <w:szCs w:val="22"/>
          <w:lang w:eastAsia="es-MX"/>
        </w:rPr>
        <w:t>primer</w:t>
      </w:r>
      <w:r>
        <w:rPr>
          <w:rFonts w:cs="Arial"/>
          <w:b/>
          <w:smallCaps/>
          <w:color w:val="auto"/>
          <w:sz w:val="22"/>
          <w:szCs w:val="22"/>
          <w:lang w:eastAsia="es-MX"/>
        </w:rPr>
        <w:t xml:space="preserve"> 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04D035A7"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42A6E93C" w14:textId="77777777" w:rsidR="00215B14" w:rsidRPr="00100026" w:rsidRDefault="00215B14" w:rsidP="00215B14">
      <w:pPr>
        <w:jc w:val="center"/>
        <w:rPr>
          <w:rFonts w:ascii="Arial" w:hAnsi="Arial" w:cs="Arial"/>
          <w:sz w:val="14"/>
          <w:szCs w:val="14"/>
        </w:rPr>
      </w:pPr>
      <w:r w:rsidRPr="00100026">
        <w:rPr>
          <w:rFonts w:ascii="Arial" w:hAnsi="Arial" w:cs="Arial"/>
          <w:sz w:val="18"/>
          <w:szCs w:val="18"/>
          <w:lang w:eastAsia="es-MX"/>
        </w:rPr>
        <w:t>(Millones de pesos corrientes)</w:t>
      </w:r>
      <w:r w:rsidRPr="00100026">
        <w:rPr>
          <w:rFonts w:ascii="Arial" w:hAnsi="Arial" w:cs="Arial"/>
          <w:sz w:val="18"/>
          <w:szCs w:val="18"/>
        </w:rPr>
        <w:t xml:space="preserve"> </w:t>
      </w:r>
    </w:p>
    <w:p w14:paraId="184E8B06" w14:textId="2879CD0C" w:rsidR="00215B14" w:rsidRDefault="005D63A9" w:rsidP="00215B14">
      <w:pPr>
        <w:jc w:val="center"/>
        <w:rPr>
          <w:rFonts w:cs="Arial"/>
          <w:sz w:val="18"/>
          <w:szCs w:val="18"/>
        </w:rPr>
      </w:pPr>
      <w:r>
        <w:rPr>
          <w:noProof/>
          <w:snapToGrid/>
        </w:rPr>
        <w:drawing>
          <wp:inline distT="0" distB="0" distL="0" distR="0" wp14:anchorId="63BBFDA1" wp14:editId="6B291553">
            <wp:extent cx="3960000" cy="2520000"/>
            <wp:effectExtent l="0" t="0" r="21590" b="33020"/>
            <wp:docPr id="5" name="Gráfico 5">
              <a:extLst xmlns:a="http://schemas.openxmlformats.org/drawingml/2006/main">
                <a:ext uri="{FF2B5EF4-FFF2-40B4-BE49-F238E27FC236}">
                  <a16:creationId xmlns:a16="http://schemas.microsoft.com/office/drawing/2014/main" id="{BCBF99B5-1B86-45D1-A379-545C2CA38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38320F" w14:textId="77777777" w:rsidR="00215B14" w:rsidRPr="00D216D6" w:rsidRDefault="00215B14" w:rsidP="00215B14">
      <w:pPr>
        <w:pStyle w:val="p0"/>
        <w:spacing w:before="0"/>
        <w:ind w:left="708" w:firstLine="708"/>
        <w:jc w:val="left"/>
        <w:rPr>
          <w:rFonts w:cs="Arial"/>
          <w:color w:val="auto"/>
          <w:sz w:val="16"/>
        </w:rPr>
      </w:pPr>
      <w:r w:rsidRPr="00D216D6">
        <w:rPr>
          <w:rFonts w:cs="Arial"/>
          <w:color w:val="auto"/>
          <w:sz w:val="16"/>
        </w:rPr>
        <w:t>Fuente: INEGI.</w:t>
      </w:r>
    </w:p>
    <w:p w14:paraId="78AA29B6" w14:textId="0583820B" w:rsidR="00215B14" w:rsidRDefault="00215B14" w:rsidP="00215B14">
      <w:pPr>
        <w:pStyle w:val="p0"/>
        <w:spacing w:before="0"/>
        <w:jc w:val="center"/>
        <w:rPr>
          <w:rFonts w:cs="Arial"/>
          <w:color w:val="auto"/>
          <w:sz w:val="20"/>
          <w:szCs w:val="22"/>
        </w:rPr>
      </w:pPr>
      <w:r>
        <w:rPr>
          <w:rFonts w:cs="Arial"/>
          <w:color w:val="auto"/>
          <w:sz w:val="20"/>
          <w:szCs w:val="22"/>
        </w:rPr>
        <w:lastRenderedPageBreak/>
        <w:t xml:space="preserve">Gráfica </w:t>
      </w:r>
      <w:r w:rsidR="001E3DC3">
        <w:rPr>
          <w:rFonts w:cs="Arial"/>
          <w:color w:val="auto"/>
          <w:sz w:val="20"/>
          <w:szCs w:val="22"/>
        </w:rPr>
        <w:t>10</w:t>
      </w:r>
    </w:p>
    <w:p w14:paraId="330F2B9F" w14:textId="64696FCD"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Indicador Trimestral del Ahorro Bruto del Resto del Mundo</w:t>
      </w:r>
      <w:r>
        <w:rPr>
          <w:rFonts w:cs="Arial"/>
          <w:b/>
          <w:smallCaps/>
          <w:color w:val="auto"/>
          <w:sz w:val="22"/>
          <w:szCs w:val="22"/>
          <w:lang w:eastAsia="es-MX"/>
        </w:rPr>
        <w:br/>
        <w:t xml:space="preserve">al </w:t>
      </w:r>
      <w:r w:rsidR="00426883">
        <w:rPr>
          <w:rFonts w:cs="Arial"/>
          <w:b/>
          <w:smallCaps/>
          <w:color w:val="auto"/>
          <w:sz w:val="22"/>
          <w:szCs w:val="22"/>
          <w:lang w:eastAsia="es-MX"/>
        </w:rPr>
        <w:t>primer</w:t>
      </w:r>
      <w:r>
        <w:rPr>
          <w:rFonts w:cs="Arial"/>
          <w:b/>
          <w:smallCaps/>
          <w:color w:val="auto"/>
          <w:sz w:val="22"/>
          <w:szCs w:val="22"/>
          <w:lang w:eastAsia="es-MX"/>
        </w:rPr>
        <w:t xml:space="preserve"> trimestre de 202</w:t>
      </w:r>
      <w:r w:rsidR="00426883">
        <w:rPr>
          <w:rFonts w:cs="Arial"/>
          <w:b/>
          <w:smallCaps/>
          <w:color w:val="auto"/>
          <w:sz w:val="22"/>
          <w:szCs w:val="22"/>
          <w:lang w:eastAsia="es-MX"/>
        </w:rPr>
        <w:t>1</w:t>
      </w:r>
      <w:r>
        <w:rPr>
          <w:rFonts w:cs="Arial"/>
          <w:b/>
          <w:smallCaps/>
          <w:color w:val="auto"/>
          <w:sz w:val="22"/>
          <w:szCs w:val="22"/>
          <w:lang w:eastAsia="es-MX"/>
        </w:rPr>
        <w:t xml:space="preserve"> </w:t>
      </w:r>
    </w:p>
    <w:p w14:paraId="68093A04" w14:textId="77777777" w:rsidR="00215B14" w:rsidRDefault="00215B14" w:rsidP="00215B14">
      <w:pPr>
        <w:pStyle w:val="p0"/>
        <w:keepNext/>
        <w:widowControl/>
        <w:spacing w:before="0"/>
        <w:ind w:left="-142"/>
        <w:jc w:val="center"/>
        <w:rPr>
          <w:rFonts w:cs="Arial"/>
          <w:b/>
          <w:smallCaps/>
          <w:color w:val="auto"/>
          <w:sz w:val="22"/>
          <w:szCs w:val="22"/>
          <w:lang w:eastAsia="es-MX"/>
        </w:rPr>
      </w:pPr>
      <w:r>
        <w:rPr>
          <w:rFonts w:cs="Arial"/>
          <w:b/>
          <w:smallCaps/>
          <w:color w:val="auto"/>
          <w:sz w:val="22"/>
          <w:szCs w:val="22"/>
          <w:lang w:eastAsia="es-MX"/>
        </w:rPr>
        <w:t>Series desestacionalizada y de tendencia-ciclo</w:t>
      </w:r>
    </w:p>
    <w:p w14:paraId="4503A1B1" w14:textId="77777777" w:rsidR="00215B14" w:rsidRPr="00100026" w:rsidRDefault="00215B14" w:rsidP="00F35110">
      <w:pPr>
        <w:pStyle w:val="p0"/>
        <w:keepNext/>
        <w:widowControl/>
        <w:spacing w:before="0"/>
        <w:ind w:left="-142"/>
        <w:jc w:val="center"/>
        <w:rPr>
          <w:rFonts w:cs="Arial"/>
          <w:color w:val="auto"/>
          <w:sz w:val="18"/>
          <w:lang w:eastAsia="es-MX"/>
        </w:rPr>
      </w:pPr>
      <w:r w:rsidRPr="00100026">
        <w:rPr>
          <w:rFonts w:cs="Arial"/>
          <w:color w:val="auto"/>
          <w:sz w:val="18"/>
          <w:lang w:eastAsia="es-MX"/>
        </w:rPr>
        <w:t>(Millones de pesos corrientes)</w:t>
      </w:r>
    </w:p>
    <w:p w14:paraId="375ECEE7" w14:textId="716BF40C" w:rsidR="00215B14" w:rsidRDefault="005D63A9" w:rsidP="00215B14">
      <w:pPr>
        <w:jc w:val="center"/>
        <w:rPr>
          <w:rFonts w:cs="Arial"/>
          <w:sz w:val="18"/>
          <w:szCs w:val="18"/>
        </w:rPr>
      </w:pPr>
      <w:r>
        <w:rPr>
          <w:noProof/>
          <w:snapToGrid/>
        </w:rPr>
        <w:drawing>
          <wp:inline distT="0" distB="0" distL="0" distR="0" wp14:anchorId="557E56EF" wp14:editId="7D73CC8E">
            <wp:extent cx="3960000" cy="2448000"/>
            <wp:effectExtent l="0" t="0" r="21590" b="28575"/>
            <wp:docPr id="7" name="Gráfico 7">
              <a:extLst xmlns:a="http://schemas.openxmlformats.org/drawingml/2006/main">
                <a:ext uri="{FF2B5EF4-FFF2-40B4-BE49-F238E27FC236}">
                  <a16:creationId xmlns:a16="http://schemas.microsoft.com/office/drawing/2014/main" id="{D5D7C813-4E08-4780-98E1-53B304C17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345852" w14:textId="77777777" w:rsidR="00215B14" w:rsidRDefault="00215B14" w:rsidP="00215B14">
      <w:pPr>
        <w:pStyle w:val="p0"/>
        <w:spacing w:before="0"/>
        <w:ind w:left="708" w:firstLine="708"/>
        <w:rPr>
          <w:rFonts w:cs="Arial"/>
          <w:color w:val="auto"/>
          <w:sz w:val="20"/>
          <w:szCs w:val="22"/>
        </w:rPr>
      </w:pPr>
      <w:r>
        <w:rPr>
          <w:rFonts w:cs="Arial"/>
          <w:color w:val="auto"/>
          <w:sz w:val="18"/>
          <w:szCs w:val="22"/>
        </w:rPr>
        <w:t>Fuente: INEGI</w:t>
      </w:r>
      <w:r>
        <w:rPr>
          <w:rFonts w:cs="Arial"/>
          <w:sz w:val="16"/>
        </w:rPr>
        <w:t>.</w:t>
      </w:r>
    </w:p>
    <w:p w14:paraId="5359C9B6" w14:textId="1F9E824B" w:rsidR="00611F4E" w:rsidRPr="00611F4E" w:rsidRDefault="00611F4E" w:rsidP="000A532D">
      <w:pPr>
        <w:pStyle w:val="Textoindependiente"/>
        <w:spacing w:before="120"/>
        <w:rPr>
          <w:rFonts w:cs="Arial"/>
          <w:szCs w:val="24"/>
        </w:rPr>
      </w:pPr>
      <w:r w:rsidRPr="00611F4E">
        <w:rPr>
          <w:rFonts w:cs="Arial"/>
          <w:szCs w:val="24"/>
        </w:rPr>
        <w:t>En su comparación anual</w:t>
      </w:r>
      <w:r w:rsidR="00A816BB">
        <w:rPr>
          <w:rFonts w:cs="Arial"/>
          <w:szCs w:val="24"/>
        </w:rPr>
        <w:t xml:space="preserve"> y con cifras desestacionalizadas</w:t>
      </w:r>
      <w:r w:rsidRPr="00611F4E">
        <w:rPr>
          <w:rFonts w:cs="Arial"/>
          <w:szCs w:val="24"/>
        </w:rPr>
        <w:t xml:space="preserve">, el ITAB </w:t>
      </w:r>
      <w:r w:rsidR="009B1B2D">
        <w:rPr>
          <w:rFonts w:cs="Arial"/>
          <w:szCs w:val="24"/>
        </w:rPr>
        <w:t>avanzó 3.3</w:t>
      </w:r>
      <w:r w:rsidRPr="00611F4E">
        <w:rPr>
          <w:rFonts w:cs="Arial"/>
          <w:szCs w:val="24"/>
        </w:rPr>
        <w:t xml:space="preserve">% durante el </w:t>
      </w:r>
      <w:r w:rsidR="00D216D6">
        <w:rPr>
          <w:rFonts w:cs="Arial"/>
          <w:szCs w:val="24"/>
        </w:rPr>
        <w:t xml:space="preserve">primer </w:t>
      </w:r>
      <w:r w:rsidRPr="00611F4E">
        <w:rPr>
          <w:rFonts w:cs="Arial"/>
          <w:szCs w:val="24"/>
        </w:rPr>
        <w:t xml:space="preserve">trimestre </w:t>
      </w:r>
      <w:r w:rsidR="00D216D6">
        <w:rPr>
          <w:rFonts w:cs="Arial"/>
          <w:szCs w:val="24"/>
        </w:rPr>
        <w:t>de este año</w:t>
      </w:r>
      <w:r w:rsidRPr="00611F4E">
        <w:rPr>
          <w:rFonts w:cs="Arial"/>
          <w:szCs w:val="24"/>
        </w:rPr>
        <w:t xml:space="preserve">. A su interior, el de la Economía Interna creció </w:t>
      </w:r>
      <w:r w:rsidR="009B1B2D">
        <w:rPr>
          <w:rFonts w:cs="Arial"/>
          <w:szCs w:val="24"/>
        </w:rPr>
        <w:t>10.3</w:t>
      </w:r>
      <w:r w:rsidRPr="00611F4E">
        <w:rPr>
          <w:rFonts w:cs="Arial"/>
          <w:szCs w:val="24"/>
        </w:rPr>
        <w:t xml:space="preserve"> por ciento.</w:t>
      </w:r>
    </w:p>
    <w:p w14:paraId="1BB0A62F" w14:textId="77777777" w:rsidR="00C177C7" w:rsidRPr="00615E5F" w:rsidRDefault="00C177C7" w:rsidP="00DA3BDB">
      <w:pPr>
        <w:pStyle w:val="Textoindependiente"/>
        <w:spacing w:before="120"/>
        <w:rPr>
          <w:rFonts w:cs="Arial"/>
          <w:b/>
          <w:i/>
          <w:sz w:val="26"/>
          <w:szCs w:val="26"/>
          <w:u w:val="single"/>
        </w:rPr>
      </w:pPr>
      <w:r w:rsidRPr="00615E5F">
        <w:rPr>
          <w:rFonts w:cs="Arial"/>
          <w:b/>
          <w:i/>
          <w:sz w:val="26"/>
          <w:szCs w:val="26"/>
          <w:u w:val="single"/>
        </w:rPr>
        <w:t xml:space="preserve">Cifras originales </w:t>
      </w:r>
    </w:p>
    <w:p w14:paraId="62E40BF3" w14:textId="77777777" w:rsidR="00C177C7" w:rsidRPr="0057720D" w:rsidRDefault="00C177C7" w:rsidP="00DA3BDB">
      <w:pPr>
        <w:widowControl/>
        <w:spacing w:before="120"/>
        <w:jc w:val="center"/>
        <w:rPr>
          <w:rFonts w:ascii="Arial" w:hAnsi="Arial" w:cs="Arial"/>
          <w:szCs w:val="22"/>
        </w:rPr>
      </w:pPr>
      <w:r>
        <w:rPr>
          <w:rFonts w:ascii="Arial" w:hAnsi="Arial" w:cs="Arial"/>
          <w:szCs w:val="22"/>
        </w:rPr>
        <w:t>Cuadro</w:t>
      </w:r>
      <w:r w:rsidRPr="0057720D">
        <w:rPr>
          <w:rFonts w:ascii="Arial" w:hAnsi="Arial" w:cs="Arial"/>
          <w:szCs w:val="22"/>
        </w:rPr>
        <w:t xml:space="preserve"> </w:t>
      </w:r>
      <w:r>
        <w:rPr>
          <w:rFonts w:ascii="Arial" w:hAnsi="Arial" w:cs="Arial"/>
          <w:szCs w:val="22"/>
        </w:rPr>
        <w:t>2</w:t>
      </w:r>
    </w:p>
    <w:p w14:paraId="420EF09B" w14:textId="77777777" w:rsidR="00DA3BDB" w:rsidRDefault="00C177C7" w:rsidP="00C177C7">
      <w:pPr>
        <w:pStyle w:val="titdoc"/>
        <w:widowControl w:val="0"/>
        <w:spacing w:before="0"/>
        <w:ind w:left="0" w:firstLine="0"/>
        <w:jc w:val="center"/>
        <w:rPr>
          <w:smallCaps/>
          <w:sz w:val="22"/>
        </w:rPr>
      </w:pPr>
      <w:r>
        <w:rPr>
          <w:smallCaps/>
          <w:sz w:val="22"/>
        </w:rPr>
        <w:t xml:space="preserve">Oferta y Demanda Global de bienes y servicios </w:t>
      </w:r>
      <w:r w:rsidR="00DA3BDB">
        <w:rPr>
          <w:smallCaps/>
          <w:sz w:val="22"/>
        </w:rPr>
        <w:t xml:space="preserve">por componentes </w:t>
      </w:r>
    </w:p>
    <w:p w14:paraId="61AB4FED" w14:textId="080EFD0F" w:rsidR="00C177C7" w:rsidRDefault="00C177C7" w:rsidP="00C177C7">
      <w:pPr>
        <w:pStyle w:val="titdoc"/>
        <w:widowControl w:val="0"/>
        <w:spacing w:before="0"/>
        <w:ind w:left="0" w:firstLine="0"/>
        <w:jc w:val="center"/>
        <w:rPr>
          <w:smallCaps/>
          <w:sz w:val="22"/>
        </w:rPr>
      </w:pPr>
      <w:r w:rsidRPr="00FB2B52">
        <w:rPr>
          <w:smallCaps/>
          <w:color w:val="000000"/>
          <w:sz w:val="22"/>
        </w:rPr>
        <w:t xml:space="preserve">al </w:t>
      </w:r>
      <w:r>
        <w:rPr>
          <w:smallCaps/>
          <w:sz w:val="22"/>
        </w:rPr>
        <w:t>primer trimestre de 2021</w:t>
      </w:r>
    </w:p>
    <w:p w14:paraId="04263176" w14:textId="77777777" w:rsidR="00C177C7" w:rsidRDefault="00C177C7" w:rsidP="00C177C7">
      <w:pPr>
        <w:pStyle w:val="titdoc"/>
        <w:keepNext/>
        <w:keepLines/>
        <w:spacing w:before="0"/>
        <w:ind w:left="851"/>
        <w:jc w:val="center"/>
        <w:rPr>
          <w:rFonts w:cs="Arial"/>
          <w:sz w:val="16"/>
          <w:szCs w:val="16"/>
        </w:rPr>
      </w:pPr>
      <w:r w:rsidRPr="00100026">
        <w:rPr>
          <w:b w:val="0"/>
          <w:sz w:val="18"/>
          <w:szCs w:val="18"/>
        </w:rPr>
        <w:t>(Variación porcentual real respecto al mismo periodo del año anterior)</w:t>
      </w:r>
      <w:r w:rsidRPr="00637CA1">
        <w:rPr>
          <w:rFonts w:cs="Arial"/>
          <w:b w:val="0"/>
          <w:sz w:val="18"/>
          <w:szCs w:val="18"/>
        </w:rPr>
        <w:t xml:space="preserve"> </w:t>
      </w:r>
    </w:p>
    <w:tbl>
      <w:tblPr>
        <w:tblW w:w="4616" w:type="pct"/>
        <w:jc w:val="center"/>
        <w:tblLayout w:type="fixed"/>
        <w:tblCellMar>
          <w:left w:w="70" w:type="dxa"/>
          <w:right w:w="70" w:type="dxa"/>
        </w:tblCellMar>
        <w:tblLook w:val="0000" w:firstRow="0" w:lastRow="0" w:firstColumn="0" w:lastColumn="0" w:noHBand="0" w:noVBand="0"/>
      </w:tblPr>
      <w:tblGrid>
        <w:gridCol w:w="2489"/>
        <w:gridCol w:w="897"/>
        <w:gridCol w:w="848"/>
        <w:gridCol w:w="848"/>
        <w:gridCol w:w="853"/>
        <w:gridCol w:w="989"/>
        <w:gridCol w:w="991"/>
      </w:tblGrid>
      <w:tr w:rsidR="00C177C7" w:rsidRPr="001C5A88" w14:paraId="26E5D0EE" w14:textId="77777777" w:rsidTr="00F35110">
        <w:trPr>
          <w:cantSplit/>
          <w:jc w:val="center"/>
        </w:trPr>
        <w:tc>
          <w:tcPr>
            <w:tcW w:w="1572" w:type="pct"/>
            <w:vMerge w:val="restart"/>
            <w:tcBorders>
              <w:top w:val="double" w:sz="6" w:space="0" w:color="auto"/>
              <w:left w:val="double" w:sz="6" w:space="0" w:color="auto"/>
              <w:right w:val="double" w:sz="6" w:space="0" w:color="auto"/>
            </w:tcBorders>
            <w:shd w:val="clear" w:color="auto" w:fill="C2D69B" w:themeFill="accent3" w:themeFillTint="99"/>
            <w:vAlign w:val="center"/>
          </w:tcPr>
          <w:p w14:paraId="484420BB" w14:textId="77777777" w:rsidR="00C177C7" w:rsidRPr="00DA3BDB" w:rsidRDefault="00C177C7" w:rsidP="00E73206">
            <w:pPr>
              <w:pStyle w:val="titdoc"/>
              <w:keepNext/>
              <w:keepLines/>
              <w:spacing w:before="20" w:after="20"/>
              <w:ind w:left="721" w:right="335" w:hanging="437"/>
              <w:jc w:val="center"/>
              <w:rPr>
                <w:rFonts w:cs="Arial"/>
                <w:bCs/>
                <w:color w:val="000000" w:themeColor="text1"/>
                <w:sz w:val="18"/>
                <w:szCs w:val="18"/>
              </w:rPr>
            </w:pPr>
            <w:r w:rsidRPr="00DA3BDB">
              <w:rPr>
                <w:rFonts w:cs="Arial"/>
                <w:bCs/>
                <w:color w:val="000000" w:themeColor="text1"/>
                <w:sz w:val="18"/>
                <w:szCs w:val="18"/>
              </w:rPr>
              <w:t>Conceptos</w:t>
            </w:r>
          </w:p>
        </w:tc>
        <w:tc>
          <w:tcPr>
            <w:tcW w:w="2802" w:type="pct"/>
            <w:gridSpan w:val="5"/>
            <w:tcBorders>
              <w:top w:val="double" w:sz="6" w:space="0" w:color="auto"/>
              <w:left w:val="double" w:sz="6" w:space="0" w:color="auto"/>
              <w:bottom w:val="single" w:sz="4" w:space="0" w:color="auto"/>
              <w:right w:val="double" w:sz="6" w:space="0" w:color="auto"/>
            </w:tcBorders>
            <w:shd w:val="clear" w:color="auto" w:fill="C2D69B" w:themeFill="accent3" w:themeFillTint="99"/>
            <w:vAlign w:val="center"/>
          </w:tcPr>
          <w:p w14:paraId="78A88DDB" w14:textId="77777777" w:rsidR="00C177C7" w:rsidRPr="00DA3BDB" w:rsidRDefault="00C177C7" w:rsidP="00E73206">
            <w:pPr>
              <w:pStyle w:val="numero1"/>
              <w:keepNext/>
              <w:keepLines/>
              <w:spacing w:before="20" w:after="20"/>
              <w:ind w:left="0" w:firstLine="0"/>
              <w:jc w:val="center"/>
              <w:rPr>
                <w:rFonts w:cs="Arial"/>
                <w:b/>
                <w:bCs/>
                <w:color w:val="000000" w:themeColor="text1"/>
                <w:sz w:val="18"/>
                <w:szCs w:val="18"/>
              </w:rPr>
            </w:pPr>
            <w:r w:rsidRPr="00DA3BDB">
              <w:rPr>
                <w:rFonts w:cs="Arial"/>
                <w:b/>
                <w:bCs/>
                <w:color w:val="000000" w:themeColor="text1"/>
                <w:sz w:val="18"/>
                <w:szCs w:val="18"/>
              </w:rPr>
              <w:t>2020</w:t>
            </w:r>
            <w:r w:rsidRPr="00DA3BDB">
              <w:rPr>
                <w:rFonts w:cs="Arial"/>
                <w:b/>
                <w:bCs/>
                <w:color w:val="000000" w:themeColor="text1"/>
                <w:sz w:val="18"/>
                <w:szCs w:val="18"/>
                <w:vertAlign w:val="superscript"/>
              </w:rPr>
              <w:t>R/</w:t>
            </w:r>
          </w:p>
        </w:tc>
        <w:tc>
          <w:tcPr>
            <w:tcW w:w="626" w:type="pct"/>
            <w:tcBorders>
              <w:top w:val="double" w:sz="6" w:space="0" w:color="auto"/>
              <w:left w:val="double" w:sz="6" w:space="0" w:color="auto"/>
              <w:bottom w:val="single" w:sz="4" w:space="0" w:color="auto"/>
              <w:right w:val="double" w:sz="6" w:space="0" w:color="auto"/>
            </w:tcBorders>
            <w:shd w:val="clear" w:color="auto" w:fill="C2D69B" w:themeFill="accent3" w:themeFillTint="99"/>
          </w:tcPr>
          <w:p w14:paraId="75570849" w14:textId="77777777" w:rsidR="00C177C7" w:rsidRPr="00DA3BDB" w:rsidRDefault="00C177C7" w:rsidP="00E73206">
            <w:pPr>
              <w:pStyle w:val="numero1"/>
              <w:keepNext/>
              <w:keepLines/>
              <w:spacing w:before="20" w:after="20"/>
              <w:ind w:left="0" w:firstLine="0"/>
              <w:jc w:val="center"/>
              <w:rPr>
                <w:rFonts w:cs="Arial"/>
                <w:b/>
                <w:bCs/>
                <w:color w:val="000000" w:themeColor="text1"/>
                <w:sz w:val="18"/>
                <w:szCs w:val="18"/>
              </w:rPr>
            </w:pPr>
            <w:r w:rsidRPr="00DA3BDB">
              <w:rPr>
                <w:rFonts w:cs="Arial"/>
                <w:b/>
                <w:bCs/>
                <w:color w:val="000000" w:themeColor="text1"/>
                <w:sz w:val="18"/>
                <w:szCs w:val="18"/>
              </w:rPr>
              <w:t>2021</w:t>
            </w:r>
            <w:r w:rsidRPr="00DA3BDB">
              <w:rPr>
                <w:rFonts w:cs="Arial"/>
                <w:b/>
                <w:bCs/>
                <w:color w:val="000000" w:themeColor="text1"/>
                <w:sz w:val="18"/>
                <w:szCs w:val="18"/>
                <w:vertAlign w:val="superscript"/>
              </w:rPr>
              <w:t>P/</w:t>
            </w:r>
          </w:p>
        </w:tc>
      </w:tr>
      <w:tr w:rsidR="00C177C7" w:rsidRPr="001C5A88" w14:paraId="0F211D60" w14:textId="77777777" w:rsidTr="00F35110">
        <w:trPr>
          <w:cantSplit/>
          <w:jc w:val="center"/>
        </w:trPr>
        <w:tc>
          <w:tcPr>
            <w:tcW w:w="1572" w:type="pct"/>
            <w:vMerge/>
            <w:tcBorders>
              <w:left w:val="double" w:sz="6" w:space="0" w:color="auto"/>
              <w:right w:val="double" w:sz="6" w:space="0" w:color="auto"/>
            </w:tcBorders>
            <w:shd w:val="clear" w:color="auto" w:fill="C2D69B" w:themeFill="accent3" w:themeFillTint="99"/>
            <w:vAlign w:val="center"/>
          </w:tcPr>
          <w:p w14:paraId="598D1067" w14:textId="77777777" w:rsidR="00C177C7" w:rsidRPr="00DA3BDB" w:rsidRDefault="00C177C7" w:rsidP="00E73206">
            <w:pPr>
              <w:pStyle w:val="numero1"/>
              <w:keepNext/>
              <w:keepLines/>
              <w:spacing w:before="20" w:after="20"/>
              <w:ind w:left="284" w:hanging="434"/>
              <w:jc w:val="center"/>
              <w:rPr>
                <w:rFonts w:cs="Arial"/>
                <w:b/>
                <w:bCs/>
                <w:color w:val="000000" w:themeColor="text1"/>
                <w:sz w:val="18"/>
              </w:rPr>
            </w:pPr>
          </w:p>
        </w:tc>
        <w:tc>
          <w:tcPr>
            <w:tcW w:w="2177" w:type="pct"/>
            <w:gridSpan w:val="4"/>
            <w:tcBorders>
              <w:top w:val="single" w:sz="4" w:space="0" w:color="auto"/>
              <w:left w:val="double" w:sz="6" w:space="0" w:color="auto"/>
              <w:bottom w:val="single" w:sz="4" w:space="0" w:color="auto"/>
              <w:right w:val="single" w:sz="4" w:space="0" w:color="auto"/>
            </w:tcBorders>
            <w:shd w:val="clear" w:color="auto" w:fill="C2D69B" w:themeFill="accent3" w:themeFillTint="99"/>
            <w:vAlign w:val="center"/>
          </w:tcPr>
          <w:p w14:paraId="13BB265F" w14:textId="77777777" w:rsidR="00C177C7" w:rsidRPr="00DA3BDB" w:rsidRDefault="00C177C7" w:rsidP="00E7320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Trimestre</w:t>
            </w:r>
          </w:p>
        </w:tc>
        <w:tc>
          <w:tcPr>
            <w:tcW w:w="625" w:type="pct"/>
            <w:vMerge w:val="restart"/>
            <w:tcBorders>
              <w:top w:val="single" w:sz="4" w:space="0" w:color="auto"/>
              <w:left w:val="single" w:sz="4" w:space="0" w:color="auto"/>
              <w:right w:val="double" w:sz="6" w:space="0" w:color="auto"/>
            </w:tcBorders>
            <w:shd w:val="clear" w:color="auto" w:fill="C2D69B" w:themeFill="accent3" w:themeFillTint="99"/>
            <w:vAlign w:val="center"/>
          </w:tcPr>
          <w:p w14:paraId="0DBBD405" w14:textId="77777777" w:rsidR="00C177C7" w:rsidRPr="00DA3BDB" w:rsidRDefault="00C177C7" w:rsidP="00E7320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Anual</w:t>
            </w:r>
          </w:p>
        </w:tc>
        <w:tc>
          <w:tcPr>
            <w:tcW w:w="626" w:type="pct"/>
            <w:tcBorders>
              <w:top w:val="single" w:sz="4" w:space="0" w:color="auto"/>
              <w:left w:val="single" w:sz="4" w:space="0" w:color="auto"/>
              <w:bottom w:val="single" w:sz="4" w:space="0" w:color="auto"/>
              <w:right w:val="double" w:sz="6" w:space="0" w:color="auto"/>
            </w:tcBorders>
            <w:shd w:val="clear" w:color="auto" w:fill="C2D69B" w:themeFill="accent3" w:themeFillTint="99"/>
          </w:tcPr>
          <w:p w14:paraId="79C17E8F" w14:textId="77777777" w:rsidR="00C177C7" w:rsidRPr="00DA3BDB" w:rsidRDefault="00C177C7" w:rsidP="00E73206">
            <w:pPr>
              <w:pStyle w:val="numero1"/>
              <w:keepNext/>
              <w:keepLines/>
              <w:spacing w:before="20" w:after="20"/>
              <w:ind w:left="-62" w:right="-34" w:firstLine="0"/>
              <w:jc w:val="center"/>
              <w:rPr>
                <w:rFonts w:cs="Arial"/>
                <w:b/>
                <w:bCs/>
                <w:color w:val="000000" w:themeColor="text1"/>
                <w:sz w:val="18"/>
              </w:rPr>
            </w:pPr>
            <w:r w:rsidRPr="00DA3BDB">
              <w:rPr>
                <w:rFonts w:cs="Arial"/>
                <w:b/>
                <w:bCs/>
                <w:color w:val="000000" w:themeColor="text1"/>
                <w:sz w:val="18"/>
              </w:rPr>
              <w:t>Trimestre</w:t>
            </w:r>
          </w:p>
        </w:tc>
      </w:tr>
      <w:tr w:rsidR="00C177C7" w:rsidRPr="001C5A88" w14:paraId="33DC1AB4" w14:textId="77777777" w:rsidTr="00F35110">
        <w:trPr>
          <w:cantSplit/>
          <w:jc w:val="center"/>
        </w:trPr>
        <w:tc>
          <w:tcPr>
            <w:tcW w:w="1572" w:type="pct"/>
            <w:vMerge/>
            <w:tcBorders>
              <w:left w:val="double" w:sz="6" w:space="0" w:color="auto"/>
              <w:bottom w:val="double" w:sz="6" w:space="0" w:color="auto"/>
              <w:right w:val="double" w:sz="6" w:space="0" w:color="auto"/>
            </w:tcBorders>
            <w:shd w:val="clear" w:color="auto" w:fill="C2D69B" w:themeFill="accent3" w:themeFillTint="99"/>
            <w:vAlign w:val="center"/>
          </w:tcPr>
          <w:p w14:paraId="0470B53C" w14:textId="77777777" w:rsidR="00C177C7" w:rsidRPr="00DA3BDB" w:rsidRDefault="00C177C7" w:rsidP="00E73206">
            <w:pPr>
              <w:pStyle w:val="numero1"/>
              <w:keepNext/>
              <w:keepLines/>
              <w:spacing w:before="20" w:after="20"/>
              <w:ind w:left="284" w:hanging="434"/>
              <w:jc w:val="center"/>
              <w:rPr>
                <w:rFonts w:cs="Arial"/>
                <w:b/>
                <w:bCs/>
                <w:color w:val="000000" w:themeColor="text1"/>
                <w:sz w:val="18"/>
              </w:rPr>
            </w:pPr>
          </w:p>
        </w:tc>
        <w:tc>
          <w:tcPr>
            <w:tcW w:w="566" w:type="pct"/>
            <w:tcBorders>
              <w:top w:val="single" w:sz="4" w:space="0" w:color="auto"/>
              <w:left w:val="double" w:sz="6" w:space="0" w:color="auto"/>
              <w:bottom w:val="double" w:sz="6" w:space="0" w:color="auto"/>
              <w:right w:val="single" w:sz="4" w:space="0" w:color="auto"/>
            </w:tcBorders>
            <w:shd w:val="clear" w:color="auto" w:fill="C2D69B" w:themeFill="accent3" w:themeFillTint="99"/>
            <w:vAlign w:val="bottom"/>
          </w:tcPr>
          <w:p w14:paraId="72E56B9A"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w:t>
            </w:r>
          </w:p>
        </w:tc>
        <w:tc>
          <w:tcPr>
            <w:tcW w:w="536" w:type="pct"/>
            <w:tcBorders>
              <w:top w:val="single" w:sz="4" w:space="0" w:color="auto"/>
              <w:left w:val="single" w:sz="4" w:space="0" w:color="auto"/>
              <w:bottom w:val="double" w:sz="6" w:space="0" w:color="auto"/>
              <w:right w:val="single" w:sz="4" w:space="0" w:color="auto"/>
            </w:tcBorders>
            <w:shd w:val="clear" w:color="auto" w:fill="C2D69B" w:themeFill="accent3" w:themeFillTint="99"/>
            <w:vAlign w:val="bottom"/>
          </w:tcPr>
          <w:p w14:paraId="665DE49C"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II</w:t>
            </w:r>
          </w:p>
        </w:tc>
        <w:tc>
          <w:tcPr>
            <w:tcW w:w="536" w:type="pct"/>
            <w:tcBorders>
              <w:left w:val="single" w:sz="4" w:space="0" w:color="auto"/>
              <w:bottom w:val="double" w:sz="6" w:space="0" w:color="auto"/>
              <w:right w:val="single" w:sz="4" w:space="0" w:color="auto"/>
            </w:tcBorders>
            <w:shd w:val="clear" w:color="auto" w:fill="C2D69B" w:themeFill="accent3" w:themeFillTint="99"/>
            <w:vAlign w:val="bottom"/>
          </w:tcPr>
          <w:p w14:paraId="3B1823A4"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III</w:t>
            </w:r>
          </w:p>
        </w:tc>
        <w:tc>
          <w:tcPr>
            <w:tcW w:w="538" w:type="pct"/>
            <w:tcBorders>
              <w:left w:val="single" w:sz="4" w:space="0" w:color="auto"/>
              <w:bottom w:val="double" w:sz="6" w:space="0" w:color="auto"/>
              <w:right w:val="single" w:sz="4" w:space="0" w:color="auto"/>
            </w:tcBorders>
            <w:shd w:val="clear" w:color="auto" w:fill="C2D69B" w:themeFill="accent3" w:themeFillTint="99"/>
            <w:vAlign w:val="center"/>
          </w:tcPr>
          <w:p w14:paraId="281C24CB"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IV</w:t>
            </w:r>
          </w:p>
        </w:tc>
        <w:tc>
          <w:tcPr>
            <w:tcW w:w="625" w:type="pct"/>
            <w:vMerge/>
            <w:tcBorders>
              <w:top w:val="single" w:sz="4" w:space="0" w:color="auto"/>
              <w:left w:val="single" w:sz="4" w:space="0" w:color="auto"/>
              <w:bottom w:val="double" w:sz="6" w:space="0" w:color="auto"/>
              <w:right w:val="double" w:sz="6" w:space="0" w:color="auto"/>
            </w:tcBorders>
            <w:shd w:val="clear" w:color="auto" w:fill="C2D69B" w:themeFill="accent3" w:themeFillTint="99"/>
            <w:vAlign w:val="center"/>
          </w:tcPr>
          <w:p w14:paraId="5ABC4DE5"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p>
        </w:tc>
        <w:tc>
          <w:tcPr>
            <w:tcW w:w="626" w:type="pct"/>
            <w:tcBorders>
              <w:top w:val="single" w:sz="4" w:space="0" w:color="auto"/>
              <w:left w:val="single" w:sz="4" w:space="0" w:color="auto"/>
              <w:bottom w:val="double" w:sz="6" w:space="0" w:color="auto"/>
              <w:right w:val="double" w:sz="6" w:space="0" w:color="auto"/>
            </w:tcBorders>
            <w:shd w:val="clear" w:color="auto" w:fill="C2D69B" w:themeFill="accent3" w:themeFillTint="99"/>
            <w:vAlign w:val="center"/>
          </w:tcPr>
          <w:p w14:paraId="05053558" w14:textId="77777777" w:rsidR="00C177C7" w:rsidRPr="00DA3BDB" w:rsidRDefault="00C177C7" w:rsidP="00E73206">
            <w:pPr>
              <w:pStyle w:val="numero1"/>
              <w:keepNext/>
              <w:keepLines/>
              <w:spacing w:before="20" w:after="20"/>
              <w:ind w:left="2" w:hanging="2"/>
              <w:jc w:val="center"/>
              <w:rPr>
                <w:rFonts w:cs="Arial"/>
                <w:b/>
                <w:bCs/>
                <w:color w:val="000000" w:themeColor="text1"/>
                <w:sz w:val="18"/>
              </w:rPr>
            </w:pPr>
            <w:r w:rsidRPr="00DA3BDB">
              <w:rPr>
                <w:rFonts w:cs="Arial"/>
                <w:b/>
                <w:bCs/>
                <w:color w:val="000000" w:themeColor="text1"/>
                <w:sz w:val="18"/>
              </w:rPr>
              <w:t>I</w:t>
            </w:r>
          </w:p>
        </w:tc>
      </w:tr>
      <w:tr w:rsidR="00C177C7" w:rsidRPr="001C5A88" w14:paraId="71F7BD02" w14:textId="77777777" w:rsidTr="00F35110">
        <w:trPr>
          <w:cantSplit/>
          <w:jc w:val="center"/>
        </w:trPr>
        <w:tc>
          <w:tcPr>
            <w:tcW w:w="1572" w:type="pct"/>
            <w:tcBorders>
              <w:left w:val="double" w:sz="6" w:space="0" w:color="auto"/>
              <w:right w:val="double" w:sz="6" w:space="0" w:color="auto"/>
            </w:tcBorders>
            <w:shd w:val="clear" w:color="auto" w:fill="auto"/>
          </w:tcPr>
          <w:p w14:paraId="1DF94BE7" w14:textId="77777777" w:rsidR="00C177C7" w:rsidRPr="004260E6" w:rsidRDefault="00C177C7" w:rsidP="00E73206">
            <w:pPr>
              <w:pStyle w:val="numero1"/>
              <w:widowControl w:val="0"/>
              <w:spacing w:before="120" w:after="20"/>
              <w:ind w:left="170" w:firstLine="0"/>
              <w:jc w:val="left"/>
              <w:rPr>
                <w:rFonts w:cs="Arial"/>
                <w:sz w:val="18"/>
              </w:rPr>
            </w:pPr>
            <w:r w:rsidRPr="004260E6">
              <w:rPr>
                <w:rFonts w:cs="Arial"/>
                <w:sz w:val="18"/>
              </w:rPr>
              <w:t>Producto Interno Bruto</w:t>
            </w:r>
          </w:p>
        </w:tc>
        <w:tc>
          <w:tcPr>
            <w:tcW w:w="566" w:type="pct"/>
            <w:tcBorders>
              <w:top w:val="double" w:sz="6" w:space="0" w:color="auto"/>
              <w:left w:val="single" w:sz="4" w:space="0" w:color="auto"/>
            </w:tcBorders>
            <w:shd w:val="clear" w:color="auto" w:fill="auto"/>
            <w:vAlign w:val="center"/>
          </w:tcPr>
          <w:p w14:paraId="7FE18E98" w14:textId="77777777" w:rsidR="00C177C7" w:rsidRPr="004260E6" w:rsidRDefault="00C177C7" w:rsidP="00E73206">
            <w:pPr>
              <w:tabs>
                <w:tab w:val="decimal" w:pos="370"/>
              </w:tabs>
              <w:spacing w:before="120"/>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w:t>
            </w:r>
            <w:proofErr w:type="gramEnd"/>
            <w:r>
              <w:rPr>
                <w:rFonts w:ascii="Arial" w:hAnsi="Arial" w:cs="Arial"/>
                <w:sz w:val="18"/>
                <w:szCs w:val="18"/>
              </w:rPr>
              <w:t>.3</w:t>
            </w:r>
          </w:p>
        </w:tc>
        <w:tc>
          <w:tcPr>
            <w:tcW w:w="536" w:type="pct"/>
            <w:tcBorders>
              <w:top w:val="double" w:sz="6" w:space="0" w:color="auto"/>
            </w:tcBorders>
            <w:shd w:val="clear" w:color="auto" w:fill="auto"/>
            <w:vAlign w:val="center"/>
          </w:tcPr>
          <w:p w14:paraId="0B284778" w14:textId="77777777" w:rsidR="00C177C7" w:rsidRPr="004260E6" w:rsidRDefault="00C177C7" w:rsidP="00E73206">
            <w:pPr>
              <w:tabs>
                <w:tab w:val="decimal" w:pos="370"/>
              </w:tabs>
              <w:spacing w:before="120"/>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.7</w:t>
            </w:r>
          </w:p>
        </w:tc>
        <w:tc>
          <w:tcPr>
            <w:tcW w:w="536" w:type="pct"/>
            <w:tcBorders>
              <w:top w:val="double" w:sz="6" w:space="0" w:color="auto"/>
            </w:tcBorders>
            <w:shd w:val="clear" w:color="auto" w:fill="auto"/>
            <w:vAlign w:val="center"/>
          </w:tcPr>
          <w:p w14:paraId="234A8FF3" w14:textId="77777777" w:rsidR="00C177C7" w:rsidRPr="004260E6" w:rsidRDefault="00C177C7" w:rsidP="00E73206">
            <w:pPr>
              <w:tabs>
                <w:tab w:val="decimal" w:pos="370"/>
              </w:tabs>
              <w:spacing w:before="120"/>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8.7</w:t>
            </w:r>
          </w:p>
        </w:tc>
        <w:tc>
          <w:tcPr>
            <w:tcW w:w="538" w:type="pct"/>
            <w:tcBorders>
              <w:top w:val="double" w:sz="6" w:space="0" w:color="auto"/>
            </w:tcBorders>
            <w:shd w:val="clear" w:color="auto" w:fill="auto"/>
            <w:vAlign w:val="center"/>
          </w:tcPr>
          <w:p w14:paraId="7E813072" w14:textId="77777777" w:rsidR="00C177C7" w:rsidRDefault="00C177C7" w:rsidP="00E73206">
            <w:pPr>
              <w:tabs>
                <w:tab w:val="decimal" w:pos="370"/>
              </w:tabs>
              <w:spacing w:before="120"/>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4.5</w:t>
            </w:r>
          </w:p>
        </w:tc>
        <w:tc>
          <w:tcPr>
            <w:tcW w:w="625" w:type="pct"/>
            <w:tcBorders>
              <w:top w:val="double" w:sz="6" w:space="0" w:color="auto"/>
              <w:right w:val="double" w:sz="6" w:space="0" w:color="auto"/>
            </w:tcBorders>
            <w:shd w:val="clear" w:color="auto" w:fill="auto"/>
            <w:vAlign w:val="center"/>
          </w:tcPr>
          <w:p w14:paraId="3D2C7715" w14:textId="77777777" w:rsidR="00C177C7" w:rsidRPr="004260E6" w:rsidRDefault="00C177C7" w:rsidP="00E73206">
            <w:pPr>
              <w:tabs>
                <w:tab w:val="decimal" w:pos="370"/>
              </w:tabs>
              <w:spacing w:before="120"/>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8.3</w:t>
            </w:r>
          </w:p>
        </w:tc>
        <w:tc>
          <w:tcPr>
            <w:tcW w:w="626" w:type="pct"/>
            <w:tcBorders>
              <w:top w:val="double" w:sz="6" w:space="0" w:color="auto"/>
              <w:right w:val="double" w:sz="6" w:space="0" w:color="auto"/>
            </w:tcBorders>
            <w:shd w:val="clear" w:color="auto" w:fill="auto"/>
            <w:vAlign w:val="center"/>
          </w:tcPr>
          <w:p w14:paraId="6DE1293B" w14:textId="77777777" w:rsidR="00C177C7" w:rsidRDefault="00C177C7" w:rsidP="00E73206">
            <w:pPr>
              <w:tabs>
                <w:tab w:val="decimal" w:pos="370"/>
              </w:tabs>
              <w:spacing w:before="120"/>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3</w:t>
            </w:r>
            <w:proofErr w:type="gramEnd"/>
            <w:r>
              <w:rPr>
                <w:rFonts w:ascii="Arial" w:hAnsi="Arial" w:cs="Arial"/>
                <w:sz w:val="18"/>
                <w:szCs w:val="18"/>
              </w:rPr>
              <w:t>.6</w:t>
            </w:r>
          </w:p>
        </w:tc>
      </w:tr>
      <w:tr w:rsidR="00C177C7" w:rsidRPr="001C5A88" w14:paraId="68922C14" w14:textId="77777777" w:rsidTr="00F35110">
        <w:trPr>
          <w:cantSplit/>
          <w:jc w:val="center"/>
        </w:trPr>
        <w:tc>
          <w:tcPr>
            <w:tcW w:w="1572" w:type="pct"/>
            <w:tcBorders>
              <w:left w:val="double" w:sz="6" w:space="0" w:color="auto"/>
              <w:right w:val="double" w:sz="6" w:space="0" w:color="auto"/>
            </w:tcBorders>
            <w:shd w:val="clear" w:color="auto" w:fill="auto"/>
          </w:tcPr>
          <w:p w14:paraId="481AEA3D" w14:textId="77777777" w:rsidR="00C177C7" w:rsidRPr="004260E6" w:rsidRDefault="00C177C7" w:rsidP="00E73206">
            <w:pPr>
              <w:pStyle w:val="titdoc"/>
              <w:widowControl w:val="0"/>
              <w:spacing w:before="40" w:after="20"/>
              <w:ind w:left="170" w:right="-71" w:firstLine="0"/>
              <w:jc w:val="left"/>
              <w:rPr>
                <w:rFonts w:cs="Arial"/>
                <w:b w:val="0"/>
                <w:sz w:val="18"/>
              </w:rPr>
            </w:pPr>
            <w:r w:rsidRPr="004260E6">
              <w:rPr>
                <w:rFonts w:cs="Arial"/>
                <w:b w:val="0"/>
                <w:sz w:val="18"/>
              </w:rPr>
              <w:t>Importación de Bienes y Servicios</w:t>
            </w:r>
          </w:p>
        </w:tc>
        <w:tc>
          <w:tcPr>
            <w:tcW w:w="566" w:type="pct"/>
            <w:tcBorders>
              <w:left w:val="single" w:sz="4" w:space="0" w:color="auto"/>
            </w:tcBorders>
            <w:shd w:val="clear" w:color="auto" w:fill="auto"/>
            <w:vAlign w:val="center"/>
          </w:tcPr>
          <w:p w14:paraId="4B991162" w14:textId="77777777" w:rsidR="00C177C7" w:rsidRPr="004260E6" w:rsidRDefault="00C177C7" w:rsidP="00E73206">
            <w:pPr>
              <w:tabs>
                <w:tab w:val="decimal" w:pos="370"/>
              </w:tabs>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3</w:t>
            </w:r>
            <w:proofErr w:type="gramEnd"/>
            <w:r>
              <w:rPr>
                <w:rFonts w:ascii="Arial" w:hAnsi="Arial" w:cs="Arial"/>
                <w:sz w:val="18"/>
                <w:szCs w:val="18"/>
              </w:rPr>
              <w:t>.1</w:t>
            </w:r>
          </w:p>
        </w:tc>
        <w:tc>
          <w:tcPr>
            <w:tcW w:w="536" w:type="pct"/>
            <w:shd w:val="clear" w:color="auto" w:fill="auto"/>
            <w:vAlign w:val="center"/>
          </w:tcPr>
          <w:p w14:paraId="4A3CB3AB"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29</w:t>
            </w:r>
            <w:proofErr w:type="gramEnd"/>
            <w:r>
              <w:rPr>
                <w:rFonts w:ascii="Arial" w:hAnsi="Arial" w:cs="Arial"/>
                <w:sz w:val="18"/>
                <w:szCs w:val="18"/>
              </w:rPr>
              <w:t>.7</w:t>
            </w:r>
          </w:p>
        </w:tc>
        <w:tc>
          <w:tcPr>
            <w:tcW w:w="536" w:type="pct"/>
            <w:shd w:val="clear" w:color="auto" w:fill="auto"/>
            <w:vAlign w:val="center"/>
          </w:tcPr>
          <w:p w14:paraId="15C58383" w14:textId="528E1705"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.5</w:t>
            </w:r>
          </w:p>
        </w:tc>
        <w:tc>
          <w:tcPr>
            <w:tcW w:w="538" w:type="pct"/>
            <w:shd w:val="clear" w:color="auto" w:fill="auto"/>
            <w:vAlign w:val="center"/>
          </w:tcPr>
          <w:p w14:paraId="5552EAA4" w14:textId="77777777" w:rsidR="00C177C7"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6.6</w:t>
            </w:r>
          </w:p>
        </w:tc>
        <w:tc>
          <w:tcPr>
            <w:tcW w:w="625" w:type="pct"/>
            <w:tcBorders>
              <w:right w:val="double" w:sz="6" w:space="0" w:color="auto"/>
            </w:tcBorders>
            <w:shd w:val="clear" w:color="auto" w:fill="auto"/>
            <w:vAlign w:val="center"/>
          </w:tcPr>
          <w:p w14:paraId="69007C4D" w14:textId="77777777" w:rsidR="00C177C7" w:rsidRPr="004260E6"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14</w:t>
            </w:r>
            <w:proofErr w:type="gramEnd"/>
            <w:r>
              <w:rPr>
                <w:rFonts w:ascii="Arial" w:hAnsi="Arial" w:cs="Arial"/>
                <w:sz w:val="18"/>
                <w:szCs w:val="18"/>
              </w:rPr>
              <w:t>.6</w:t>
            </w:r>
          </w:p>
        </w:tc>
        <w:tc>
          <w:tcPr>
            <w:tcW w:w="626" w:type="pct"/>
            <w:tcBorders>
              <w:right w:val="double" w:sz="6" w:space="0" w:color="auto"/>
            </w:tcBorders>
            <w:shd w:val="clear" w:color="auto" w:fill="auto"/>
            <w:vAlign w:val="center"/>
          </w:tcPr>
          <w:p w14:paraId="52AD974C" w14:textId="77777777" w:rsidR="00C177C7"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w:t>
            </w:r>
            <w:proofErr w:type="gramEnd"/>
            <w:r>
              <w:rPr>
                <w:rFonts w:ascii="Arial" w:hAnsi="Arial" w:cs="Arial"/>
                <w:sz w:val="18"/>
                <w:szCs w:val="18"/>
              </w:rPr>
              <w:t>.0</w:t>
            </w:r>
          </w:p>
        </w:tc>
      </w:tr>
      <w:tr w:rsidR="00C177C7" w:rsidRPr="001C5A88" w14:paraId="55E7ABFB" w14:textId="77777777" w:rsidTr="00F35110">
        <w:trPr>
          <w:cantSplit/>
          <w:jc w:val="center"/>
        </w:trPr>
        <w:tc>
          <w:tcPr>
            <w:tcW w:w="1572" w:type="pct"/>
            <w:tcBorders>
              <w:left w:val="double" w:sz="6" w:space="0" w:color="auto"/>
              <w:right w:val="double" w:sz="6" w:space="0" w:color="auto"/>
            </w:tcBorders>
            <w:shd w:val="clear" w:color="auto" w:fill="auto"/>
            <w:vAlign w:val="center"/>
          </w:tcPr>
          <w:p w14:paraId="4AB1E391" w14:textId="77777777" w:rsidR="00C177C7" w:rsidRPr="004260E6" w:rsidRDefault="00C177C7" w:rsidP="00E73206">
            <w:pPr>
              <w:pStyle w:val="titdoc"/>
              <w:widowControl w:val="0"/>
              <w:spacing w:before="40" w:after="20"/>
              <w:ind w:left="57" w:firstLine="0"/>
              <w:jc w:val="left"/>
              <w:rPr>
                <w:rFonts w:cs="Arial"/>
                <w:sz w:val="18"/>
              </w:rPr>
            </w:pPr>
            <w:r w:rsidRPr="004260E6">
              <w:rPr>
                <w:rFonts w:cs="Arial"/>
                <w:sz w:val="18"/>
              </w:rPr>
              <w:t>Oferta = Demanda</w:t>
            </w:r>
          </w:p>
        </w:tc>
        <w:tc>
          <w:tcPr>
            <w:tcW w:w="566" w:type="pct"/>
            <w:tcBorders>
              <w:left w:val="single" w:sz="4" w:space="0" w:color="auto"/>
            </w:tcBorders>
            <w:shd w:val="clear" w:color="auto" w:fill="auto"/>
            <w:vAlign w:val="center"/>
          </w:tcPr>
          <w:p w14:paraId="25740586" w14:textId="77777777" w:rsidR="00C177C7" w:rsidRPr="004260E6" w:rsidRDefault="00C177C7" w:rsidP="00E73206">
            <w:pPr>
              <w:tabs>
                <w:tab w:val="decimal" w:pos="370"/>
              </w:tabs>
              <w:ind w:right="170"/>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1</w:t>
            </w:r>
            <w:proofErr w:type="gramEnd"/>
            <w:r>
              <w:rPr>
                <w:rFonts w:ascii="Arial" w:hAnsi="Arial" w:cs="Arial"/>
                <w:b/>
                <w:bCs/>
                <w:sz w:val="18"/>
                <w:szCs w:val="18"/>
              </w:rPr>
              <w:t>.8</w:t>
            </w:r>
          </w:p>
        </w:tc>
        <w:tc>
          <w:tcPr>
            <w:tcW w:w="536" w:type="pct"/>
            <w:shd w:val="clear" w:color="auto" w:fill="auto"/>
            <w:vAlign w:val="center"/>
          </w:tcPr>
          <w:p w14:paraId="6F04A2F8" w14:textId="77777777" w:rsidR="00C177C7" w:rsidRPr="004260E6" w:rsidRDefault="00C177C7" w:rsidP="00E73206">
            <w:pPr>
              <w:tabs>
                <w:tab w:val="decimal" w:pos="370"/>
              </w:tabs>
              <w:ind w:right="5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21</w:t>
            </w:r>
            <w:proofErr w:type="gramEnd"/>
            <w:r>
              <w:rPr>
                <w:rFonts w:ascii="Arial" w:hAnsi="Arial" w:cs="Arial"/>
                <w:b/>
                <w:bCs/>
                <w:sz w:val="18"/>
                <w:szCs w:val="18"/>
              </w:rPr>
              <w:t>.7</w:t>
            </w:r>
          </w:p>
        </w:tc>
        <w:tc>
          <w:tcPr>
            <w:tcW w:w="536" w:type="pct"/>
            <w:shd w:val="clear" w:color="auto" w:fill="auto"/>
            <w:vAlign w:val="center"/>
          </w:tcPr>
          <w:p w14:paraId="1FECF444" w14:textId="77777777" w:rsidR="00C177C7" w:rsidRPr="004260E6" w:rsidRDefault="00C177C7" w:rsidP="00E73206">
            <w:pPr>
              <w:tabs>
                <w:tab w:val="decimal" w:pos="370"/>
              </w:tabs>
              <w:ind w:right="5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11</w:t>
            </w:r>
            <w:proofErr w:type="gramEnd"/>
            <w:r>
              <w:rPr>
                <w:rFonts w:ascii="Arial" w:hAnsi="Arial" w:cs="Arial"/>
                <w:b/>
                <w:bCs/>
                <w:sz w:val="18"/>
                <w:szCs w:val="18"/>
              </w:rPr>
              <w:t>.5</w:t>
            </w:r>
          </w:p>
        </w:tc>
        <w:tc>
          <w:tcPr>
            <w:tcW w:w="538" w:type="pct"/>
            <w:shd w:val="clear" w:color="auto" w:fill="auto"/>
            <w:vAlign w:val="center"/>
          </w:tcPr>
          <w:p w14:paraId="60638508" w14:textId="77777777" w:rsidR="00C177C7" w:rsidRDefault="00C177C7" w:rsidP="00E73206">
            <w:pPr>
              <w:tabs>
                <w:tab w:val="decimal" w:pos="370"/>
              </w:tabs>
              <w:ind w:right="5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xml:space="preserve">)   </w:t>
            </w:r>
            <w:proofErr w:type="gramEnd"/>
            <w:r>
              <w:rPr>
                <w:rFonts w:ascii="Arial" w:hAnsi="Arial" w:cs="Arial"/>
                <w:b/>
                <w:bCs/>
                <w:sz w:val="18"/>
                <w:szCs w:val="18"/>
              </w:rPr>
              <w:t xml:space="preserve"> 5.0</w:t>
            </w:r>
          </w:p>
        </w:tc>
        <w:tc>
          <w:tcPr>
            <w:tcW w:w="625" w:type="pct"/>
            <w:tcBorders>
              <w:right w:val="double" w:sz="6" w:space="0" w:color="auto"/>
            </w:tcBorders>
            <w:shd w:val="clear" w:color="auto" w:fill="auto"/>
            <w:vAlign w:val="center"/>
          </w:tcPr>
          <w:p w14:paraId="64F363D0" w14:textId="77777777" w:rsidR="00C177C7" w:rsidRPr="004260E6" w:rsidRDefault="00C177C7" w:rsidP="00E73206">
            <w:pPr>
              <w:tabs>
                <w:tab w:val="decimal" w:pos="370"/>
              </w:tabs>
              <w:ind w:right="113"/>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10</w:t>
            </w:r>
            <w:proofErr w:type="gramEnd"/>
            <w:r>
              <w:rPr>
                <w:rFonts w:ascii="Arial" w:hAnsi="Arial" w:cs="Arial"/>
                <w:b/>
                <w:bCs/>
                <w:sz w:val="18"/>
                <w:szCs w:val="18"/>
              </w:rPr>
              <w:t>.0</w:t>
            </w:r>
          </w:p>
        </w:tc>
        <w:tc>
          <w:tcPr>
            <w:tcW w:w="626" w:type="pct"/>
            <w:tcBorders>
              <w:right w:val="double" w:sz="6" w:space="0" w:color="auto"/>
            </w:tcBorders>
            <w:shd w:val="clear" w:color="auto" w:fill="auto"/>
            <w:vAlign w:val="center"/>
          </w:tcPr>
          <w:p w14:paraId="68490F95" w14:textId="77777777" w:rsidR="00C177C7" w:rsidRDefault="00C177C7" w:rsidP="00E73206">
            <w:pPr>
              <w:tabs>
                <w:tab w:val="decimal" w:pos="370"/>
              </w:tabs>
              <w:ind w:right="113"/>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noBreakHyphen/>
              <w:t>)  2</w:t>
            </w:r>
            <w:proofErr w:type="gramEnd"/>
            <w:r>
              <w:rPr>
                <w:rFonts w:ascii="Arial" w:hAnsi="Arial" w:cs="Arial"/>
                <w:b/>
                <w:bCs/>
                <w:sz w:val="18"/>
                <w:szCs w:val="18"/>
              </w:rPr>
              <w:t>.9</w:t>
            </w:r>
          </w:p>
        </w:tc>
      </w:tr>
      <w:tr w:rsidR="00C177C7" w:rsidRPr="001C5A88" w14:paraId="601834AC" w14:textId="77777777" w:rsidTr="00F35110">
        <w:trPr>
          <w:cantSplit/>
          <w:jc w:val="center"/>
        </w:trPr>
        <w:tc>
          <w:tcPr>
            <w:tcW w:w="1572" w:type="pct"/>
            <w:tcBorders>
              <w:left w:val="double" w:sz="6" w:space="0" w:color="auto"/>
              <w:right w:val="double" w:sz="6" w:space="0" w:color="auto"/>
            </w:tcBorders>
            <w:shd w:val="clear" w:color="auto" w:fill="auto"/>
          </w:tcPr>
          <w:p w14:paraId="33BDA8C1" w14:textId="77777777" w:rsidR="00C177C7" w:rsidRPr="004260E6" w:rsidRDefault="00C177C7" w:rsidP="00E73206">
            <w:pPr>
              <w:pStyle w:val="titdoc"/>
              <w:widowControl w:val="0"/>
              <w:spacing w:before="40" w:after="20"/>
              <w:ind w:left="170" w:firstLine="0"/>
              <w:jc w:val="left"/>
              <w:rPr>
                <w:rFonts w:cs="Arial"/>
                <w:b w:val="0"/>
                <w:sz w:val="18"/>
              </w:rPr>
            </w:pPr>
            <w:r w:rsidRPr="004260E6">
              <w:rPr>
                <w:rFonts w:cs="Arial"/>
                <w:b w:val="0"/>
                <w:sz w:val="18"/>
              </w:rPr>
              <w:t>Consumo Privado</w:t>
            </w:r>
          </w:p>
        </w:tc>
        <w:tc>
          <w:tcPr>
            <w:tcW w:w="566" w:type="pct"/>
            <w:tcBorders>
              <w:left w:val="single" w:sz="4" w:space="0" w:color="auto"/>
            </w:tcBorders>
            <w:shd w:val="clear" w:color="auto" w:fill="auto"/>
            <w:vAlign w:val="center"/>
          </w:tcPr>
          <w:p w14:paraId="0DFFD586" w14:textId="77777777" w:rsidR="00C177C7" w:rsidRPr="004260E6" w:rsidRDefault="00C177C7" w:rsidP="00E73206">
            <w:pPr>
              <w:tabs>
                <w:tab w:val="decimal" w:pos="370"/>
              </w:tabs>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0</w:t>
            </w:r>
            <w:proofErr w:type="gramEnd"/>
            <w:r>
              <w:rPr>
                <w:rFonts w:ascii="Arial" w:hAnsi="Arial" w:cs="Arial"/>
                <w:sz w:val="18"/>
                <w:szCs w:val="18"/>
              </w:rPr>
              <w:t>.7</w:t>
            </w:r>
          </w:p>
        </w:tc>
        <w:tc>
          <w:tcPr>
            <w:tcW w:w="536" w:type="pct"/>
            <w:shd w:val="clear" w:color="auto" w:fill="auto"/>
            <w:vAlign w:val="center"/>
          </w:tcPr>
          <w:p w14:paraId="2AAF2E41"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21</w:t>
            </w:r>
            <w:proofErr w:type="gramEnd"/>
            <w:r>
              <w:rPr>
                <w:rFonts w:ascii="Arial" w:hAnsi="Arial" w:cs="Arial"/>
                <w:sz w:val="18"/>
                <w:szCs w:val="18"/>
              </w:rPr>
              <w:t>.0</w:t>
            </w:r>
          </w:p>
        </w:tc>
        <w:tc>
          <w:tcPr>
            <w:tcW w:w="536" w:type="pct"/>
            <w:shd w:val="clear" w:color="auto" w:fill="auto"/>
            <w:vAlign w:val="center"/>
          </w:tcPr>
          <w:p w14:paraId="1D8E2C69"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12</w:t>
            </w:r>
            <w:proofErr w:type="gramEnd"/>
            <w:r>
              <w:rPr>
                <w:rFonts w:ascii="Arial" w:hAnsi="Arial" w:cs="Arial"/>
                <w:sz w:val="18"/>
                <w:szCs w:val="18"/>
              </w:rPr>
              <w:t>.8</w:t>
            </w:r>
          </w:p>
        </w:tc>
        <w:tc>
          <w:tcPr>
            <w:tcW w:w="538" w:type="pct"/>
            <w:shd w:val="clear" w:color="auto" w:fill="auto"/>
            <w:vAlign w:val="center"/>
          </w:tcPr>
          <w:p w14:paraId="724A85D8" w14:textId="77777777" w:rsidR="00C177C7"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7.3</w:t>
            </w:r>
          </w:p>
        </w:tc>
        <w:tc>
          <w:tcPr>
            <w:tcW w:w="625" w:type="pct"/>
            <w:tcBorders>
              <w:right w:val="double" w:sz="6" w:space="0" w:color="auto"/>
            </w:tcBorders>
            <w:shd w:val="clear" w:color="auto" w:fill="auto"/>
            <w:vAlign w:val="center"/>
          </w:tcPr>
          <w:p w14:paraId="2FFD972C" w14:textId="77777777" w:rsidR="00C177C7" w:rsidRPr="004260E6"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10</w:t>
            </w:r>
            <w:proofErr w:type="gramEnd"/>
            <w:r>
              <w:rPr>
                <w:rFonts w:ascii="Arial" w:hAnsi="Arial" w:cs="Arial"/>
                <w:sz w:val="18"/>
                <w:szCs w:val="18"/>
              </w:rPr>
              <w:t>.5</w:t>
            </w:r>
          </w:p>
        </w:tc>
        <w:tc>
          <w:tcPr>
            <w:tcW w:w="626" w:type="pct"/>
            <w:tcBorders>
              <w:right w:val="double" w:sz="6" w:space="0" w:color="auto"/>
            </w:tcBorders>
            <w:shd w:val="clear" w:color="auto" w:fill="auto"/>
            <w:vAlign w:val="center"/>
          </w:tcPr>
          <w:p w14:paraId="2E9D3572" w14:textId="77777777" w:rsidR="00C177C7"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4</w:t>
            </w:r>
            <w:proofErr w:type="gramEnd"/>
            <w:r>
              <w:rPr>
                <w:rFonts w:ascii="Arial" w:hAnsi="Arial" w:cs="Arial"/>
                <w:sz w:val="18"/>
                <w:szCs w:val="18"/>
              </w:rPr>
              <w:t>.2</w:t>
            </w:r>
          </w:p>
        </w:tc>
      </w:tr>
      <w:tr w:rsidR="00C177C7" w:rsidRPr="001C5A88" w14:paraId="08F9EB74" w14:textId="77777777" w:rsidTr="00F35110">
        <w:trPr>
          <w:cantSplit/>
          <w:jc w:val="center"/>
        </w:trPr>
        <w:tc>
          <w:tcPr>
            <w:tcW w:w="1572" w:type="pct"/>
            <w:tcBorders>
              <w:left w:val="double" w:sz="6" w:space="0" w:color="auto"/>
              <w:right w:val="double" w:sz="6" w:space="0" w:color="auto"/>
            </w:tcBorders>
            <w:shd w:val="clear" w:color="auto" w:fill="auto"/>
          </w:tcPr>
          <w:p w14:paraId="1BA997A8" w14:textId="77777777" w:rsidR="00C177C7" w:rsidRPr="004260E6" w:rsidRDefault="00C177C7" w:rsidP="00E73206">
            <w:pPr>
              <w:pStyle w:val="titdoc"/>
              <w:widowControl w:val="0"/>
              <w:spacing w:before="40" w:after="20"/>
              <w:ind w:left="170" w:firstLine="0"/>
              <w:jc w:val="left"/>
              <w:rPr>
                <w:rFonts w:cs="Arial"/>
                <w:b w:val="0"/>
                <w:sz w:val="18"/>
              </w:rPr>
            </w:pPr>
            <w:r w:rsidRPr="004260E6">
              <w:rPr>
                <w:rFonts w:cs="Arial"/>
                <w:b w:val="0"/>
                <w:sz w:val="18"/>
              </w:rPr>
              <w:t>Consumo del Gobierno</w:t>
            </w:r>
          </w:p>
        </w:tc>
        <w:tc>
          <w:tcPr>
            <w:tcW w:w="566" w:type="pct"/>
            <w:tcBorders>
              <w:left w:val="single" w:sz="4" w:space="0" w:color="auto"/>
            </w:tcBorders>
            <w:shd w:val="clear" w:color="auto" w:fill="auto"/>
            <w:vAlign w:val="center"/>
          </w:tcPr>
          <w:p w14:paraId="542BD475" w14:textId="77777777" w:rsidR="00C177C7" w:rsidRPr="004260E6" w:rsidRDefault="00C177C7" w:rsidP="00E73206">
            <w:pPr>
              <w:tabs>
                <w:tab w:val="decimal" w:pos="370"/>
              </w:tabs>
              <w:ind w:right="170"/>
              <w:jc w:val="right"/>
              <w:rPr>
                <w:rFonts w:ascii="Arial" w:hAnsi="Arial" w:cs="Arial"/>
                <w:sz w:val="18"/>
                <w:szCs w:val="18"/>
              </w:rPr>
            </w:pPr>
            <w:r>
              <w:rPr>
                <w:rFonts w:ascii="Arial" w:hAnsi="Arial" w:cs="Arial"/>
                <w:sz w:val="18"/>
                <w:szCs w:val="18"/>
              </w:rPr>
              <w:t>3.2</w:t>
            </w:r>
          </w:p>
        </w:tc>
        <w:tc>
          <w:tcPr>
            <w:tcW w:w="536" w:type="pct"/>
            <w:shd w:val="clear" w:color="auto" w:fill="auto"/>
            <w:vAlign w:val="center"/>
          </w:tcPr>
          <w:p w14:paraId="308270D6"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2.1</w:t>
            </w:r>
          </w:p>
        </w:tc>
        <w:tc>
          <w:tcPr>
            <w:tcW w:w="536" w:type="pct"/>
            <w:shd w:val="clear" w:color="auto" w:fill="auto"/>
            <w:vAlign w:val="center"/>
          </w:tcPr>
          <w:p w14:paraId="172F7D8A"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2.5</w:t>
            </w:r>
          </w:p>
        </w:tc>
        <w:tc>
          <w:tcPr>
            <w:tcW w:w="538" w:type="pct"/>
            <w:shd w:val="clear" w:color="auto" w:fill="auto"/>
            <w:vAlign w:val="center"/>
          </w:tcPr>
          <w:p w14:paraId="13EFC8AA" w14:textId="77777777" w:rsidR="00C177C7" w:rsidRDefault="00C177C7" w:rsidP="00E73206">
            <w:pPr>
              <w:tabs>
                <w:tab w:val="decimal" w:pos="370"/>
              </w:tabs>
              <w:ind w:right="57"/>
              <w:jc w:val="right"/>
              <w:rPr>
                <w:rFonts w:ascii="Arial" w:hAnsi="Arial" w:cs="Arial"/>
                <w:sz w:val="18"/>
                <w:szCs w:val="18"/>
              </w:rPr>
            </w:pPr>
            <w:r>
              <w:rPr>
                <w:rFonts w:ascii="Arial" w:hAnsi="Arial" w:cs="Arial"/>
                <w:sz w:val="18"/>
                <w:szCs w:val="18"/>
              </w:rPr>
              <w:t>1.6</w:t>
            </w:r>
          </w:p>
        </w:tc>
        <w:tc>
          <w:tcPr>
            <w:tcW w:w="625" w:type="pct"/>
            <w:tcBorders>
              <w:right w:val="double" w:sz="6" w:space="0" w:color="auto"/>
            </w:tcBorders>
            <w:shd w:val="clear" w:color="auto" w:fill="auto"/>
            <w:vAlign w:val="center"/>
          </w:tcPr>
          <w:p w14:paraId="70F1D7B4" w14:textId="77777777" w:rsidR="00C177C7" w:rsidRPr="004260E6" w:rsidRDefault="00C177C7" w:rsidP="00E73206">
            <w:pPr>
              <w:tabs>
                <w:tab w:val="decimal" w:pos="370"/>
              </w:tabs>
              <w:ind w:right="113"/>
              <w:jc w:val="right"/>
              <w:rPr>
                <w:rFonts w:ascii="Arial" w:hAnsi="Arial" w:cs="Arial"/>
                <w:sz w:val="18"/>
                <w:szCs w:val="18"/>
              </w:rPr>
            </w:pPr>
            <w:r>
              <w:rPr>
                <w:rFonts w:ascii="Arial" w:hAnsi="Arial" w:cs="Arial"/>
                <w:sz w:val="18"/>
                <w:szCs w:val="18"/>
              </w:rPr>
              <w:t>2.3</w:t>
            </w:r>
          </w:p>
        </w:tc>
        <w:tc>
          <w:tcPr>
            <w:tcW w:w="626" w:type="pct"/>
            <w:tcBorders>
              <w:right w:val="double" w:sz="6" w:space="0" w:color="auto"/>
            </w:tcBorders>
            <w:shd w:val="clear" w:color="auto" w:fill="auto"/>
            <w:vAlign w:val="center"/>
          </w:tcPr>
          <w:p w14:paraId="08ED0C34" w14:textId="77777777" w:rsidR="00C177C7"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0</w:t>
            </w:r>
            <w:proofErr w:type="gramEnd"/>
            <w:r>
              <w:rPr>
                <w:rFonts w:ascii="Arial" w:hAnsi="Arial" w:cs="Arial"/>
                <w:sz w:val="18"/>
                <w:szCs w:val="18"/>
              </w:rPr>
              <w:t>.7</w:t>
            </w:r>
          </w:p>
        </w:tc>
      </w:tr>
      <w:tr w:rsidR="00C177C7" w:rsidRPr="001C5A88" w14:paraId="2B3D565B" w14:textId="77777777" w:rsidTr="00F35110">
        <w:trPr>
          <w:cantSplit/>
          <w:jc w:val="center"/>
        </w:trPr>
        <w:tc>
          <w:tcPr>
            <w:tcW w:w="1572" w:type="pct"/>
            <w:tcBorders>
              <w:left w:val="double" w:sz="6" w:space="0" w:color="auto"/>
              <w:right w:val="double" w:sz="6" w:space="0" w:color="auto"/>
            </w:tcBorders>
            <w:shd w:val="clear" w:color="auto" w:fill="auto"/>
          </w:tcPr>
          <w:p w14:paraId="76CA7C55" w14:textId="77777777" w:rsidR="00C177C7" w:rsidRPr="004260E6" w:rsidRDefault="00C177C7" w:rsidP="00E73206">
            <w:pPr>
              <w:pStyle w:val="titdoc"/>
              <w:widowControl w:val="0"/>
              <w:spacing w:before="40" w:after="20"/>
              <w:ind w:left="170" w:firstLine="0"/>
              <w:jc w:val="left"/>
              <w:rPr>
                <w:rFonts w:cs="Arial"/>
                <w:b w:val="0"/>
                <w:sz w:val="18"/>
              </w:rPr>
            </w:pPr>
            <w:r w:rsidRPr="004260E6">
              <w:rPr>
                <w:rFonts w:cs="Arial"/>
                <w:b w:val="0"/>
                <w:sz w:val="18"/>
              </w:rPr>
              <w:t>Formación Bruta de Capital Fijo</w:t>
            </w:r>
          </w:p>
        </w:tc>
        <w:tc>
          <w:tcPr>
            <w:tcW w:w="566" w:type="pct"/>
            <w:tcBorders>
              <w:left w:val="single" w:sz="4" w:space="0" w:color="auto"/>
            </w:tcBorders>
            <w:shd w:val="clear" w:color="auto" w:fill="auto"/>
            <w:vAlign w:val="center"/>
          </w:tcPr>
          <w:p w14:paraId="5110B5C0" w14:textId="77777777" w:rsidR="00C177C7" w:rsidRPr="004260E6" w:rsidRDefault="00C177C7" w:rsidP="00E73206">
            <w:pPr>
              <w:tabs>
                <w:tab w:val="decimal" w:pos="370"/>
              </w:tabs>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8</w:t>
            </w:r>
            <w:proofErr w:type="gramEnd"/>
            <w:r>
              <w:rPr>
                <w:rFonts w:ascii="Arial" w:hAnsi="Arial" w:cs="Arial"/>
                <w:sz w:val="18"/>
                <w:szCs w:val="18"/>
              </w:rPr>
              <w:t>.8</w:t>
            </w:r>
          </w:p>
        </w:tc>
        <w:tc>
          <w:tcPr>
            <w:tcW w:w="536" w:type="pct"/>
            <w:shd w:val="clear" w:color="auto" w:fill="auto"/>
            <w:vAlign w:val="center"/>
          </w:tcPr>
          <w:p w14:paraId="09195DBF"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33</w:t>
            </w:r>
            <w:proofErr w:type="gramEnd"/>
            <w:r>
              <w:rPr>
                <w:rFonts w:ascii="Arial" w:hAnsi="Arial" w:cs="Arial"/>
                <w:sz w:val="18"/>
                <w:szCs w:val="18"/>
              </w:rPr>
              <w:t>.7</w:t>
            </w:r>
          </w:p>
        </w:tc>
        <w:tc>
          <w:tcPr>
            <w:tcW w:w="536" w:type="pct"/>
            <w:shd w:val="clear" w:color="auto" w:fill="auto"/>
            <w:vAlign w:val="center"/>
          </w:tcPr>
          <w:p w14:paraId="2D2E1771" w14:textId="77777777" w:rsidR="00C177C7" w:rsidRPr="004260E6"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.0</w:t>
            </w:r>
          </w:p>
        </w:tc>
        <w:tc>
          <w:tcPr>
            <w:tcW w:w="538" w:type="pct"/>
            <w:shd w:val="clear" w:color="auto" w:fill="auto"/>
            <w:vAlign w:val="center"/>
          </w:tcPr>
          <w:p w14:paraId="5C462696" w14:textId="77777777" w:rsidR="00C177C7" w:rsidRDefault="00C177C7" w:rsidP="00E73206">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12</w:t>
            </w:r>
            <w:proofErr w:type="gramEnd"/>
            <w:r>
              <w:rPr>
                <w:rFonts w:ascii="Arial" w:hAnsi="Arial" w:cs="Arial"/>
                <w:sz w:val="18"/>
                <w:szCs w:val="18"/>
              </w:rPr>
              <w:t>.9</w:t>
            </w:r>
          </w:p>
        </w:tc>
        <w:tc>
          <w:tcPr>
            <w:tcW w:w="625" w:type="pct"/>
            <w:tcBorders>
              <w:right w:val="double" w:sz="6" w:space="0" w:color="auto"/>
            </w:tcBorders>
            <w:shd w:val="clear" w:color="auto" w:fill="auto"/>
            <w:vAlign w:val="center"/>
          </w:tcPr>
          <w:p w14:paraId="0A432ED9" w14:textId="77777777" w:rsidR="00C177C7" w:rsidRPr="004260E6"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18</w:t>
            </w:r>
            <w:proofErr w:type="gramEnd"/>
            <w:r>
              <w:rPr>
                <w:rFonts w:ascii="Arial" w:hAnsi="Arial" w:cs="Arial"/>
                <w:sz w:val="18"/>
                <w:szCs w:val="18"/>
              </w:rPr>
              <w:t>.3</w:t>
            </w:r>
          </w:p>
        </w:tc>
        <w:tc>
          <w:tcPr>
            <w:tcW w:w="626" w:type="pct"/>
            <w:tcBorders>
              <w:right w:val="double" w:sz="6" w:space="0" w:color="auto"/>
            </w:tcBorders>
            <w:shd w:val="clear" w:color="auto" w:fill="auto"/>
            <w:vAlign w:val="center"/>
          </w:tcPr>
          <w:p w14:paraId="4E68F2F4" w14:textId="77777777" w:rsidR="00C177C7" w:rsidRDefault="00C177C7" w:rsidP="00E73206">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4</w:t>
            </w:r>
            <w:proofErr w:type="gramEnd"/>
            <w:r>
              <w:rPr>
                <w:rFonts w:ascii="Arial" w:hAnsi="Arial" w:cs="Arial"/>
                <w:sz w:val="18"/>
                <w:szCs w:val="18"/>
              </w:rPr>
              <w:t>.9</w:t>
            </w:r>
          </w:p>
        </w:tc>
      </w:tr>
      <w:tr w:rsidR="000A532D" w:rsidRPr="001C5A88" w14:paraId="3F5B90EF" w14:textId="77777777" w:rsidTr="00F35110">
        <w:trPr>
          <w:cantSplit/>
          <w:jc w:val="center"/>
        </w:trPr>
        <w:tc>
          <w:tcPr>
            <w:tcW w:w="1572" w:type="pct"/>
            <w:tcBorders>
              <w:left w:val="double" w:sz="6" w:space="0" w:color="auto"/>
              <w:right w:val="double" w:sz="6" w:space="0" w:color="auto"/>
            </w:tcBorders>
            <w:shd w:val="clear" w:color="auto" w:fill="auto"/>
            <w:vAlign w:val="center"/>
          </w:tcPr>
          <w:p w14:paraId="5B4F7DF5" w14:textId="2FDA07F0" w:rsidR="000A532D" w:rsidRPr="000A532D" w:rsidRDefault="000A532D" w:rsidP="000A532D">
            <w:pPr>
              <w:pStyle w:val="titdoc"/>
              <w:widowControl w:val="0"/>
              <w:spacing w:before="40" w:after="20"/>
              <w:ind w:left="170" w:firstLine="0"/>
              <w:jc w:val="left"/>
              <w:rPr>
                <w:rFonts w:cs="Arial"/>
                <w:b w:val="0"/>
                <w:bCs/>
                <w:sz w:val="18"/>
              </w:rPr>
            </w:pPr>
            <w:r w:rsidRPr="000A532D">
              <w:rPr>
                <w:rFonts w:cs="Arial"/>
                <w:b w:val="0"/>
                <w:bCs/>
                <w:sz w:val="18"/>
                <w:szCs w:val="18"/>
                <w:lang w:val="es-MX" w:eastAsia="es-MX"/>
              </w:rPr>
              <w:t>Variación de Existencias</w:t>
            </w:r>
          </w:p>
        </w:tc>
        <w:tc>
          <w:tcPr>
            <w:tcW w:w="566" w:type="pct"/>
            <w:tcBorders>
              <w:left w:val="single" w:sz="4" w:space="0" w:color="auto"/>
            </w:tcBorders>
            <w:shd w:val="clear" w:color="auto" w:fill="auto"/>
            <w:vAlign w:val="center"/>
          </w:tcPr>
          <w:p w14:paraId="13A004A3" w14:textId="5A6F5C40" w:rsidR="000A532D" w:rsidRPr="000A532D" w:rsidRDefault="000A532D" w:rsidP="000A532D">
            <w:pPr>
              <w:tabs>
                <w:tab w:val="decimal" w:pos="370"/>
              </w:tabs>
              <w:ind w:right="170"/>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536" w:type="pct"/>
            <w:shd w:val="clear" w:color="auto" w:fill="auto"/>
            <w:vAlign w:val="center"/>
          </w:tcPr>
          <w:p w14:paraId="7CDE9284" w14:textId="7D32E9D3"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eastAsia="es-MX"/>
              </w:rPr>
              <w:t>N.A</w:t>
            </w:r>
            <w:proofErr w:type="gramEnd"/>
          </w:p>
        </w:tc>
        <w:tc>
          <w:tcPr>
            <w:tcW w:w="536" w:type="pct"/>
            <w:shd w:val="clear" w:color="auto" w:fill="auto"/>
            <w:vAlign w:val="center"/>
          </w:tcPr>
          <w:p w14:paraId="01A7BFBA" w14:textId="2541370B"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538" w:type="pct"/>
            <w:shd w:val="clear" w:color="auto" w:fill="auto"/>
            <w:vAlign w:val="center"/>
          </w:tcPr>
          <w:p w14:paraId="1B72FA18" w14:textId="51E97058"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625" w:type="pct"/>
            <w:tcBorders>
              <w:right w:val="double" w:sz="6" w:space="0" w:color="auto"/>
            </w:tcBorders>
            <w:shd w:val="clear" w:color="auto" w:fill="auto"/>
            <w:vAlign w:val="center"/>
          </w:tcPr>
          <w:p w14:paraId="24F1350D" w14:textId="0387C786" w:rsidR="000A532D" w:rsidRPr="000A532D" w:rsidRDefault="000A532D" w:rsidP="000A532D">
            <w:pPr>
              <w:tabs>
                <w:tab w:val="decimal" w:pos="370"/>
              </w:tabs>
              <w:ind w:right="113"/>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626" w:type="pct"/>
            <w:tcBorders>
              <w:right w:val="double" w:sz="6" w:space="0" w:color="auto"/>
            </w:tcBorders>
            <w:shd w:val="clear" w:color="auto" w:fill="auto"/>
            <w:vAlign w:val="center"/>
          </w:tcPr>
          <w:p w14:paraId="548CF9E4" w14:textId="0AFE1435" w:rsidR="000A532D" w:rsidRPr="000A532D" w:rsidRDefault="000A532D" w:rsidP="000A532D">
            <w:pPr>
              <w:tabs>
                <w:tab w:val="decimal" w:pos="370"/>
              </w:tabs>
              <w:ind w:right="113"/>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r>
      <w:tr w:rsidR="000A532D" w:rsidRPr="001C5A88" w14:paraId="1486A48B" w14:textId="77777777" w:rsidTr="00F35110">
        <w:trPr>
          <w:cantSplit/>
          <w:jc w:val="center"/>
        </w:trPr>
        <w:tc>
          <w:tcPr>
            <w:tcW w:w="1572" w:type="pct"/>
            <w:tcBorders>
              <w:left w:val="double" w:sz="6" w:space="0" w:color="auto"/>
              <w:right w:val="double" w:sz="6" w:space="0" w:color="auto"/>
            </w:tcBorders>
            <w:shd w:val="clear" w:color="auto" w:fill="auto"/>
          </w:tcPr>
          <w:p w14:paraId="6B26A11F" w14:textId="77777777" w:rsidR="000A532D" w:rsidRPr="004260E6" w:rsidRDefault="000A532D" w:rsidP="000A532D">
            <w:pPr>
              <w:pStyle w:val="titdoc"/>
              <w:widowControl w:val="0"/>
              <w:spacing w:before="40" w:after="20"/>
              <w:ind w:left="170" w:firstLine="0"/>
              <w:jc w:val="left"/>
              <w:rPr>
                <w:rFonts w:cs="Arial"/>
                <w:b w:val="0"/>
                <w:sz w:val="18"/>
              </w:rPr>
            </w:pPr>
            <w:r w:rsidRPr="004260E6">
              <w:rPr>
                <w:rFonts w:cs="Arial"/>
                <w:b w:val="0"/>
                <w:sz w:val="18"/>
              </w:rPr>
              <w:t>Exportación de Bienes y Servicios</w:t>
            </w:r>
          </w:p>
        </w:tc>
        <w:tc>
          <w:tcPr>
            <w:tcW w:w="566" w:type="pct"/>
            <w:tcBorders>
              <w:left w:val="single" w:sz="4" w:space="0" w:color="auto"/>
            </w:tcBorders>
            <w:shd w:val="clear" w:color="auto" w:fill="auto"/>
            <w:vAlign w:val="center"/>
          </w:tcPr>
          <w:p w14:paraId="440007B7" w14:textId="77777777" w:rsidR="000A532D" w:rsidRPr="004260E6" w:rsidRDefault="000A532D" w:rsidP="000A532D">
            <w:pPr>
              <w:tabs>
                <w:tab w:val="decimal" w:pos="370"/>
              </w:tabs>
              <w:ind w:right="170"/>
              <w:jc w:val="right"/>
              <w:rPr>
                <w:rFonts w:ascii="Arial" w:hAnsi="Arial" w:cs="Arial"/>
                <w:sz w:val="18"/>
                <w:szCs w:val="18"/>
              </w:rPr>
            </w:pPr>
            <w:r w:rsidRPr="004260E6">
              <w:rPr>
                <w:rFonts w:ascii="Arial" w:hAnsi="Arial" w:cs="Arial"/>
                <w:sz w:val="18"/>
                <w:szCs w:val="18"/>
              </w:rPr>
              <w:t>1.</w:t>
            </w:r>
            <w:r>
              <w:rPr>
                <w:rFonts w:ascii="Arial" w:hAnsi="Arial" w:cs="Arial"/>
                <w:sz w:val="18"/>
                <w:szCs w:val="18"/>
              </w:rPr>
              <w:t>7</w:t>
            </w:r>
          </w:p>
        </w:tc>
        <w:tc>
          <w:tcPr>
            <w:tcW w:w="536" w:type="pct"/>
            <w:shd w:val="clear" w:color="auto" w:fill="auto"/>
            <w:vAlign w:val="center"/>
          </w:tcPr>
          <w:p w14:paraId="5034CF39" w14:textId="77777777" w:rsidR="000A532D" w:rsidRPr="004260E6" w:rsidRDefault="000A532D" w:rsidP="000A532D">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30</w:t>
            </w:r>
            <w:proofErr w:type="gramEnd"/>
            <w:r>
              <w:rPr>
                <w:rFonts w:ascii="Arial" w:hAnsi="Arial" w:cs="Arial"/>
                <w:sz w:val="18"/>
                <w:szCs w:val="18"/>
              </w:rPr>
              <w:t>.5</w:t>
            </w:r>
          </w:p>
        </w:tc>
        <w:tc>
          <w:tcPr>
            <w:tcW w:w="536" w:type="pct"/>
            <w:shd w:val="clear" w:color="auto" w:fill="auto"/>
            <w:vAlign w:val="center"/>
          </w:tcPr>
          <w:p w14:paraId="14FE8C16" w14:textId="77777777" w:rsidR="000A532D" w:rsidRPr="004260E6" w:rsidRDefault="000A532D" w:rsidP="000A532D">
            <w:pPr>
              <w:tabs>
                <w:tab w:val="decimal" w:pos="370"/>
              </w:tabs>
              <w:ind w:right="5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2.7</w:t>
            </w:r>
          </w:p>
        </w:tc>
        <w:tc>
          <w:tcPr>
            <w:tcW w:w="538" w:type="pct"/>
            <w:shd w:val="clear" w:color="auto" w:fill="auto"/>
            <w:vAlign w:val="center"/>
          </w:tcPr>
          <w:p w14:paraId="0450DB52" w14:textId="77777777" w:rsidR="000A532D" w:rsidRDefault="000A532D" w:rsidP="000A532D">
            <w:pPr>
              <w:tabs>
                <w:tab w:val="decimal" w:pos="370"/>
              </w:tabs>
              <w:ind w:right="57"/>
              <w:jc w:val="right"/>
              <w:rPr>
                <w:rFonts w:ascii="Arial" w:hAnsi="Arial" w:cs="Arial"/>
                <w:sz w:val="18"/>
                <w:szCs w:val="18"/>
              </w:rPr>
            </w:pPr>
            <w:r>
              <w:rPr>
                <w:rFonts w:ascii="Arial" w:hAnsi="Arial" w:cs="Arial"/>
                <w:sz w:val="18"/>
                <w:szCs w:val="18"/>
              </w:rPr>
              <w:t>3.7</w:t>
            </w:r>
          </w:p>
        </w:tc>
        <w:tc>
          <w:tcPr>
            <w:tcW w:w="625" w:type="pct"/>
            <w:tcBorders>
              <w:right w:val="double" w:sz="6" w:space="0" w:color="auto"/>
            </w:tcBorders>
            <w:shd w:val="clear" w:color="auto" w:fill="auto"/>
            <w:vAlign w:val="center"/>
          </w:tcPr>
          <w:p w14:paraId="2CFA9C87" w14:textId="77777777" w:rsidR="000A532D" w:rsidRPr="004260E6" w:rsidRDefault="000A532D" w:rsidP="000A532D">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Pr>
                <w:rFonts w:ascii="Arial" w:hAnsi="Arial" w:cs="Arial"/>
                <w:sz w:val="18"/>
                <w:szCs w:val="18"/>
              </w:rPr>
              <w:t xml:space="preserve"> 7.3</w:t>
            </w:r>
          </w:p>
        </w:tc>
        <w:tc>
          <w:tcPr>
            <w:tcW w:w="626" w:type="pct"/>
            <w:tcBorders>
              <w:right w:val="double" w:sz="6" w:space="0" w:color="auto"/>
            </w:tcBorders>
            <w:shd w:val="clear" w:color="auto" w:fill="auto"/>
            <w:vAlign w:val="center"/>
          </w:tcPr>
          <w:p w14:paraId="2553A250" w14:textId="77777777" w:rsidR="000A532D" w:rsidRDefault="000A532D" w:rsidP="000A532D">
            <w:pPr>
              <w:tabs>
                <w:tab w:val="decimal" w:pos="370"/>
              </w:tabs>
              <w:ind w:right="113"/>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4</w:t>
            </w:r>
            <w:proofErr w:type="gramEnd"/>
            <w:r>
              <w:rPr>
                <w:rFonts w:ascii="Arial" w:hAnsi="Arial" w:cs="Arial"/>
                <w:sz w:val="18"/>
                <w:szCs w:val="18"/>
              </w:rPr>
              <w:t>.3</w:t>
            </w:r>
          </w:p>
        </w:tc>
      </w:tr>
      <w:tr w:rsidR="000A532D" w:rsidRPr="001C5A88" w14:paraId="154A055F" w14:textId="77777777" w:rsidTr="00F35110">
        <w:trPr>
          <w:cantSplit/>
          <w:jc w:val="center"/>
        </w:trPr>
        <w:tc>
          <w:tcPr>
            <w:tcW w:w="1572" w:type="pct"/>
            <w:tcBorders>
              <w:left w:val="double" w:sz="6" w:space="0" w:color="auto"/>
              <w:bottom w:val="double" w:sz="6" w:space="0" w:color="auto"/>
              <w:right w:val="double" w:sz="6" w:space="0" w:color="auto"/>
            </w:tcBorders>
            <w:shd w:val="clear" w:color="auto" w:fill="auto"/>
            <w:vAlign w:val="center"/>
          </w:tcPr>
          <w:p w14:paraId="2144EB08" w14:textId="116019DD" w:rsidR="000A532D" w:rsidRPr="000A532D" w:rsidRDefault="000A532D" w:rsidP="000A532D">
            <w:pPr>
              <w:pStyle w:val="titdoc"/>
              <w:widowControl w:val="0"/>
              <w:spacing w:before="40" w:after="20"/>
              <w:ind w:left="170" w:firstLine="0"/>
              <w:jc w:val="left"/>
              <w:rPr>
                <w:rFonts w:cs="Arial"/>
                <w:b w:val="0"/>
                <w:bCs/>
                <w:sz w:val="18"/>
              </w:rPr>
            </w:pPr>
            <w:r w:rsidRPr="000A532D">
              <w:rPr>
                <w:rFonts w:cs="Arial"/>
                <w:b w:val="0"/>
                <w:bCs/>
                <w:sz w:val="18"/>
                <w:szCs w:val="18"/>
                <w:lang w:val="es-MX" w:eastAsia="es-MX"/>
              </w:rPr>
              <w:t>Discrepancia Estadística</w:t>
            </w:r>
          </w:p>
        </w:tc>
        <w:tc>
          <w:tcPr>
            <w:tcW w:w="566" w:type="pct"/>
            <w:tcBorders>
              <w:left w:val="single" w:sz="4" w:space="0" w:color="auto"/>
              <w:bottom w:val="double" w:sz="6" w:space="0" w:color="auto"/>
            </w:tcBorders>
            <w:shd w:val="clear" w:color="auto" w:fill="auto"/>
            <w:vAlign w:val="center"/>
          </w:tcPr>
          <w:p w14:paraId="6BF95052" w14:textId="2ECCF7FF" w:rsidR="000A532D" w:rsidRPr="000A532D" w:rsidRDefault="000A532D" w:rsidP="000A532D">
            <w:pPr>
              <w:tabs>
                <w:tab w:val="decimal" w:pos="370"/>
              </w:tabs>
              <w:ind w:right="170"/>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536" w:type="pct"/>
            <w:tcBorders>
              <w:bottom w:val="double" w:sz="6" w:space="0" w:color="auto"/>
            </w:tcBorders>
            <w:shd w:val="clear" w:color="auto" w:fill="auto"/>
            <w:vAlign w:val="center"/>
          </w:tcPr>
          <w:p w14:paraId="568B3F64" w14:textId="0852BAC5"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eastAsia="es-MX"/>
              </w:rPr>
              <w:t>N.A</w:t>
            </w:r>
            <w:proofErr w:type="gramEnd"/>
          </w:p>
        </w:tc>
        <w:tc>
          <w:tcPr>
            <w:tcW w:w="536" w:type="pct"/>
            <w:tcBorders>
              <w:bottom w:val="double" w:sz="6" w:space="0" w:color="auto"/>
            </w:tcBorders>
            <w:shd w:val="clear" w:color="auto" w:fill="auto"/>
            <w:vAlign w:val="center"/>
          </w:tcPr>
          <w:p w14:paraId="370BC4DB" w14:textId="68D3D5D4"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538" w:type="pct"/>
            <w:tcBorders>
              <w:bottom w:val="double" w:sz="6" w:space="0" w:color="auto"/>
            </w:tcBorders>
            <w:shd w:val="clear" w:color="auto" w:fill="auto"/>
            <w:vAlign w:val="center"/>
          </w:tcPr>
          <w:p w14:paraId="598BE41E" w14:textId="21BF240C" w:rsidR="000A532D" w:rsidRPr="000A532D" w:rsidRDefault="000A532D" w:rsidP="000A532D">
            <w:pPr>
              <w:tabs>
                <w:tab w:val="decimal" w:pos="370"/>
              </w:tabs>
              <w:ind w:right="57"/>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625" w:type="pct"/>
            <w:tcBorders>
              <w:bottom w:val="double" w:sz="6" w:space="0" w:color="auto"/>
              <w:right w:val="double" w:sz="6" w:space="0" w:color="auto"/>
            </w:tcBorders>
            <w:shd w:val="clear" w:color="auto" w:fill="auto"/>
            <w:vAlign w:val="center"/>
          </w:tcPr>
          <w:p w14:paraId="66BB3594" w14:textId="3CD6A7C4" w:rsidR="000A532D" w:rsidRPr="000A532D" w:rsidRDefault="000A532D" w:rsidP="000A532D">
            <w:pPr>
              <w:tabs>
                <w:tab w:val="decimal" w:pos="370"/>
              </w:tabs>
              <w:ind w:right="113"/>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c>
          <w:tcPr>
            <w:tcW w:w="626" w:type="pct"/>
            <w:tcBorders>
              <w:bottom w:val="double" w:sz="6" w:space="0" w:color="auto"/>
              <w:right w:val="double" w:sz="6" w:space="0" w:color="auto"/>
            </w:tcBorders>
            <w:shd w:val="clear" w:color="auto" w:fill="auto"/>
            <w:vAlign w:val="center"/>
          </w:tcPr>
          <w:p w14:paraId="37035113" w14:textId="11EEE804" w:rsidR="000A532D" w:rsidRPr="000A532D" w:rsidRDefault="000A532D" w:rsidP="000A532D">
            <w:pPr>
              <w:tabs>
                <w:tab w:val="decimal" w:pos="370"/>
              </w:tabs>
              <w:ind w:right="113"/>
              <w:jc w:val="right"/>
              <w:rPr>
                <w:rFonts w:ascii="Arial" w:hAnsi="Arial" w:cs="Arial"/>
                <w:bCs/>
                <w:sz w:val="18"/>
                <w:szCs w:val="18"/>
              </w:rPr>
            </w:pPr>
            <w:proofErr w:type="gramStart"/>
            <w:r w:rsidRPr="000A532D">
              <w:rPr>
                <w:rFonts w:ascii="Arial" w:hAnsi="Arial" w:cs="Arial"/>
                <w:bCs/>
                <w:sz w:val="18"/>
                <w:szCs w:val="18"/>
                <w:lang w:val="es-MX" w:eastAsia="es-MX"/>
              </w:rPr>
              <w:t>N.A</w:t>
            </w:r>
            <w:proofErr w:type="gramEnd"/>
          </w:p>
        </w:tc>
      </w:tr>
    </w:tbl>
    <w:p w14:paraId="0C6314EF" w14:textId="15A637CD" w:rsidR="00C177C7" w:rsidRPr="004A49E1" w:rsidRDefault="00C177C7" w:rsidP="008068F1">
      <w:pPr>
        <w:pStyle w:val="p1"/>
        <w:keepLines w:val="0"/>
        <w:spacing w:before="0"/>
        <w:ind w:left="567"/>
        <w:rPr>
          <w:rFonts w:cs="Arial"/>
          <w:color w:val="000000" w:themeColor="text1"/>
          <w:sz w:val="16"/>
          <w:szCs w:val="16"/>
        </w:rPr>
      </w:pPr>
      <w:r w:rsidRPr="004A49E1">
        <w:rPr>
          <w:rFonts w:cs="Arial"/>
          <w:color w:val="000000" w:themeColor="text1"/>
          <w:sz w:val="16"/>
          <w:szCs w:val="16"/>
          <w:vertAlign w:val="superscript"/>
        </w:rPr>
        <w:t>R/</w:t>
      </w:r>
      <w:r w:rsidRPr="004A49E1">
        <w:rPr>
          <w:rFonts w:cs="Arial"/>
          <w:color w:val="000000" w:themeColor="text1"/>
          <w:sz w:val="16"/>
          <w:szCs w:val="16"/>
        </w:rPr>
        <w:t xml:space="preserve"> Cifras revisadas. </w:t>
      </w:r>
    </w:p>
    <w:p w14:paraId="5026BD49" w14:textId="51629141" w:rsidR="00C177C7" w:rsidRDefault="00C177C7" w:rsidP="008068F1">
      <w:pPr>
        <w:pStyle w:val="p1"/>
        <w:keepLines w:val="0"/>
        <w:spacing w:before="0"/>
        <w:ind w:left="567"/>
        <w:rPr>
          <w:rFonts w:cs="Arial"/>
          <w:color w:val="000000" w:themeColor="text1"/>
          <w:sz w:val="16"/>
          <w:szCs w:val="16"/>
        </w:rPr>
      </w:pPr>
      <w:r w:rsidRPr="004A49E1">
        <w:rPr>
          <w:rFonts w:cs="Arial"/>
          <w:color w:val="000000" w:themeColor="text1"/>
          <w:sz w:val="16"/>
          <w:szCs w:val="16"/>
          <w:vertAlign w:val="superscript"/>
        </w:rPr>
        <w:t>P/</w:t>
      </w:r>
      <w:r w:rsidRPr="004A49E1">
        <w:rPr>
          <w:rFonts w:cs="Arial"/>
          <w:color w:val="000000" w:themeColor="text1"/>
          <w:sz w:val="16"/>
          <w:szCs w:val="16"/>
        </w:rPr>
        <w:t xml:space="preserve"> Cifras preliminares.</w:t>
      </w:r>
    </w:p>
    <w:p w14:paraId="4D6B4401" w14:textId="7AE6097F" w:rsidR="000A532D" w:rsidRPr="004A49E1" w:rsidRDefault="000A532D" w:rsidP="008068F1">
      <w:pPr>
        <w:pStyle w:val="p1"/>
        <w:keepLines w:val="0"/>
        <w:spacing w:before="0"/>
        <w:ind w:left="567"/>
        <w:rPr>
          <w:rFonts w:cs="Arial"/>
          <w:color w:val="000000" w:themeColor="text1"/>
          <w:sz w:val="16"/>
          <w:szCs w:val="16"/>
        </w:rPr>
      </w:pPr>
      <w:proofErr w:type="gramStart"/>
      <w:r w:rsidRPr="001425AD">
        <w:rPr>
          <w:rFonts w:cs="Arial"/>
          <w:color w:val="auto"/>
          <w:sz w:val="16"/>
          <w:szCs w:val="16"/>
          <w:lang w:val="es-MX" w:eastAsia="es-MX"/>
        </w:rPr>
        <w:t>N.A  No</w:t>
      </w:r>
      <w:proofErr w:type="gramEnd"/>
      <w:r w:rsidRPr="001425AD">
        <w:rPr>
          <w:rFonts w:cs="Arial"/>
          <w:color w:val="auto"/>
          <w:sz w:val="16"/>
          <w:szCs w:val="16"/>
          <w:lang w:val="es-MX" w:eastAsia="es-MX"/>
        </w:rPr>
        <w:t xml:space="preserve"> aplica.</w:t>
      </w:r>
    </w:p>
    <w:p w14:paraId="793876A7" w14:textId="77777777" w:rsidR="00C177C7" w:rsidRPr="004A49E1" w:rsidRDefault="00C177C7" w:rsidP="008068F1">
      <w:pPr>
        <w:pStyle w:val="p1"/>
        <w:keepLines w:val="0"/>
        <w:spacing w:before="0"/>
        <w:ind w:left="567"/>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062CDC68" w14:textId="77777777" w:rsidR="00C177C7" w:rsidRDefault="00C177C7" w:rsidP="00C177C7">
      <w:pPr>
        <w:widowControl/>
        <w:jc w:val="center"/>
        <w:rPr>
          <w:rFonts w:ascii="Arial" w:hAnsi="Arial" w:cs="Arial"/>
          <w:szCs w:val="22"/>
        </w:rPr>
      </w:pPr>
    </w:p>
    <w:p w14:paraId="02103F74" w14:textId="45427B58" w:rsidR="00C177C7" w:rsidRDefault="00C177C7" w:rsidP="00C177C7">
      <w:pPr>
        <w:widowControl/>
        <w:rPr>
          <w:rFonts w:ascii="Arial" w:hAnsi="Arial" w:cs="Arial"/>
          <w:szCs w:val="22"/>
        </w:rPr>
      </w:pPr>
    </w:p>
    <w:p w14:paraId="445EE50F" w14:textId="77777777" w:rsidR="00C177C7" w:rsidRDefault="00C177C7" w:rsidP="00C177C7">
      <w:pPr>
        <w:widowControl/>
        <w:jc w:val="center"/>
        <w:rPr>
          <w:rFonts w:ascii="Arial" w:hAnsi="Arial" w:cs="Arial"/>
          <w:szCs w:val="22"/>
        </w:rPr>
      </w:pPr>
    </w:p>
    <w:p w14:paraId="078658D5" w14:textId="77777777" w:rsidR="00C177C7" w:rsidRPr="0057720D" w:rsidRDefault="00C177C7" w:rsidP="00C177C7">
      <w:pPr>
        <w:widowControl/>
        <w:jc w:val="center"/>
        <w:rPr>
          <w:rFonts w:ascii="Arial" w:hAnsi="Arial" w:cs="Arial"/>
          <w:szCs w:val="22"/>
        </w:rPr>
      </w:pPr>
      <w:r>
        <w:rPr>
          <w:rFonts w:ascii="Arial" w:hAnsi="Arial" w:cs="Arial"/>
          <w:szCs w:val="22"/>
        </w:rPr>
        <w:t>Cuadro 3</w:t>
      </w:r>
    </w:p>
    <w:p w14:paraId="480A8878" w14:textId="77777777" w:rsidR="00C177C7" w:rsidRDefault="00C177C7" w:rsidP="00C177C7">
      <w:pPr>
        <w:pStyle w:val="titdoc"/>
        <w:widowControl w:val="0"/>
        <w:spacing w:before="0"/>
        <w:ind w:left="0" w:firstLine="0"/>
        <w:jc w:val="center"/>
        <w:rPr>
          <w:smallCaps/>
          <w:sz w:val="22"/>
        </w:rPr>
      </w:pPr>
      <w:r w:rsidRPr="008D2992">
        <w:rPr>
          <w:smallCaps/>
          <w:sz w:val="22"/>
        </w:rPr>
        <w:t>Fuentes del crecimiento del PIB</w:t>
      </w:r>
      <w:r>
        <w:rPr>
          <w:smallCaps/>
          <w:sz w:val="22"/>
        </w:rPr>
        <w:t xml:space="preserve"> real</w:t>
      </w:r>
      <w:r w:rsidRPr="008D2992">
        <w:rPr>
          <w:smallCaps/>
          <w:sz w:val="22"/>
        </w:rPr>
        <w:t xml:space="preserve"> según componentes</w:t>
      </w:r>
      <w:r>
        <w:rPr>
          <w:smallCaps/>
          <w:sz w:val="22"/>
        </w:rPr>
        <w:t xml:space="preserve"> </w:t>
      </w:r>
      <w:r w:rsidRPr="008D2992">
        <w:rPr>
          <w:smallCaps/>
          <w:sz w:val="22"/>
        </w:rPr>
        <w:t>de la demanda final</w:t>
      </w:r>
    </w:p>
    <w:p w14:paraId="57223A0F" w14:textId="77777777" w:rsidR="00C177C7" w:rsidRPr="00100026" w:rsidRDefault="00C177C7" w:rsidP="00C177C7">
      <w:pPr>
        <w:pStyle w:val="titdoc"/>
        <w:keepNext/>
        <w:keepLines/>
        <w:spacing w:before="0"/>
        <w:ind w:left="0" w:firstLine="0"/>
        <w:jc w:val="center"/>
        <w:rPr>
          <w:b w:val="0"/>
          <w:sz w:val="18"/>
          <w:szCs w:val="18"/>
        </w:rPr>
      </w:pPr>
      <w:r w:rsidRPr="00100026">
        <w:rPr>
          <w:b w:val="0"/>
          <w:sz w:val="18"/>
          <w:szCs w:val="18"/>
        </w:rPr>
        <w:t>(Variación porcentual real ponderada respecto al mismo periodo del año anterior)</w:t>
      </w:r>
    </w:p>
    <w:tbl>
      <w:tblPr>
        <w:tblStyle w:val="Tablaconcuadrcula"/>
        <w:tblW w:w="6364" w:type="dxa"/>
        <w:jc w:val="center"/>
        <w:tblLayout w:type="fixed"/>
        <w:tblLook w:val="04A0" w:firstRow="1" w:lastRow="0" w:firstColumn="1" w:lastColumn="0" w:noHBand="0" w:noVBand="1"/>
      </w:tblPr>
      <w:tblGrid>
        <w:gridCol w:w="4805"/>
        <w:gridCol w:w="1559"/>
      </w:tblGrid>
      <w:tr w:rsidR="00C177C7" w14:paraId="2D1A43B7" w14:textId="77777777" w:rsidTr="00E73206">
        <w:trPr>
          <w:trHeight w:val="329"/>
          <w:jc w:val="center"/>
        </w:trPr>
        <w:tc>
          <w:tcPr>
            <w:tcW w:w="4805" w:type="dxa"/>
            <w:vMerge w:val="restart"/>
            <w:tcBorders>
              <w:top w:val="double" w:sz="4" w:space="0" w:color="auto"/>
              <w:left w:val="double" w:sz="4" w:space="0" w:color="auto"/>
              <w:right w:val="single" w:sz="4" w:space="0" w:color="auto"/>
            </w:tcBorders>
            <w:shd w:val="clear" w:color="auto" w:fill="C2D69B" w:themeFill="accent3" w:themeFillTint="99"/>
            <w:vAlign w:val="center"/>
          </w:tcPr>
          <w:p w14:paraId="571A42D1" w14:textId="77777777" w:rsidR="00C177C7" w:rsidRDefault="00C177C7" w:rsidP="00E73206">
            <w:pPr>
              <w:pStyle w:val="not31"/>
              <w:widowControl w:val="0"/>
              <w:spacing w:before="120" w:line="140" w:lineRule="exact"/>
              <w:ind w:right="0"/>
              <w:jc w:val="center"/>
              <w:rPr>
                <w:rFonts w:cs="Arial"/>
                <w:b/>
                <w:color w:val="auto"/>
                <w:sz w:val="18"/>
                <w:szCs w:val="18"/>
                <w:lang w:val="es-MX" w:eastAsia="es-MX"/>
              </w:rPr>
            </w:pPr>
            <w:r>
              <w:rPr>
                <w:rFonts w:cs="Arial"/>
                <w:b/>
                <w:color w:val="auto"/>
                <w:sz w:val="18"/>
                <w:szCs w:val="18"/>
                <w:lang w:val="es-MX" w:eastAsia="es-MX"/>
              </w:rPr>
              <w:t>Concepto</w:t>
            </w:r>
          </w:p>
          <w:p w14:paraId="25821EF3" w14:textId="77777777" w:rsidR="00C177C7" w:rsidRPr="008D2992" w:rsidRDefault="00C177C7" w:rsidP="00E73206">
            <w:pPr>
              <w:pStyle w:val="not31"/>
              <w:widowControl w:val="0"/>
              <w:spacing w:before="0" w:line="140" w:lineRule="exact"/>
              <w:ind w:right="0"/>
              <w:jc w:val="center"/>
              <w:rPr>
                <w:rFonts w:cs="Arial"/>
                <w:b/>
                <w:color w:val="auto"/>
                <w:sz w:val="18"/>
                <w:szCs w:val="18"/>
                <w:lang w:val="es-MX" w:eastAsia="es-MX"/>
              </w:rPr>
            </w:pPr>
          </w:p>
        </w:tc>
        <w:tc>
          <w:tcPr>
            <w:tcW w:w="1559" w:type="dxa"/>
            <w:tcBorders>
              <w:top w:val="double" w:sz="4" w:space="0" w:color="auto"/>
              <w:left w:val="single" w:sz="4" w:space="0" w:color="auto"/>
              <w:right w:val="double" w:sz="4" w:space="0" w:color="auto"/>
            </w:tcBorders>
            <w:shd w:val="clear" w:color="auto" w:fill="C2D69B" w:themeFill="accent3" w:themeFillTint="99"/>
            <w:vAlign w:val="center"/>
          </w:tcPr>
          <w:p w14:paraId="0BEA0DA6" w14:textId="77777777" w:rsidR="00C177C7" w:rsidRPr="008D2992" w:rsidRDefault="00C177C7" w:rsidP="00E73206">
            <w:pPr>
              <w:pStyle w:val="not31"/>
              <w:keepLines w:val="0"/>
              <w:widowControl w:val="0"/>
              <w:spacing w:before="120" w:after="60" w:line="140" w:lineRule="exact"/>
              <w:ind w:right="0"/>
              <w:jc w:val="center"/>
              <w:rPr>
                <w:rFonts w:cs="Arial"/>
                <w:b/>
                <w:color w:val="auto"/>
                <w:sz w:val="18"/>
                <w:szCs w:val="18"/>
                <w:lang w:val="es-MX" w:eastAsia="es-MX"/>
              </w:rPr>
            </w:pPr>
            <w:r w:rsidRPr="008D2992">
              <w:rPr>
                <w:rFonts w:cs="Arial"/>
                <w:b/>
                <w:color w:val="auto"/>
                <w:sz w:val="18"/>
                <w:szCs w:val="18"/>
                <w:lang w:val="es-MX" w:eastAsia="es-MX"/>
              </w:rPr>
              <w:t>202</w:t>
            </w:r>
            <w:r>
              <w:rPr>
                <w:rFonts w:cs="Arial"/>
                <w:b/>
                <w:color w:val="auto"/>
                <w:sz w:val="18"/>
                <w:szCs w:val="18"/>
                <w:lang w:val="es-MX" w:eastAsia="es-MX"/>
              </w:rPr>
              <w:t>1</w:t>
            </w:r>
            <w:r w:rsidRPr="008D2992">
              <w:rPr>
                <w:rFonts w:cs="Arial"/>
                <w:b/>
                <w:color w:val="auto"/>
                <w:sz w:val="18"/>
                <w:szCs w:val="18"/>
                <w:vertAlign w:val="superscript"/>
                <w:lang w:val="es-MX" w:eastAsia="es-MX"/>
              </w:rPr>
              <w:t>P/</w:t>
            </w:r>
          </w:p>
        </w:tc>
      </w:tr>
      <w:tr w:rsidR="00C177C7" w14:paraId="5D7312F8" w14:textId="77777777" w:rsidTr="00F35110">
        <w:trPr>
          <w:trHeight w:val="201"/>
          <w:jc w:val="center"/>
        </w:trPr>
        <w:tc>
          <w:tcPr>
            <w:tcW w:w="4805" w:type="dxa"/>
            <w:vMerge/>
            <w:tcBorders>
              <w:left w:val="double" w:sz="4" w:space="0" w:color="auto"/>
              <w:bottom w:val="double" w:sz="4" w:space="0" w:color="auto"/>
              <w:right w:val="single" w:sz="4" w:space="0" w:color="auto"/>
            </w:tcBorders>
            <w:shd w:val="clear" w:color="auto" w:fill="C2D69B" w:themeFill="accent3" w:themeFillTint="99"/>
          </w:tcPr>
          <w:p w14:paraId="63A495FA" w14:textId="77777777" w:rsidR="00C177C7" w:rsidRPr="008D2992" w:rsidRDefault="00C177C7" w:rsidP="00E73206">
            <w:pPr>
              <w:pStyle w:val="not31"/>
              <w:widowControl w:val="0"/>
              <w:spacing w:before="120" w:line="140" w:lineRule="exact"/>
              <w:ind w:right="0"/>
              <w:rPr>
                <w:rFonts w:cs="Arial"/>
                <w:b/>
                <w:color w:val="auto"/>
                <w:sz w:val="18"/>
                <w:szCs w:val="18"/>
                <w:lang w:val="es-MX" w:eastAsia="es-MX"/>
              </w:rPr>
            </w:pPr>
          </w:p>
        </w:tc>
        <w:tc>
          <w:tcPr>
            <w:tcW w:w="1559" w:type="dxa"/>
            <w:tcBorders>
              <w:left w:val="single" w:sz="4" w:space="0" w:color="auto"/>
              <w:bottom w:val="double" w:sz="4" w:space="0" w:color="auto"/>
              <w:right w:val="double" w:sz="4" w:space="0" w:color="auto"/>
            </w:tcBorders>
            <w:shd w:val="clear" w:color="auto" w:fill="C2D69B" w:themeFill="accent3" w:themeFillTint="99"/>
            <w:vAlign w:val="center"/>
          </w:tcPr>
          <w:p w14:paraId="3C1A7123" w14:textId="0D1DAD02" w:rsidR="00C177C7" w:rsidRPr="008D2992" w:rsidRDefault="00D33682" w:rsidP="00E73206">
            <w:pPr>
              <w:pStyle w:val="not31"/>
              <w:widowControl w:val="0"/>
              <w:spacing w:before="120" w:line="140" w:lineRule="exact"/>
              <w:ind w:left="-108" w:right="0"/>
              <w:jc w:val="center"/>
              <w:rPr>
                <w:rFonts w:cs="Arial"/>
                <w:b/>
                <w:color w:val="auto"/>
                <w:sz w:val="18"/>
                <w:szCs w:val="18"/>
                <w:lang w:val="es-MX" w:eastAsia="es-MX"/>
              </w:rPr>
            </w:pPr>
            <w:r>
              <w:rPr>
                <w:rFonts w:cs="Arial"/>
                <w:b/>
                <w:color w:val="auto"/>
                <w:sz w:val="18"/>
                <w:szCs w:val="18"/>
                <w:lang w:val="es-MX" w:eastAsia="es-MX"/>
              </w:rPr>
              <w:t xml:space="preserve">Trimestre </w:t>
            </w:r>
            <w:r w:rsidR="00C177C7">
              <w:rPr>
                <w:rFonts w:cs="Arial"/>
                <w:b/>
                <w:color w:val="auto"/>
                <w:sz w:val="18"/>
                <w:szCs w:val="18"/>
                <w:lang w:val="es-MX" w:eastAsia="es-MX"/>
              </w:rPr>
              <w:t>I</w:t>
            </w:r>
          </w:p>
        </w:tc>
      </w:tr>
      <w:tr w:rsidR="00C177C7" w14:paraId="08E03517" w14:textId="77777777" w:rsidTr="00E73206">
        <w:trPr>
          <w:jc w:val="center"/>
        </w:trPr>
        <w:tc>
          <w:tcPr>
            <w:tcW w:w="4805" w:type="dxa"/>
            <w:tcBorders>
              <w:top w:val="double" w:sz="4" w:space="0" w:color="auto"/>
              <w:left w:val="double" w:sz="4" w:space="0" w:color="auto"/>
              <w:bottom w:val="nil"/>
              <w:right w:val="single" w:sz="4" w:space="0" w:color="auto"/>
            </w:tcBorders>
            <w:shd w:val="clear" w:color="auto" w:fill="auto"/>
          </w:tcPr>
          <w:p w14:paraId="22ABAA55" w14:textId="77777777" w:rsidR="00C177C7" w:rsidRPr="008D2992" w:rsidRDefault="00C177C7" w:rsidP="00E73206">
            <w:pPr>
              <w:pStyle w:val="titdoc"/>
              <w:keepNext/>
              <w:keepLines/>
              <w:widowControl w:val="0"/>
              <w:spacing w:before="84"/>
              <w:ind w:left="0" w:firstLine="0"/>
              <w:jc w:val="left"/>
              <w:rPr>
                <w:rFonts w:cs="Arial"/>
                <w:sz w:val="18"/>
                <w:szCs w:val="18"/>
              </w:rPr>
            </w:pPr>
            <w:r w:rsidRPr="008D2992">
              <w:rPr>
                <w:rFonts w:cs="Arial"/>
                <w:sz w:val="18"/>
                <w:szCs w:val="18"/>
              </w:rPr>
              <w:t>Contribución en puntos porcentuales al crecimiento del PIB, proveniente de la variación del</w:t>
            </w:r>
            <w:r w:rsidRPr="008D2992">
              <w:rPr>
                <w:rFonts w:cs="Arial"/>
                <w:b w:val="0"/>
                <w:position w:val="6"/>
                <w:sz w:val="18"/>
                <w:szCs w:val="18"/>
              </w:rPr>
              <w:t>1/</w:t>
            </w:r>
            <w:r w:rsidRPr="008D2992">
              <w:rPr>
                <w:rFonts w:cs="Arial"/>
                <w:sz w:val="18"/>
                <w:szCs w:val="18"/>
              </w:rPr>
              <w:t>:</w:t>
            </w:r>
          </w:p>
        </w:tc>
        <w:tc>
          <w:tcPr>
            <w:tcW w:w="1559" w:type="dxa"/>
            <w:tcBorders>
              <w:top w:val="double" w:sz="4" w:space="0" w:color="auto"/>
              <w:left w:val="nil"/>
              <w:bottom w:val="nil"/>
              <w:right w:val="double" w:sz="4" w:space="0" w:color="auto"/>
            </w:tcBorders>
            <w:shd w:val="clear" w:color="auto" w:fill="auto"/>
          </w:tcPr>
          <w:p w14:paraId="2EB24A7C" w14:textId="77777777" w:rsidR="00C177C7" w:rsidRPr="008D2992" w:rsidRDefault="00C177C7" w:rsidP="00E73206">
            <w:pPr>
              <w:keepNext/>
              <w:keepLines/>
              <w:ind w:left="57"/>
              <w:jc w:val="right"/>
              <w:rPr>
                <w:rFonts w:ascii="Arial" w:hAnsi="Arial" w:cs="Arial"/>
                <w:sz w:val="18"/>
                <w:szCs w:val="18"/>
              </w:rPr>
            </w:pPr>
          </w:p>
        </w:tc>
      </w:tr>
      <w:tr w:rsidR="00C177C7" w:rsidRPr="0006330E" w14:paraId="4940ECCF" w14:textId="77777777" w:rsidTr="00E73206">
        <w:trPr>
          <w:jc w:val="center"/>
        </w:trPr>
        <w:tc>
          <w:tcPr>
            <w:tcW w:w="4805" w:type="dxa"/>
            <w:tcBorders>
              <w:top w:val="nil"/>
              <w:left w:val="double" w:sz="4" w:space="0" w:color="auto"/>
              <w:bottom w:val="nil"/>
              <w:right w:val="single" w:sz="4" w:space="0" w:color="auto"/>
            </w:tcBorders>
            <w:shd w:val="clear" w:color="auto" w:fill="auto"/>
            <w:vAlign w:val="center"/>
          </w:tcPr>
          <w:p w14:paraId="1C61761E" w14:textId="77777777" w:rsidR="00C177C7" w:rsidRPr="008D2992" w:rsidRDefault="00C177C7" w:rsidP="00E73206">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Consumo Privado</w:t>
            </w:r>
          </w:p>
        </w:tc>
        <w:tc>
          <w:tcPr>
            <w:tcW w:w="1559" w:type="dxa"/>
            <w:tcBorders>
              <w:top w:val="nil"/>
              <w:left w:val="nil"/>
              <w:bottom w:val="nil"/>
              <w:right w:val="double" w:sz="4" w:space="0" w:color="auto"/>
            </w:tcBorders>
            <w:shd w:val="clear" w:color="auto" w:fill="auto"/>
            <w:vAlign w:val="bottom"/>
          </w:tcPr>
          <w:p w14:paraId="61FD30AB" w14:textId="77777777" w:rsidR="00C177C7" w:rsidRPr="008D2992" w:rsidRDefault="00C177C7" w:rsidP="003504CC">
            <w:pPr>
              <w:spacing w:before="20" w:after="20" w:line="180" w:lineRule="atLeast"/>
              <w:ind w:right="454"/>
              <w:jc w:val="right"/>
              <w:rPr>
                <w:rFonts w:ascii="Arial" w:hAnsi="Arial" w:cs="Arial"/>
                <w:sz w:val="18"/>
                <w:szCs w:val="18"/>
              </w:rPr>
            </w:pPr>
            <w:r w:rsidRPr="008D2992">
              <w:rPr>
                <w:rFonts w:ascii="Arial" w:hAnsi="Arial" w:cs="Arial"/>
                <w:sz w:val="18"/>
                <w:szCs w:val="18"/>
              </w:rPr>
              <w:t>(</w:t>
            </w:r>
            <w:proofErr w:type="gramStart"/>
            <w:r w:rsidRPr="008D2992">
              <w:rPr>
                <w:rFonts w:ascii="Arial" w:hAnsi="Arial" w:cs="Arial"/>
                <w:sz w:val="18"/>
                <w:szCs w:val="18"/>
              </w:rPr>
              <w:noBreakHyphen/>
              <w:t>)</w:t>
            </w:r>
            <w:r>
              <w:rPr>
                <w:rFonts w:ascii="Arial" w:hAnsi="Arial" w:cs="Arial"/>
                <w:sz w:val="18"/>
                <w:szCs w:val="18"/>
              </w:rPr>
              <w:t xml:space="preserve">  </w:t>
            </w:r>
            <w:r w:rsidRPr="008D2992">
              <w:rPr>
                <w:rFonts w:ascii="Arial" w:hAnsi="Arial" w:cs="Arial"/>
                <w:sz w:val="18"/>
                <w:szCs w:val="18"/>
              </w:rPr>
              <w:t xml:space="preserve"> </w:t>
            </w:r>
            <w:proofErr w:type="gramEnd"/>
            <w:r>
              <w:rPr>
                <w:rFonts w:ascii="Arial" w:hAnsi="Arial" w:cs="Arial"/>
                <w:sz w:val="18"/>
                <w:szCs w:val="18"/>
              </w:rPr>
              <w:t>2.9</w:t>
            </w:r>
          </w:p>
        </w:tc>
      </w:tr>
      <w:tr w:rsidR="00C177C7" w:rsidRPr="0006330E" w14:paraId="564FE51C" w14:textId="77777777" w:rsidTr="00E73206">
        <w:trPr>
          <w:trHeight w:val="113"/>
          <w:jc w:val="center"/>
        </w:trPr>
        <w:tc>
          <w:tcPr>
            <w:tcW w:w="4805" w:type="dxa"/>
            <w:tcBorders>
              <w:top w:val="nil"/>
              <w:left w:val="double" w:sz="4" w:space="0" w:color="auto"/>
              <w:bottom w:val="nil"/>
              <w:right w:val="single" w:sz="4" w:space="0" w:color="auto"/>
            </w:tcBorders>
            <w:shd w:val="clear" w:color="auto" w:fill="auto"/>
            <w:vAlign w:val="center"/>
          </w:tcPr>
          <w:p w14:paraId="5AC98F20" w14:textId="77777777" w:rsidR="00C177C7" w:rsidRPr="008D2992" w:rsidRDefault="00C177C7" w:rsidP="00E73206">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Consumo de Gobierno</w:t>
            </w:r>
          </w:p>
        </w:tc>
        <w:tc>
          <w:tcPr>
            <w:tcW w:w="1559" w:type="dxa"/>
            <w:tcBorders>
              <w:top w:val="nil"/>
              <w:left w:val="nil"/>
              <w:bottom w:val="nil"/>
              <w:right w:val="double" w:sz="4" w:space="0" w:color="auto"/>
            </w:tcBorders>
            <w:shd w:val="clear" w:color="auto" w:fill="auto"/>
            <w:vAlign w:val="bottom"/>
          </w:tcPr>
          <w:p w14:paraId="018494DF" w14:textId="77777777" w:rsidR="00C177C7" w:rsidRPr="008D2992" w:rsidRDefault="00C177C7" w:rsidP="003504CC">
            <w:pPr>
              <w:spacing w:before="20" w:after="20" w:line="180" w:lineRule="atLeast"/>
              <w:ind w:right="45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noBreakHyphen/>
              <w:t xml:space="preserve">)   </w:t>
            </w:r>
            <w:proofErr w:type="gramEnd"/>
            <w:r w:rsidRPr="008D2992">
              <w:rPr>
                <w:rFonts w:ascii="Arial" w:hAnsi="Arial" w:cs="Arial"/>
                <w:sz w:val="18"/>
                <w:szCs w:val="18"/>
              </w:rPr>
              <w:t>0.</w:t>
            </w:r>
            <w:r>
              <w:rPr>
                <w:rFonts w:ascii="Arial" w:hAnsi="Arial" w:cs="Arial"/>
                <w:sz w:val="18"/>
                <w:szCs w:val="18"/>
              </w:rPr>
              <w:t>1</w:t>
            </w:r>
          </w:p>
        </w:tc>
      </w:tr>
      <w:tr w:rsidR="00C177C7" w:rsidRPr="0006330E" w14:paraId="6CDC1359" w14:textId="77777777" w:rsidTr="00E73206">
        <w:trPr>
          <w:jc w:val="center"/>
        </w:trPr>
        <w:tc>
          <w:tcPr>
            <w:tcW w:w="4805" w:type="dxa"/>
            <w:tcBorders>
              <w:top w:val="nil"/>
              <w:left w:val="double" w:sz="4" w:space="0" w:color="auto"/>
              <w:bottom w:val="nil"/>
              <w:right w:val="single" w:sz="4" w:space="0" w:color="auto"/>
            </w:tcBorders>
            <w:shd w:val="clear" w:color="auto" w:fill="auto"/>
            <w:vAlign w:val="center"/>
          </w:tcPr>
          <w:p w14:paraId="5215428E" w14:textId="77777777" w:rsidR="00C177C7" w:rsidRPr="008D2992" w:rsidRDefault="00C177C7" w:rsidP="00E73206">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Formación Bruta de Capital Fijo</w:t>
            </w:r>
          </w:p>
        </w:tc>
        <w:tc>
          <w:tcPr>
            <w:tcW w:w="1559" w:type="dxa"/>
            <w:tcBorders>
              <w:top w:val="nil"/>
              <w:left w:val="nil"/>
              <w:bottom w:val="nil"/>
              <w:right w:val="double" w:sz="4" w:space="0" w:color="auto"/>
            </w:tcBorders>
            <w:shd w:val="clear" w:color="auto" w:fill="auto"/>
            <w:vAlign w:val="bottom"/>
          </w:tcPr>
          <w:p w14:paraId="14A72FA9" w14:textId="77777777" w:rsidR="00C177C7" w:rsidRPr="008D2992" w:rsidRDefault="00C177C7" w:rsidP="003504CC">
            <w:pPr>
              <w:spacing w:before="20" w:after="20" w:line="180" w:lineRule="atLeast"/>
              <w:ind w:right="454"/>
              <w:jc w:val="right"/>
              <w:rPr>
                <w:rFonts w:ascii="Arial" w:hAnsi="Arial" w:cs="Arial"/>
                <w:sz w:val="18"/>
                <w:szCs w:val="18"/>
              </w:rPr>
            </w:pPr>
            <w:r w:rsidRPr="008D2992">
              <w:rPr>
                <w:rFonts w:ascii="Arial" w:hAnsi="Arial" w:cs="Arial"/>
                <w:sz w:val="18"/>
                <w:szCs w:val="18"/>
              </w:rPr>
              <w:t>(</w:t>
            </w:r>
            <w:proofErr w:type="gramStart"/>
            <w:r w:rsidRPr="008D2992">
              <w:rPr>
                <w:rFonts w:ascii="Arial" w:hAnsi="Arial" w:cs="Arial"/>
                <w:sz w:val="18"/>
                <w:szCs w:val="18"/>
              </w:rPr>
              <w:noBreakHyphen/>
              <w:t xml:space="preserve">)   </w:t>
            </w:r>
            <w:proofErr w:type="gramEnd"/>
            <w:r>
              <w:rPr>
                <w:rFonts w:ascii="Arial" w:hAnsi="Arial" w:cs="Arial"/>
                <w:sz w:val="18"/>
                <w:szCs w:val="18"/>
              </w:rPr>
              <w:t>0.9</w:t>
            </w:r>
          </w:p>
        </w:tc>
      </w:tr>
      <w:tr w:rsidR="00C177C7" w:rsidRPr="0006330E" w14:paraId="12909330" w14:textId="77777777" w:rsidTr="00E73206">
        <w:trPr>
          <w:jc w:val="center"/>
        </w:trPr>
        <w:tc>
          <w:tcPr>
            <w:tcW w:w="4805" w:type="dxa"/>
            <w:tcBorders>
              <w:top w:val="nil"/>
              <w:left w:val="double" w:sz="4" w:space="0" w:color="auto"/>
              <w:bottom w:val="nil"/>
              <w:right w:val="single" w:sz="4" w:space="0" w:color="auto"/>
            </w:tcBorders>
            <w:shd w:val="clear" w:color="auto" w:fill="auto"/>
            <w:vAlign w:val="center"/>
          </w:tcPr>
          <w:p w14:paraId="51DF3CEF" w14:textId="77777777" w:rsidR="00C177C7" w:rsidRPr="008D2992" w:rsidRDefault="00C177C7" w:rsidP="00E73206">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Exportación de Bienes y Servicios</w:t>
            </w:r>
          </w:p>
        </w:tc>
        <w:tc>
          <w:tcPr>
            <w:tcW w:w="1559" w:type="dxa"/>
            <w:tcBorders>
              <w:top w:val="nil"/>
              <w:left w:val="nil"/>
              <w:bottom w:val="nil"/>
              <w:right w:val="double" w:sz="4" w:space="0" w:color="auto"/>
            </w:tcBorders>
            <w:shd w:val="clear" w:color="auto" w:fill="auto"/>
            <w:vAlign w:val="bottom"/>
          </w:tcPr>
          <w:p w14:paraId="7C31838C" w14:textId="77777777" w:rsidR="00C177C7" w:rsidRPr="008D2992" w:rsidRDefault="00C177C7" w:rsidP="003504CC">
            <w:pPr>
              <w:spacing w:before="20" w:after="20" w:line="180" w:lineRule="atLeast"/>
              <w:ind w:right="454"/>
              <w:jc w:val="right"/>
              <w:rPr>
                <w:rFonts w:ascii="Arial" w:hAnsi="Arial" w:cs="Arial"/>
                <w:sz w:val="18"/>
                <w:szCs w:val="18"/>
              </w:rPr>
            </w:pPr>
            <w:r w:rsidRPr="008D2992">
              <w:rPr>
                <w:rFonts w:ascii="Arial" w:hAnsi="Arial" w:cs="Arial"/>
                <w:sz w:val="18"/>
                <w:szCs w:val="18"/>
              </w:rPr>
              <w:t>(</w:t>
            </w:r>
            <w:proofErr w:type="gramStart"/>
            <w:r w:rsidRPr="008D2992">
              <w:rPr>
                <w:rFonts w:ascii="Arial" w:hAnsi="Arial" w:cs="Arial"/>
                <w:sz w:val="18"/>
                <w:szCs w:val="18"/>
              </w:rPr>
              <w:noBreakHyphen/>
              <w:t xml:space="preserve">)   </w:t>
            </w:r>
            <w:proofErr w:type="gramEnd"/>
            <w:r w:rsidRPr="008D2992">
              <w:rPr>
                <w:rFonts w:ascii="Arial" w:hAnsi="Arial" w:cs="Arial"/>
                <w:sz w:val="18"/>
                <w:szCs w:val="18"/>
              </w:rPr>
              <w:t>1.</w:t>
            </w:r>
            <w:r>
              <w:rPr>
                <w:rFonts w:ascii="Arial" w:hAnsi="Arial" w:cs="Arial"/>
                <w:sz w:val="18"/>
                <w:szCs w:val="18"/>
              </w:rPr>
              <w:t>6</w:t>
            </w:r>
          </w:p>
        </w:tc>
      </w:tr>
      <w:tr w:rsidR="00C177C7" w:rsidRPr="0006330E" w14:paraId="56521CBC" w14:textId="77777777" w:rsidTr="00E73206">
        <w:trPr>
          <w:jc w:val="center"/>
        </w:trPr>
        <w:tc>
          <w:tcPr>
            <w:tcW w:w="4805" w:type="dxa"/>
            <w:tcBorders>
              <w:top w:val="nil"/>
              <w:left w:val="double" w:sz="4" w:space="0" w:color="auto"/>
              <w:bottom w:val="nil"/>
              <w:right w:val="single" w:sz="4" w:space="0" w:color="auto"/>
            </w:tcBorders>
            <w:shd w:val="clear" w:color="auto" w:fill="auto"/>
            <w:vAlign w:val="center"/>
          </w:tcPr>
          <w:p w14:paraId="4F6B5FB2" w14:textId="77777777" w:rsidR="00C177C7" w:rsidRPr="008D2992" w:rsidRDefault="00C177C7" w:rsidP="00E73206">
            <w:pPr>
              <w:pStyle w:val="titdoc"/>
              <w:keepNext/>
              <w:keepLines/>
              <w:widowControl w:val="0"/>
              <w:spacing w:before="20" w:after="20" w:line="180" w:lineRule="atLeast"/>
              <w:ind w:left="176" w:firstLine="0"/>
              <w:jc w:val="left"/>
              <w:rPr>
                <w:rFonts w:cs="Arial"/>
                <w:b w:val="0"/>
                <w:sz w:val="18"/>
                <w:szCs w:val="18"/>
              </w:rPr>
            </w:pPr>
            <w:r w:rsidRPr="008D2992">
              <w:rPr>
                <w:rFonts w:cs="Arial"/>
                <w:b w:val="0"/>
                <w:sz w:val="18"/>
                <w:szCs w:val="18"/>
              </w:rPr>
              <w:t>(-) Importación de Bienes y Servicios</w:t>
            </w:r>
          </w:p>
        </w:tc>
        <w:tc>
          <w:tcPr>
            <w:tcW w:w="1559" w:type="dxa"/>
            <w:tcBorders>
              <w:top w:val="nil"/>
              <w:left w:val="nil"/>
              <w:bottom w:val="single" w:sz="4" w:space="0" w:color="auto"/>
              <w:right w:val="double" w:sz="4" w:space="0" w:color="auto"/>
            </w:tcBorders>
            <w:shd w:val="clear" w:color="auto" w:fill="auto"/>
            <w:vAlign w:val="bottom"/>
          </w:tcPr>
          <w:p w14:paraId="6542FF89" w14:textId="77777777" w:rsidR="00C177C7" w:rsidRPr="008D2992" w:rsidRDefault="00C177C7" w:rsidP="003504CC">
            <w:pPr>
              <w:spacing w:before="20" w:after="20" w:line="180" w:lineRule="atLeast"/>
              <w:ind w:right="454"/>
              <w:jc w:val="right"/>
              <w:rPr>
                <w:rFonts w:ascii="Arial" w:hAnsi="Arial" w:cs="Arial"/>
                <w:sz w:val="18"/>
                <w:szCs w:val="18"/>
              </w:rPr>
            </w:pPr>
            <w:r w:rsidRPr="008D2992">
              <w:rPr>
                <w:rFonts w:ascii="Arial" w:hAnsi="Arial" w:cs="Arial"/>
                <w:sz w:val="18"/>
                <w:szCs w:val="18"/>
              </w:rPr>
              <w:t>(</w:t>
            </w:r>
            <w:proofErr w:type="gramStart"/>
            <w:r w:rsidRPr="008D2992">
              <w:rPr>
                <w:rFonts w:ascii="Arial" w:hAnsi="Arial" w:cs="Arial"/>
                <w:sz w:val="18"/>
                <w:szCs w:val="18"/>
              </w:rPr>
              <w:noBreakHyphen/>
              <w:t xml:space="preserve">)   </w:t>
            </w:r>
            <w:proofErr w:type="gramEnd"/>
            <w:r>
              <w:rPr>
                <w:rFonts w:ascii="Arial" w:hAnsi="Arial" w:cs="Arial"/>
                <w:sz w:val="18"/>
                <w:szCs w:val="18"/>
              </w:rPr>
              <w:t>0.4</w:t>
            </w:r>
          </w:p>
        </w:tc>
      </w:tr>
      <w:tr w:rsidR="00C177C7" w:rsidRPr="0006330E" w14:paraId="5BF213F0" w14:textId="77777777" w:rsidTr="00E73206">
        <w:trPr>
          <w:trHeight w:val="225"/>
          <w:jc w:val="center"/>
        </w:trPr>
        <w:tc>
          <w:tcPr>
            <w:tcW w:w="4805" w:type="dxa"/>
            <w:tcBorders>
              <w:top w:val="nil"/>
              <w:left w:val="double" w:sz="4" w:space="0" w:color="auto"/>
              <w:bottom w:val="double" w:sz="4" w:space="0" w:color="auto"/>
              <w:right w:val="single" w:sz="4" w:space="0" w:color="auto"/>
            </w:tcBorders>
            <w:shd w:val="clear" w:color="auto" w:fill="auto"/>
            <w:vAlign w:val="center"/>
          </w:tcPr>
          <w:p w14:paraId="27253CB4" w14:textId="77777777" w:rsidR="00C177C7" w:rsidRPr="008D2992" w:rsidRDefault="00C177C7" w:rsidP="00E73206">
            <w:pPr>
              <w:pStyle w:val="titdoc"/>
              <w:keepNext/>
              <w:keepLines/>
              <w:widowControl w:val="0"/>
              <w:spacing w:before="20" w:after="20" w:line="180" w:lineRule="atLeast"/>
              <w:ind w:left="176" w:firstLine="0"/>
              <w:jc w:val="left"/>
              <w:rPr>
                <w:rFonts w:cs="Arial"/>
                <w:sz w:val="18"/>
                <w:szCs w:val="18"/>
              </w:rPr>
            </w:pPr>
            <w:r w:rsidRPr="008D2992">
              <w:rPr>
                <w:rFonts w:cs="Arial"/>
                <w:sz w:val="18"/>
                <w:szCs w:val="18"/>
              </w:rPr>
              <w:t>SUMA</w:t>
            </w:r>
          </w:p>
        </w:tc>
        <w:tc>
          <w:tcPr>
            <w:tcW w:w="1559" w:type="dxa"/>
            <w:tcBorders>
              <w:top w:val="single" w:sz="4" w:space="0" w:color="auto"/>
              <w:left w:val="nil"/>
              <w:bottom w:val="double" w:sz="4" w:space="0" w:color="auto"/>
              <w:right w:val="double" w:sz="4" w:space="0" w:color="auto"/>
            </w:tcBorders>
            <w:shd w:val="clear" w:color="auto" w:fill="auto"/>
            <w:vAlign w:val="center"/>
          </w:tcPr>
          <w:p w14:paraId="5A968827" w14:textId="77777777" w:rsidR="00C177C7" w:rsidRPr="008D2992" w:rsidRDefault="00C177C7" w:rsidP="003504CC">
            <w:pPr>
              <w:spacing w:before="20" w:after="20" w:line="180" w:lineRule="atLeast"/>
              <w:ind w:right="454"/>
              <w:jc w:val="right"/>
              <w:rPr>
                <w:rFonts w:ascii="Arial" w:hAnsi="Arial" w:cs="Arial"/>
                <w:b/>
                <w:sz w:val="18"/>
                <w:szCs w:val="18"/>
              </w:rPr>
            </w:pPr>
            <w:r w:rsidRPr="008D2992">
              <w:rPr>
                <w:rFonts w:ascii="Arial" w:hAnsi="Arial" w:cs="Arial"/>
                <w:b/>
                <w:sz w:val="18"/>
                <w:szCs w:val="18"/>
              </w:rPr>
              <w:t>(</w:t>
            </w:r>
            <w:proofErr w:type="gramStart"/>
            <w:r w:rsidRPr="008D2992">
              <w:rPr>
                <w:rFonts w:ascii="Arial" w:hAnsi="Arial" w:cs="Arial"/>
                <w:b/>
                <w:sz w:val="18"/>
                <w:szCs w:val="18"/>
              </w:rPr>
              <w:noBreakHyphen/>
              <w:t xml:space="preserve">)   </w:t>
            </w:r>
            <w:proofErr w:type="gramEnd"/>
            <w:r>
              <w:rPr>
                <w:rFonts w:ascii="Arial" w:hAnsi="Arial" w:cs="Arial"/>
                <w:b/>
                <w:sz w:val="18"/>
                <w:szCs w:val="18"/>
              </w:rPr>
              <w:t>3</w:t>
            </w:r>
            <w:r w:rsidRPr="008D2992">
              <w:rPr>
                <w:rFonts w:ascii="Arial" w:hAnsi="Arial" w:cs="Arial"/>
                <w:b/>
                <w:sz w:val="18"/>
                <w:szCs w:val="18"/>
              </w:rPr>
              <w:t>.6</w:t>
            </w:r>
          </w:p>
        </w:tc>
      </w:tr>
    </w:tbl>
    <w:p w14:paraId="70F3BADF" w14:textId="77777777" w:rsidR="00C177C7" w:rsidRDefault="00C177C7" w:rsidP="00F35110">
      <w:pPr>
        <w:pStyle w:val="Textoindependiente"/>
        <w:spacing w:before="0"/>
        <w:ind w:left="1560" w:right="539" w:hanging="284"/>
        <w:rPr>
          <w:rFonts w:cs="Arial"/>
          <w:sz w:val="16"/>
          <w:szCs w:val="16"/>
        </w:rPr>
      </w:pPr>
      <w:r w:rsidRPr="008D2992">
        <w:rPr>
          <w:rFonts w:cs="Arial"/>
          <w:position w:val="-2"/>
          <w:sz w:val="16"/>
          <w:szCs w:val="16"/>
          <w:vertAlign w:val="superscript"/>
        </w:rPr>
        <w:t>1</w:t>
      </w:r>
      <w:r w:rsidRPr="00D03231">
        <w:rPr>
          <w:rFonts w:cs="Arial"/>
          <w:position w:val="-2"/>
          <w:sz w:val="18"/>
          <w:szCs w:val="18"/>
          <w:vertAlign w:val="superscript"/>
        </w:rPr>
        <w:t>/</w:t>
      </w:r>
      <w:r w:rsidRPr="00D03231">
        <w:rPr>
          <w:rFonts w:cs="Arial"/>
          <w:position w:val="4"/>
          <w:sz w:val="18"/>
          <w:szCs w:val="18"/>
        </w:rPr>
        <w:t xml:space="preserve"> </w:t>
      </w:r>
      <w:r w:rsidRPr="004A49E1">
        <w:rPr>
          <w:rFonts w:cs="Arial"/>
          <w:sz w:val="16"/>
          <w:szCs w:val="16"/>
        </w:rPr>
        <w:t xml:space="preserve">La suma de las contribuciones difiere del total del crecimiento del PIB debido a </w:t>
      </w:r>
    </w:p>
    <w:p w14:paraId="5154F14D" w14:textId="77777777" w:rsidR="00C177C7" w:rsidRPr="00D03231" w:rsidRDefault="00C177C7" w:rsidP="00F35110">
      <w:pPr>
        <w:pStyle w:val="Textoindependiente"/>
        <w:spacing w:before="0"/>
        <w:ind w:left="1560" w:right="539" w:hanging="284"/>
        <w:rPr>
          <w:rFonts w:cs="Arial"/>
          <w:sz w:val="18"/>
          <w:szCs w:val="18"/>
        </w:rPr>
      </w:pPr>
      <w:r w:rsidRPr="004A49E1">
        <w:rPr>
          <w:rFonts w:cs="Arial"/>
          <w:sz w:val="16"/>
          <w:szCs w:val="16"/>
        </w:rPr>
        <w:t>que no se incluye la variación de existencias ni la discrepancia estadística.</w:t>
      </w:r>
    </w:p>
    <w:p w14:paraId="42B9ED37" w14:textId="7D96B968" w:rsidR="00C177C7" w:rsidRDefault="00C177C7" w:rsidP="00F35110">
      <w:pPr>
        <w:pStyle w:val="not31"/>
        <w:keepLines w:val="0"/>
        <w:widowControl w:val="0"/>
        <w:spacing w:before="0"/>
        <w:ind w:left="1560" w:right="985" w:hanging="284"/>
        <w:rPr>
          <w:rFonts w:cs="Arial"/>
          <w:color w:val="auto"/>
          <w:sz w:val="16"/>
          <w:szCs w:val="16"/>
          <w:lang w:val="es-MX" w:eastAsia="es-MX"/>
        </w:rPr>
      </w:pPr>
      <w:r w:rsidRPr="00D03231">
        <w:rPr>
          <w:rFonts w:cs="Arial"/>
          <w:color w:val="auto"/>
          <w:sz w:val="18"/>
          <w:szCs w:val="18"/>
          <w:vertAlign w:val="superscript"/>
          <w:lang w:val="es-MX" w:eastAsia="es-MX"/>
        </w:rPr>
        <w:t>P/</w:t>
      </w:r>
      <w:r>
        <w:rPr>
          <w:rFonts w:cs="Arial"/>
          <w:color w:val="auto"/>
          <w:sz w:val="18"/>
          <w:szCs w:val="18"/>
          <w:vertAlign w:val="superscript"/>
          <w:lang w:val="es-MX" w:eastAsia="es-MX"/>
        </w:rPr>
        <w:t xml:space="preserve"> </w:t>
      </w:r>
      <w:r w:rsidRPr="004A49E1">
        <w:rPr>
          <w:rFonts w:cs="Arial"/>
          <w:color w:val="auto"/>
          <w:sz w:val="16"/>
          <w:szCs w:val="16"/>
          <w:lang w:val="es-MX" w:eastAsia="es-MX"/>
        </w:rPr>
        <w:t>Cifras preliminares.</w:t>
      </w:r>
    </w:p>
    <w:p w14:paraId="4CC1A1EA" w14:textId="77777777" w:rsidR="000A532D" w:rsidRPr="004A49E1" w:rsidRDefault="000A532D" w:rsidP="00F35110">
      <w:pPr>
        <w:pStyle w:val="p1"/>
        <w:keepLines w:val="0"/>
        <w:spacing w:before="0"/>
        <w:ind w:left="1560" w:hanging="28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71CE3370" w14:textId="77777777" w:rsidR="00C177C7" w:rsidRPr="00215435" w:rsidRDefault="00C177C7" w:rsidP="00DA3BDB">
      <w:pPr>
        <w:pStyle w:val="Textoindependiente"/>
        <w:rPr>
          <w:rFonts w:cs="Arial"/>
          <w:b/>
          <w:i/>
          <w:szCs w:val="24"/>
        </w:rPr>
      </w:pPr>
      <w:r w:rsidRPr="00215435">
        <w:rPr>
          <w:rFonts w:cs="Arial"/>
          <w:b/>
          <w:i/>
          <w:szCs w:val="24"/>
        </w:rPr>
        <w:t xml:space="preserve">Oferta y Demanda Global en pesos corrientes </w:t>
      </w:r>
    </w:p>
    <w:p w14:paraId="0E985570" w14:textId="77777777" w:rsidR="00C177C7" w:rsidRPr="00215435" w:rsidRDefault="00C177C7" w:rsidP="00C177C7">
      <w:pPr>
        <w:pStyle w:val="Textoindependiente"/>
        <w:spacing w:before="240"/>
        <w:rPr>
          <w:rFonts w:cs="Arial"/>
          <w:szCs w:val="24"/>
        </w:rPr>
      </w:pPr>
      <w:r w:rsidRPr="00215435">
        <w:rPr>
          <w:rFonts w:cs="Arial"/>
          <w:szCs w:val="24"/>
        </w:rPr>
        <w:t xml:space="preserve">La </w:t>
      </w:r>
      <w:r w:rsidRPr="00215435">
        <w:rPr>
          <w:rFonts w:cs="Arial"/>
          <w:b/>
          <w:szCs w:val="24"/>
        </w:rPr>
        <w:t>Oferta Global</w:t>
      </w:r>
      <w:r w:rsidRPr="00215435">
        <w:rPr>
          <w:rFonts w:cs="Arial"/>
          <w:szCs w:val="24"/>
        </w:rPr>
        <w:t xml:space="preserve"> (igual a la Demanda Global) de Bienes y Servicios a precios corrientes sumó 3</w:t>
      </w:r>
      <w:r>
        <w:rPr>
          <w:rFonts w:cs="Arial"/>
          <w:szCs w:val="24"/>
        </w:rPr>
        <w:t>4</w:t>
      </w:r>
      <w:r w:rsidRPr="00215435">
        <w:rPr>
          <w:rFonts w:cs="Arial"/>
          <w:szCs w:val="24"/>
        </w:rPr>
        <w:t>,7</w:t>
      </w:r>
      <w:r>
        <w:rPr>
          <w:rFonts w:cs="Arial"/>
          <w:szCs w:val="24"/>
        </w:rPr>
        <w:t>80</w:t>
      </w:r>
      <w:r w:rsidRPr="00215435">
        <w:rPr>
          <w:rFonts w:cs="Arial"/>
          <w:szCs w:val="24"/>
        </w:rPr>
        <w:t>,</w:t>
      </w:r>
      <w:r>
        <w:rPr>
          <w:rFonts w:cs="Arial"/>
          <w:szCs w:val="24"/>
        </w:rPr>
        <w:t>859</w:t>
      </w:r>
      <w:r w:rsidRPr="00215435">
        <w:rPr>
          <w:rFonts w:cs="Arial"/>
          <w:szCs w:val="24"/>
        </w:rPr>
        <w:t xml:space="preserve"> millones de pesos (3</w:t>
      </w:r>
      <w:r>
        <w:rPr>
          <w:rFonts w:cs="Arial"/>
          <w:szCs w:val="24"/>
        </w:rPr>
        <w:t>4.8</w:t>
      </w:r>
      <w:r w:rsidRPr="00215435">
        <w:rPr>
          <w:rFonts w:cs="Arial"/>
          <w:szCs w:val="24"/>
        </w:rPr>
        <w:t xml:space="preserve"> billones de pesos) en el </w:t>
      </w:r>
      <w:r>
        <w:rPr>
          <w:rFonts w:cs="Arial"/>
          <w:szCs w:val="24"/>
        </w:rPr>
        <w:t>primer</w:t>
      </w:r>
      <w:r w:rsidRPr="00215435">
        <w:rPr>
          <w:rFonts w:cs="Arial"/>
          <w:szCs w:val="24"/>
        </w:rPr>
        <w:t xml:space="preserve"> trimestre de 202</w:t>
      </w:r>
      <w:r>
        <w:rPr>
          <w:rFonts w:cs="Arial"/>
          <w:szCs w:val="24"/>
        </w:rPr>
        <w:t>1</w:t>
      </w:r>
      <w:r w:rsidRPr="00215435">
        <w:rPr>
          <w:rFonts w:cs="Arial"/>
          <w:szCs w:val="24"/>
        </w:rPr>
        <w:t>.</w:t>
      </w:r>
    </w:p>
    <w:p w14:paraId="05126602" w14:textId="77777777" w:rsidR="00C177C7" w:rsidRPr="0057720D" w:rsidRDefault="00C177C7" w:rsidP="00C177C7">
      <w:pPr>
        <w:widowControl/>
        <w:spacing w:before="240"/>
        <w:jc w:val="center"/>
        <w:rPr>
          <w:rFonts w:ascii="Arial" w:hAnsi="Arial" w:cs="Arial"/>
          <w:szCs w:val="22"/>
        </w:rPr>
      </w:pPr>
      <w:r>
        <w:rPr>
          <w:rFonts w:ascii="Arial" w:hAnsi="Arial" w:cs="Arial"/>
          <w:szCs w:val="22"/>
        </w:rPr>
        <w:t>Cuadro 4</w:t>
      </w:r>
    </w:p>
    <w:p w14:paraId="2DE016AC" w14:textId="6B4A1D99" w:rsidR="00C177C7" w:rsidRPr="00AB6295" w:rsidRDefault="00C177C7" w:rsidP="00C177C7">
      <w:pPr>
        <w:pStyle w:val="p0"/>
        <w:keepNext/>
        <w:widowControl/>
        <w:spacing w:before="0" w:line="240" w:lineRule="atLeast"/>
        <w:jc w:val="center"/>
        <w:rPr>
          <w:rFonts w:cs="Arial"/>
          <w:b/>
          <w:smallCaps/>
          <w:snapToGrid/>
          <w:color w:val="auto"/>
          <w:sz w:val="22"/>
          <w:szCs w:val="22"/>
          <w:lang w:eastAsia="es-MX"/>
        </w:rPr>
      </w:pPr>
      <w:r w:rsidRPr="00AB6295">
        <w:rPr>
          <w:rFonts w:cs="Arial"/>
          <w:b/>
          <w:smallCaps/>
          <w:snapToGrid/>
          <w:color w:val="auto"/>
          <w:sz w:val="22"/>
          <w:szCs w:val="22"/>
          <w:lang w:eastAsia="es-MX"/>
        </w:rPr>
        <w:t xml:space="preserve">Oferta y Demanda Global de Bienes y Servicios </w:t>
      </w:r>
      <w:r w:rsidR="00DA3BDB">
        <w:rPr>
          <w:rFonts w:cs="Arial"/>
          <w:b/>
          <w:smallCaps/>
          <w:snapToGrid/>
          <w:color w:val="auto"/>
          <w:sz w:val="22"/>
          <w:szCs w:val="22"/>
          <w:lang w:eastAsia="es-MX"/>
        </w:rPr>
        <w:t>por componentes</w:t>
      </w:r>
    </w:p>
    <w:p w14:paraId="08D283F4" w14:textId="77777777" w:rsidR="00C177C7" w:rsidRPr="00AB6295" w:rsidRDefault="00C177C7" w:rsidP="00C177C7">
      <w:pPr>
        <w:pStyle w:val="p0"/>
        <w:keepNext/>
        <w:widowControl/>
        <w:spacing w:before="0" w:line="240" w:lineRule="atLeast"/>
        <w:jc w:val="center"/>
        <w:rPr>
          <w:rFonts w:cs="Arial"/>
          <w:b/>
          <w:smallCaps/>
          <w:snapToGrid/>
          <w:color w:val="auto"/>
          <w:sz w:val="20"/>
          <w:lang w:eastAsia="es-MX"/>
        </w:rPr>
      </w:pPr>
      <w:r w:rsidRPr="00AB6295">
        <w:rPr>
          <w:rFonts w:cs="Arial"/>
          <w:b/>
          <w:smallCaps/>
          <w:snapToGrid/>
          <w:color w:val="auto"/>
          <w:sz w:val="22"/>
          <w:szCs w:val="22"/>
          <w:lang w:eastAsia="es-MX"/>
        </w:rPr>
        <w:t xml:space="preserve">al </w:t>
      </w:r>
      <w:r>
        <w:rPr>
          <w:rFonts w:cs="Arial"/>
          <w:b/>
          <w:smallCaps/>
          <w:snapToGrid/>
          <w:color w:val="auto"/>
          <w:sz w:val="22"/>
          <w:szCs w:val="22"/>
          <w:lang w:eastAsia="es-MX"/>
        </w:rPr>
        <w:t>primer</w:t>
      </w:r>
      <w:r w:rsidRPr="00AB6295">
        <w:rPr>
          <w:rFonts w:cs="Arial"/>
          <w:b/>
          <w:smallCaps/>
          <w:snapToGrid/>
          <w:color w:val="auto"/>
          <w:sz w:val="22"/>
          <w:szCs w:val="22"/>
          <w:lang w:eastAsia="es-MX"/>
        </w:rPr>
        <w:t xml:space="preserve"> trimestre de 202</w:t>
      </w:r>
      <w:r>
        <w:rPr>
          <w:rFonts w:cs="Arial"/>
          <w:b/>
          <w:smallCaps/>
          <w:snapToGrid/>
          <w:color w:val="auto"/>
          <w:sz w:val="22"/>
          <w:szCs w:val="22"/>
          <w:lang w:eastAsia="es-MX"/>
        </w:rPr>
        <w:t>1</w:t>
      </w:r>
    </w:p>
    <w:p w14:paraId="0F1CD55A" w14:textId="77777777" w:rsidR="00C177C7" w:rsidRPr="00F35110" w:rsidRDefault="00C177C7" w:rsidP="00C177C7">
      <w:pPr>
        <w:pStyle w:val="Textoindependiente"/>
        <w:keepNext/>
        <w:keepLines/>
        <w:spacing w:before="0" w:line="240" w:lineRule="atLeast"/>
        <w:ind w:left="142" w:right="-57"/>
        <w:jc w:val="center"/>
        <w:rPr>
          <w:rFonts w:cs="Arial"/>
          <w:sz w:val="16"/>
          <w:szCs w:val="16"/>
          <w:vertAlign w:val="superscript"/>
        </w:rPr>
      </w:pPr>
      <w:r w:rsidRPr="00F35110">
        <w:rPr>
          <w:rFonts w:cs="Arial"/>
          <w:sz w:val="18"/>
        </w:rPr>
        <w:t>(Estructura porcentual)</w:t>
      </w:r>
      <w:r w:rsidRPr="00F35110">
        <w:rPr>
          <w:rFonts w:cs="Arial"/>
          <w:sz w:val="16"/>
          <w:szCs w:val="16"/>
          <w:vertAlign w:val="superscript"/>
        </w:rPr>
        <w:t xml:space="preserve"> </w:t>
      </w:r>
    </w:p>
    <w:tbl>
      <w:tblPr>
        <w:tblStyle w:val="Tablaconcuadrcula"/>
        <w:tblW w:w="9485" w:type="dxa"/>
        <w:jc w:val="center"/>
        <w:tblLayout w:type="fixed"/>
        <w:tblLook w:val="04A0" w:firstRow="1" w:lastRow="0" w:firstColumn="1" w:lastColumn="0" w:noHBand="0" w:noVBand="1"/>
      </w:tblPr>
      <w:tblGrid>
        <w:gridCol w:w="3842"/>
        <w:gridCol w:w="821"/>
        <w:gridCol w:w="851"/>
        <w:gridCol w:w="850"/>
        <w:gridCol w:w="851"/>
        <w:gridCol w:w="1135"/>
        <w:gridCol w:w="1135"/>
      </w:tblGrid>
      <w:tr w:rsidR="00C177C7" w14:paraId="576B7CC7" w14:textId="77777777" w:rsidTr="00E73206">
        <w:trPr>
          <w:jc w:val="center"/>
        </w:trPr>
        <w:tc>
          <w:tcPr>
            <w:tcW w:w="3842"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60318987" w14:textId="77777777" w:rsidR="00C177C7" w:rsidRPr="00AB6295" w:rsidRDefault="00C177C7" w:rsidP="00E7320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4508" w:type="dxa"/>
            <w:gridSpan w:val="5"/>
            <w:tcBorders>
              <w:top w:val="double" w:sz="4" w:space="0" w:color="auto"/>
              <w:left w:val="single" w:sz="4" w:space="0" w:color="auto"/>
              <w:right w:val="double" w:sz="4" w:space="0" w:color="auto"/>
            </w:tcBorders>
            <w:shd w:val="clear" w:color="auto" w:fill="C2D69B" w:themeFill="accent3" w:themeFillTint="99"/>
            <w:vAlign w:val="center"/>
          </w:tcPr>
          <w:p w14:paraId="6775E3D8" w14:textId="77777777" w:rsidR="00C177C7" w:rsidRPr="00AB6295" w:rsidRDefault="00C177C7" w:rsidP="00E73206">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Pr="00AB6295">
              <w:rPr>
                <w:rFonts w:cs="Arial"/>
                <w:b/>
                <w:color w:val="auto"/>
                <w:sz w:val="18"/>
                <w:szCs w:val="18"/>
                <w:vertAlign w:val="superscript"/>
                <w:lang w:val="es-MX" w:eastAsia="es-MX"/>
              </w:rPr>
              <w:t>R/</w:t>
            </w:r>
          </w:p>
        </w:tc>
        <w:tc>
          <w:tcPr>
            <w:tcW w:w="1135" w:type="dxa"/>
            <w:tcBorders>
              <w:top w:val="double" w:sz="4" w:space="0" w:color="auto"/>
              <w:left w:val="single" w:sz="4" w:space="0" w:color="auto"/>
              <w:right w:val="double" w:sz="4" w:space="0" w:color="auto"/>
            </w:tcBorders>
            <w:shd w:val="clear" w:color="auto" w:fill="C2D69B" w:themeFill="accent3" w:themeFillTint="99"/>
          </w:tcPr>
          <w:p w14:paraId="30B2D393" w14:textId="77777777" w:rsidR="00C177C7" w:rsidRPr="00AB6295" w:rsidRDefault="00C177C7" w:rsidP="00E73206">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Pr="002F7463">
              <w:rPr>
                <w:rFonts w:cs="Arial"/>
                <w:b/>
                <w:color w:val="auto"/>
                <w:sz w:val="18"/>
                <w:szCs w:val="18"/>
                <w:vertAlign w:val="superscript"/>
                <w:lang w:val="es-MX" w:eastAsia="es-MX"/>
              </w:rPr>
              <w:t>P</w:t>
            </w:r>
            <w:r w:rsidRPr="00CF678A">
              <w:rPr>
                <w:rFonts w:cs="Arial"/>
                <w:b/>
                <w:color w:val="auto"/>
                <w:sz w:val="18"/>
                <w:szCs w:val="18"/>
                <w:vertAlign w:val="superscript"/>
                <w:lang w:val="es-MX" w:eastAsia="es-MX"/>
              </w:rPr>
              <w:t>/</w:t>
            </w:r>
          </w:p>
        </w:tc>
      </w:tr>
      <w:tr w:rsidR="00C177C7" w:rsidRPr="0045371C" w14:paraId="56FCA1B7" w14:textId="77777777" w:rsidTr="00E73206">
        <w:trPr>
          <w:jc w:val="center"/>
        </w:trPr>
        <w:tc>
          <w:tcPr>
            <w:tcW w:w="384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519EB7FB" w14:textId="77777777" w:rsidR="00C177C7" w:rsidRPr="00AB6295" w:rsidRDefault="00C177C7" w:rsidP="00E73206">
            <w:pPr>
              <w:pStyle w:val="not31"/>
              <w:widowControl w:val="0"/>
              <w:spacing w:before="20" w:after="20" w:line="180" w:lineRule="atLeast"/>
              <w:ind w:right="0"/>
              <w:rPr>
                <w:rFonts w:cs="Arial"/>
                <w:b/>
                <w:color w:val="auto"/>
                <w:sz w:val="18"/>
                <w:szCs w:val="18"/>
                <w:lang w:val="es-MX" w:eastAsia="es-MX"/>
              </w:rPr>
            </w:pPr>
          </w:p>
        </w:tc>
        <w:tc>
          <w:tcPr>
            <w:tcW w:w="3373" w:type="dxa"/>
            <w:gridSpan w:val="4"/>
            <w:tcBorders>
              <w:top w:val="nil"/>
              <w:left w:val="single" w:sz="4" w:space="0" w:color="auto"/>
              <w:right w:val="single" w:sz="4" w:space="0" w:color="auto"/>
            </w:tcBorders>
            <w:shd w:val="clear" w:color="auto" w:fill="C2D69B" w:themeFill="accent3" w:themeFillTint="99"/>
            <w:vAlign w:val="center"/>
          </w:tcPr>
          <w:p w14:paraId="51050248" w14:textId="77777777" w:rsidR="00C177C7" w:rsidRPr="00AB6295" w:rsidRDefault="00C177C7" w:rsidP="00E7320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1135" w:type="dxa"/>
            <w:vMerge w:val="restart"/>
            <w:tcBorders>
              <w:left w:val="single" w:sz="4" w:space="0" w:color="auto"/>
              <w:right w:val="double" w:sz="4" w:space="0" w:color="auto"/>
            </w:tcBorders>
            <w:shd w:val="clear" w:color="auto" w:fill="C2D69B" w:themeFill="accent3" w:themeFillTint="99"/>
            <w:vAlign w:val="center"/>
          </w:tcPr>
          <w:p w14:paraId="483565CA" w14:textId="77777777" w:rsidR="00C177C7" w:rsidRPr="00AB6295" w:rsidRDefault="00C177C7" w:rsidP="00E73206">
            <w:pPr>
              <w:pStyle w:val="not31"/>
              <w:widowControl w:val="0"/>
              <w:spacing w:before="20" w:after="20" w:line="180" w:lineRule="atLeast"/>
              <w:ind w:left="-108" w:right="0" w:firstLine="108"/>
              <w:jc w:val="center"/>
              <w:rPr>
                <w:rFonts w:cs="Arial"/>
                <w:b/>
                <w:color w:val="auto"/>
                <w:sz w:val="18"/>
                <w:szCs w:val="18"/>
                <w:lang w:val="es-MX" w:eastAsia="es-MX"/>
              </w:rPr>
            </w:pPr>
            <w:r>
              <w:rPr>
                <w:rFonts w:cs="Arial"/>
                <w:b/>
                <w:color w:val="auto"/>
                <w:sz w:val="18"/>
                <w:szCs w:val="18"/>
                <w:lang w:val="es-MX" w:eastAsia="es-MX"/>
              </w:rPr>
              <w:t>Anual</w:t>
            </w:r>
          </w:p>
        </w:tc>
        <w:tc>
          <w:tcPr>
            <w:tcW w:w="1135" w:type="dxa"/>
            <w:tcBorders>
              <w:left w:val="single" w:sz="4" w:space="0" w:color="auto"/>
              <w:right w:val="double" w:sz="4" w:space="0" w:color="auto"/>
            </w:tcBorders>
            <w:shd w:val="clear" w:color="auto" w:fill="C2D69B" w:themeFill="accent3" w:themeFillTint="99"/>
          </w:tcPr>
          <w:p w14:paraId="438EC3DC" w14:textId="77777777" w:rsidR="00C177C7" w:rsidRDefault="00C177C7" w:rsidP="00E73206">
            <w:pPr>
              <w:pStyle w:val="not31"/>
              <w:widowControl w:val="0"/>
              <w:spacing w:before="20" w:after="20" w:line="180" w:lineRule="atLeast"/>
              <w:ind w:left="-108" w:right="0" w:firstLine="108"/>
              <w:jc w:val="center"/>
              <w:rPr>
                <w:rFonts w:cs="Arial"/>
                <w:b/>
                <w:color w:val="auto"/>
                <w:sz w:val="18"/>
                <w:szCs w:val="18"/>
                <w:lang w:val="es-MX" w:eastAsia="es-MX"/>
              </w:rPr>
            </w:pPr>
            <w:r w:rsidRPr="00AB6295">
              <w:rPr>
                <w:rFonts w:cs="Arial"/>
                <w:b/>
                <w:color w:val="auto"/>
                <w:sz w:val="18"/>
                <w:szCs w:val="18"/>
                <w:lang w:val="es-MX" w:eastAsia="es-MX"/>
              </w:rPr>
              <w:t>Trimestre</w:t>
            </w:r>
          </w:p>
        </w:tc>
      </w:tr>
      <w:tr w:rsidR="00C177C7" w14:paraId="2B505E45" w14:textId="77777777" w:rsidTr="00E73206">
        <w:trPr>
          <w:jc w:val="center"/>
        </w:trPr>
        <w:tc>
          <w:tcPr>
            <w:tcW w:w="384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34D4DEAB" w14:textId="77777777" w:rsidR="00C177C7" w:rsidRPr="00AB6295" w:rsidRDefault="00C177C7" w:rsidP="00E73206">
            <w:pPr>
              <w:pStyle w:val="not31"/>
              <w:keepLines w:val="0"/>
              <w:widowControl w:val="0"/>
              <w:spacing w:before="80" w:line="180" w:lineRule="atLeast"/>
              <w:ind w:right="0"/>
              <w:rPr>
                <w:rFonts w:cs="Arial"/>
                <w:color w:val="auto"/>
                <w:sz w:val="18"/>
                <w:szCs w:val="18"/>
                <w:lang w:val="es-MX" w:eastAsia="es-MX"/>
              </w:rPr>
            </w:pPr>
          </w:p>
        </w:tc>
        <w:tc>
          <w:tcPr>
            <w:tcW w:w="821" w:type="dxa"/>
            <w:tcBorders>
              <w:left w:val="single" w:sz="4" w:space="0" w:color="auto"/>
              <w:bottom w:val="double" w:sz="4" w:space="0" w:color="auto"/>
              <w:right w:val="single" w:sz="4" w:space="0" w:color="auto"/>
            </w:tcBorders>
            <w:shd w:val="clear" w:color="auto" w:fill="C2D69B" w:themeFill="accent3" w:themeFillTint="99"/>
            <w:vAlign w:val="center"/>
          </w:tcPr>
          <w:p w14:paraId="656F2341"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w:t>
            </w:r>
          </w:p>
        </w:tc>
        <w:tc>
          <w:tcPr>
            <w:tcW w:w="851" w:type="dxa"/>
            <w:tcBorders>
              <w:left w:val="single" w:sz="4" w:space="0" w:color="auto"/>
              <w:bottom w:val="double" w:sz="4" w:space="0" w:color="auto"/>
              <w:right w:val="single" w:sz="4" w:space="0" w:color="auto"/>
            </w:tcBorders>
            <w:shd w:val="clear" w:color="auto" w:fill="C2D69B" w:themeFill="accent3" w:themeFillTint="99"/>
            <w:vAlign w:val="center"/>
          </w:tcPr>
          <w:p w14:paraId="73A86C59"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w:t>
            </w:r>
          </w:p>
        </w:tc>
        <w:tc>
          <w:tcPr>
            <w:tcW w:w="850" w:type="dxa"/>
            <w:tcBorders>
              <w:left w:val="single" w:sz="4" w:space="0" w:color="auto"/>
              <w:bottom w:val="double" w:sz="4" w:space="0" w:color="auto"/>
              <w:right w:val="single" w:sz="4" w:space="0" w:color="auto"/>
            </w:tcBorders>
            <w:shd w:val="clear" w:color="auto" w:fill="C2D69B" w:themeFill="accent3" w:themeFillTint="99"/>
          </w:tcPr>
          <w:p w14:paraId="1F517637"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III</w:t>
            </w:r>
          </w:p>
        </w:tc>
        <w:tc>
          <w:tcPr>
            <w:tcW w:w="851" w:type="dxa"/>
            <w:tcBorders>
              <w:left w:val="single" w:sz="4" w:space="0" w:color="auto"/>
              <w:bottom w:val="double" w:sz="4" w:space="0" w:color="auto"/>
              <w:right w:val="single" w:sz="4" w:space="0" w:color="auto"/>
            </w:tcBorders>
            <w:shd w:val="clear" w:color="auto" w:fill="C2D69B" w:themeFill="accent3" w:themeFillTint="99"/>
            <w:vAlign w:val="center"/>
          </w:tcPr>
          <w:p w14:paraId="1330D468"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1135" w:type="dxa"/>
            <w:vMerge/>
            <w:tcBorders>
              <w:left w:val="single" w:sz="4" w:space="0" w:color="auto"/>
              <w:bottom w:val="double" w:sz="4" w:space="0" w:color="auto"/>
              <w:right w:val="double" w:sz="4" w:space="0" w:color="auto"/>
            </w:tcBorders>
            <w:shd w:val="clear" w:color="auto" w:fill="C2D69B" w:themeFill="accent3" w:themeFillTint="99"/>
          </w:tcPr>
          <w:p w14:paraId="535144A4"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p>
        </w:tc>
        <w:tc>
          <w:tcPr>
            <w:tcW w:w="1135" w:type="dxa"/>
            <w:tcBorders>
              <w:left w:val="single" w:sz="4" w:space="0" w:color="auto"/>
              <w:bottom w:val="double" w:sz="4" w:space="0" w:color="auto"/>
              <w:right w:val="double" w:sz="4" w:space="0" w:color="auto"/>
            </w:tcBorders>
            <w:shd w:val="clear" w:color="auto" w:fill="C2D69B" w:themeFill="accent3" w:themeFillTint="99"/>
          </w:tcPr>
          <w:p w14:paraId="6FC31D85"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r>
      <w:tr w:rsidR="00C177C7" w14:paraId="3C8FFF0C" w14:textId="77777777" w:rsidTr="00DA3BDB">
        <w:trPr>
          <w:jc w:val="center"/>
        </w:trPr>
        <w:tc>
          <w:tcPr>
            <w:tcW w:w="3842" w:type="dxa"/>
            <w:tcBorders>
              <w:top w:val="double" w:sz="4" w:space="0" w:color="auto"/>
              <w:left w:val="double" w:sz="4" w:space="0" w:color="auto"/>
              <w:bottom w:val="nil"/>
              <w:right w:val="single" w:sz="4" w:space="0" w:color="auto"/>
            </w:tcBorders>
            <w:shd w:val="clear" w:color="auto" w:fill="auto"/>
            <w:vAlign w:val="center"/>
          </w:tcPr>
          <w:p w14:paraId="453D46B9"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Producto Interno Bruto</w:t>
            </w:r>
          </w:p>
        </w:tc>
        <w:tc>
          <w:tcPr>
            <w:tcW w:w="821" w:type="dxa"/>
            <w:tcBorders>
              <w:top w:val="double" w:sz="4" w:space="0" w:color="auto"/>
              <w:left w:val="single" w:sz="4" w:space="0" w:color="auto"/>
              <w:bottom w:val="nil"/>
              <w:right w:val="nil"/>
            </w:tcBorders>
            <w:shd w:val="clear" w:color="auto" w:fill="auto"/>
            <w:vAlign w:val="bottom"/>
          </w:tcPr>
          <w:p w14:paraId="5ACEEFE3" w14:textId="77777777" w:rsidR="00C177C7" w:rsidRPr="00AB6295" w:rsidRDefault="00C177C7" w:rsidP="00E73206">
            <w:pPr>
              <w:spacing w:before="20" w:after="20" w:line="180" w:lineRule="atLeast"/>
              <w:ind w:right="113"/>
              <w:jc w:val="right"/>
              <w:rPr>
                <w:rFonts w:ascii="Arial" w:hAnsi="Arial" w:cs="Arial"/>
                <w:sz w:val="18"/>
                <w:szCs w:val="18"/>
              </w:rPr>
            </w:pPr>
            <w:r w:rsidRPr="00AB6295">
              <w:rPr>
                <w:rFonts w:ascii="Arial" w:hAnsi="Arial" w:cs="Arial"/>
                <w:sz w:val="18"/>
                <w:szCs w:val="18"/>
                <w:lang w:eastAsia="es-MX"/>
              </w:rPr>
              <w:t>73.0</w:t>
            </w:r>
          </w:p>
        </w:tc>
        <w:tc>
          <w:tcPr>
            <w:tcW w:w="851" w:type="dxa"/>
            <w:tcBorders>
              <w:top w:val="double" w:sz="4" w:space="0" w:color="auto"/>
              <w:left w:val="nil"/>
              <w:bottom w:val="nil"/>
              <w:right w:val="nil"/>
            </w:tcBorders>
            <w:shd w:val="clear" w:color="auto" w:fill="auto"/>
            <w:vAlign w:val="bottom"/>
          </w:tcPr>
          <w:p w14:paraId="4FD5B8A5" w14:textId="77777777" w:rsidR="00C177C7" w:rsidRPr="00AB6295" w:rsidRDefault="00C177C7" w:rsidP="00E73206">
            <w:pPr>
              <w:spacing w:before="20" w:after="20" w:line="180" w:lineRule="atLeast"/>
              <w:ind w:right="113"/>
              <w:jc w:val="right"/>
              <w:rPr>
                <w:rFonts w:ascii="Arial" w:hAnsi="Arial" w:cs="Arial"/>
                <w:sz w:val="18"/>
                <w:szCs w:val="18"/>
              </w:rPr>
            </w:pPr>
            <w:r w:rsidRPr="00AB6295">
              <w:rPr>
                <w:rFonts w:ascii="Arial" w:hAnsi="Arial" w:cs="Arial"/>
                <w:sz w:val="18"/>
                <w:szCs w:val="18"/>
                <w:lang w:eastAsia="es-MX"/>
              </w:rPr>
              <w:t>72.</w:t>
            </w:r>
            <w:r>
              <w:rPr>
                <w:rFonts w:ascii="Arial" w:hAnsi="Arial" w:cs="Arial"/>
                <w:sz w:val="18"/>
                <w:szCs w:val="18"/>
                <w:lang w:eastAsia="es-MX"/>
              </w:rPr>
              <w:t>5</w:t>
            </w:r>
          </w:p>
        </w:tc>
        <w:tc>
          <w:tcPr>
            <w:tcW w:w="850" w:type="dxa"/>
            <w:tcBorders>
              <w:top w:val="double" w:sz="4" w:space="0" w:color="auto"/>
              <w:left w:val="nil"/>
              <w:bottom w:val="nil"/>
              <w:right w:val="nil"/>
            </w:tcBorders>
            <w:shd w:val="clear" w:color="auto" w:fill="auto"/>
            <w:vAlign w:val="bottom"/>
          </w:tcPr>
          <w:p w14:paraId="55198255" w14:textId="77777777" w:rsidR="00C177C7" w:rsidRPr="00AB6295" w:rsidRDefault="00C177C7" w:rsidP="00E73206">
            <w:pPr>
              <w:spacing w:before="20" w:after="20" w:line="180" w:lineRule="atLeast"/>
              <w:ind w:left="-108" w:right="113"/>
              <w:jc w:val="right"/>
              <w:rPr>
                <w:rFonts w:ascii="Arial" w:hAnsi="Arial" w:cs="Arial"/>
                <w:sz w:val="18"/>
                <w:szCs w:val="18"/>
                <w:lang w:eastAsia="es-MX"/>
              </w:rPr>
            </w:pPr>
            <w:r w:rsidRPr="00AB6295">
              <w:rPr>
                <w:rFonts w:ascii="Arial" w:hAnsi="Arial" w:cs="Arial"/>
                <w:sz w:val="18"/>
                <w:szCs w:val="18"/>
                <w:lang w:eastAsia="es-MX"/>
              </w:rPr>
              <w:t>7</w:t>
            </w:r>
            <w:r>
              <w:rPr>
                <w:rFonts w:ascii="Arial" w:hAnsi="Arial" w:cs="Arial"/>
                <w:sz w:val="18"/>
                <w:szCs w:val="18"/>
                <w:lang w:eastAsia="es-MX"/>
              </w:rPr>
              <w:t>1.9</w:t>
            </w:r>
          </w:p>
        </w:tc>
        <w:tc>
          <w:tcPr>
            <w:tcW w:w="851" w:type="dxa"/>
            <w:tcBorders>
              <w:top w:val="double" w:sz="4" w:space="0" w:color="auto"/>
              <w:left w:val="nil"/>
              <w:bottom w:val="nil"/>
              <w:right w:val="nil"/>
            </w:tcBorders>
            <w:shd w:val="clear" w:color="auto" w:fill="auto"/>
            <w:vAlign w:val="bottom"/>
          </w:tcPr>
          <w:p w14:paraId="4EA9E267" w14:textId="77777777" w:rsidR="00C177C7" w:rsidRPr="00AB6295" w:rsidRDefault="00C177C7" w:rsidP="00E73206">
            <w:pPr>
              <w:spacing w:before="20" w:after="20" w:line="180" w:lineRule="atLeast"/>
              <w:ind w:left="-108" w:right="113"/>
              <w:jc w:val="right"/>
              <w:rPr>
                <w:rFonts w:ascii="Arial" w:hAnsi="Arial" w:cs="Arial"/>
                <w:sz w:val="18"/>
                <w:szCs w:val="18"/>
              </w:rPr>
            </w:pPr>
            <w:r w:rsidRPr="00AB6295">
              <w:rPr>
                <w:rFonts w:ascii="Arial" w:hAnsi="Arial" w:cs="Arial"/>
                <w:sz w:val="18"/>
                <w:szCs w:val="18"/>
                <w:lang w:eastAsia="es-MX"/>
              </w:rPr>
              <w:t>72.</w:t>
            </w:r>
            <w:r>
              <w:rPr>
                <w:rFonts w:ascii="Arial" w:hAnsi="Arial" w:cs="Arial"/>
                <w:sz w:val="18"/>
                <w:szCs w:val="18"/>
                <w:lang w:eastAsia="es-MX"/>
              </w:rPr>
              <w:t>3</w:t>
            </w:r>
          </w:p>
        </w:tc>
        <w:tc>
          <w:tcPr>
            <w:tcW w:w="1135" w:type="dxa"/>
            <w:tcBorders>
              <w:top w:val="double" w:sz="4" w:space="0" w:color="auto"/>
              <w:left w:val="nil"/>
              <w:bottom w:val="nil"/>
              <w:right w:val="double" w:sz="4" w:space="0" w:color="auto"/>
            </w:tcBorders>
            <w:shd w:val="clear" w:color="auto" w:fill="auto"/>
            <w:vAlign w:val="bottom"/>
          </w:tcPr>
          <w:p w14:paraId="665F55FE" w14:textId="77777777" w:rsidR="00C177C7" w:rsidRPr="00AB6295" w:rsidRDefault="00C177C7" w:rsidP="00E73206">
            <w:pPr>
              <w:spacing w:before="20" w:after="20" w:line="180" w:lineRule="atLeast"/>
              <w:ind w:right="284"/>
              <w:jc w:val="right"/>
              <w:rPr>
                <w:rFonts w:ascii="Arial" w:hAnsi="Arial" w:cs="Arial"/>
                <w:sz w:val="18"/>
                <w:szCs w:val="18"/>
              </w:rPr>
            </w:pPr>
            <w:r w:rsidRPr="00AB6295">
              <w:rPr>
                <w:rFonts w:ascii="Arial" w:hAnsi="Arial" w:cs="Arial"/>
                <w:sz w:val="18"/>
                <w:szCs w:val="18"/>
                <w:lang w:eastAsia="es-MX"/>
              </w:rPr>
              <w:t>72.5</w:t>
            </w:r>
          </w:p>
        </w:tc>
        <w:tc>
          <w:tcPr>
            <w:tcW w:w="1135" w:type="dxa"/>
            <w:tcBorders>
              <w:top w:val="double" w:sz="4" w:space="0" w:color="auto"/>
              <w:left w:val="nil"/>
              <w:bottom w:val="nil"/>
              <w:right w:val="double" w:sz="4" w:space="0" w:color="auto"/>
            </w:tcBorders>
            <w:shd w:val="clear" w:color="auto" w:fill="auto"/>
            <w:vAlign w:val="bottom"/>
          </w:tcPr>
          <w:p w14:paraId="7272E389" w14:textId="77777777" w:rsidR="00C177C7" w:rsidRPr="00AB6295" w:rsidRDefault="00C177C7" w:rsidP="00E73206">
            <w:pPr>
              <w:spacing w:before="20" w:after="20" w:line="180" w:lineRule="atLeast"/>
              <w:ind w:right="284"/>
              <w:jc w:val="right"/>
              <w:rPr>
                <w:rFonts w:ascii="Arial" w:hAnsi="Arial" w:cs="Arial"/>
                <w:sz w:val="18"/>
                <w:szCs w:val="18"/>
                <w:lang w:eastAsia="es-MX"/>
              </w:rPr>
            </w:pPr>
            <w:r>
              <w:rPr>
                <w:rFonts w:ascii="Arial" w:hAnsi="Arial" w:cs="Arial"/>
                <w:sz w:val="18"/>
                <w:szCs w:val="18"/>
                <w:lang w:eastAsia="es-MX"/>
              </w:rPr>
              <w:t>71.6</w:t>
            </w:r>
          </w:p>
        </w:tc>
      </w:tr>
      <w:tr w:rsidR="00C177C7" w14:paraId="7876A2B4" w14:textId="77777777" w:rsidTr="00DA3BDB">
        <w:trPr>
          <w:jc w:val="center"/>
        </w:trPr>
        <w:tc>
          <w:tcPr>
            <w:tcW w:w="3842" w:type="dxa"/>
            <w:tcBorders>
              <w:top w:val="nil"/>
              <w:left w:val="double" w:sz="4" w:space="0" w:color="auto"/>
              <w:bottom w:val="nil"/>
              <w:right w:val="single" w:sz="4" w:space="0" w:color="auto"/>
            </w:tcBorders>
            <w:shd w:val="clear" w:color="auto" w:fill="auto"/>
            <w:vAlign w:val="center"/>
          </w:tcPr>
          <w:p w14:paraId="7B3847FF"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821" w:type="dxa"/>
            <w:tcBorders>
              <w:top w:val="nil"/>
              <w:left w:val="single" w:sz="4" w:space="0" w:color="auto"/>
              <w:bottom w:val="nil"/>
              <w:right w:val="nil"/>
            </w:tcBorders>
            <w:shd w:val="clear" w:color="auto" w:fill="auto"/>
            <w:vAlign w:val="center"/>
          </w:tcPr>
          <w:p w14:paraId="392EFD45"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27.0</w:t>
            </w:r>
          </w:p>
        </w:tc>
        <w:tc>
          <w:tcPr>
            <w:tcW w:w="851" w:type="dxa"/>
            <w:tcBorders>
              <w:top w:val="nil"/>
              <w:left w:val="nil"/>
              <w:bottom w:val="nil"/>
              <w:right w:val="nil"/>
            </w:tcBorders>
            <w:shd w:val="clear" w:color="auto" w:fill="auto"/>
            <w:vAlign w:val="center"/>
          </w:tcPr>
          <w:p w14:paraId="5AB70ED1"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27.</w:t>
            </w:r>
            <w:r>
              <w:rPr>
                <w:rFonts w:cs="Arial"/>
                <w:color w:val="auto"/>
                <w:sz w:val="18"/>
                <w:szCs w:val="18"/>
                <w:lang w:val="es-MX" w:eastAsia="es-MX"/>
              </w:rPr>
              <w:t>5</w:t>
            </w:r>
          </w:p>
        </w:tc>
        <w:tc>
          <w:tcPr>
            <w:tcW w:w="850" w:type="dxa"/>
            <w:tcBorders>
              <w:top w:val="nil"/>
              <w:left w:val="nil"/>
              <w:bottom w:val="nil"/>
              <w:right w:val="nil"/>
            </w:tcBorders>
            <w:shd w:val="clear" w:color="auto" w:fill="auto"/>
            <w:vAlign w:val="center"/>
          </w:tcPr>
          <w:p w14:paraId="3BC03E18"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28.</w:t>
            </w:r>
            <w:r>
              <w:rPr>
                <w:rFonts w:cs="Arial"/>
                <w:color w:val="auto"/>
                <w:sz w:val="18"/>
                <w:szCs w:val="18"/>
                <w:lang w:val="es-MX" w:eastAsia="es-MX"/>
              </w:rPr>
              <w:t>1</w:t>
            </w:r>
          </w:p>
        </w:tc>
        <w:tc>
          <w:tcPr>
            <w:tcW w:w="851" w:type="dxa"/>
            <w:tcBorders>
              <w:top w:val="nil"/>
              <w:left w:val="nil"/>
              <w:bottom w:val="nil"/>
              <w:right w:val="nil"/>
            </w:tcBorders>
            <w:shd w:val="clear" w:color="auto" w:fill="auto"/>
            <w:vAlign w:val="center"/>
          </w:tcPr>
          <w:p w14:paraId="591AF436"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7.7</w:t>
            </w:r>
          </w:p>
        </w:tc>
        <w:tc>
          <w:tcPr>
            <w:tcW w:w="1135" w:type="dxa"/>
            <w:tcBorders>
              <w:top w:val="nil"/>
              <w:left w:val="nil"/>
              <w:bottom w:val="nil"/>
              <w:right w:val="double" w:sz="4" w:space="0" w:color="auto"/>
            </w:tcBorders>
            <w:shd w:val="clear" w:color="auto" w:fill="auto"/>
            <w:vAlign w:val="center"/>
          </w:tcPr>
          <w:p w14:paraId="7A179F1E"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27.5</w:t>
            </w:r>
          </w:p>
        </w:tc>
        <w:tc>
          <w:tcPr>
            <w:tcW w:w="1135" w:type="dxa"/>
            <w:tcBorders>
              <w:top w:val="nil"/>
              <w:left w:val="nil"/>
              <w:bottom w:val="nil"/>
              <w:right w:val="double" w:sz="4" w:space="0" w:color="auto"/>
            </w:tcBorders>
            <w:shd w:val="clear" w:color="auto" w:fill="auto"/>
            <w:vAlign w:val="center"/>
          </w:tcPr>
          <w:p w14:paraId="77404A7D"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8.4</w:t>
            </w:r>
          </w:p>
        </w:tc>
      </w:tr>
      <w:tr w:rsidR="00C177C7" w14:paraId="255A3DF9" w14:textId="77777777" w:rsidTr="00E73206">
        <w:trPr>
          <w:jc w:val="center"/>
        </w:trPr>
        <w:tc>
          <w:tcPr>
            <w:tcW w:w="3842" w:type="dxa"/>
            <w:tcBorders>
              <w:top w:val="nil"/>
              <w:left w:val="double" w:sz="4" w:space="0" w:color="auto"/>
              <w:bottom w:val="nil"/>
              <w:right w:val="single" w:sz="4" w:space="0" w:color="auto"/>
            </w:tcBorders>
            <w:vAlign w:val="center"/>
          </w:tcPr>
          <w:p w14:paraId="7A4CD8FC" w14:textId="43CA93CF" w:rsidR="00C177C7" w:rsidRPr="00AB6295" w:rsidRDefault="00C177C7" w:rsidP="00E73206">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 xml:space="preserve">Oferta </w:t>
            </w:r>
            <w:r w:rsidR="00473F1E">
              <w:rPr>
                <w:rFonts w:cs="Arial"/>
                <w:b/>
                <w:color w:val="auto"/>
                <w:sz w:val="18"/>
                <w:szCs w:val="18"/>
                <w:lang w:val="es-MX" w:eastAsia="es-MX"/>
              </w:rPr>
              <w:t>=</w:t>
            </w:r>
            <w:r w:rsidRPr="00AB6295">
              <w:rPr>
                <w:rFonts w:cs="Arial"/>
                <w:b/>
                <w:color w:val="auto"/>
                <w:sz w:val="18"/>
                <w:szCs w:val="18"/>
                <w:lang w:val="es-MX" w:eastAsia="es-MX"/>
              </w:rPr>
              <w:t xml:space="preserve"> Demanda</w:t>
            </w:r>
          </w:p>
        </w:tc>
        <w:tc>
          <w:tcPr>
            <w:tcW w:w="821" w:type="dxa"/>
            <w:tcBorders>
              <w:top w:val="nil"/>
              <w:left w:val="single" w:sz="4" w:space="0" w:color="auto"/>
              <w:bottom w:val="nil"/>
              <w:right w:val="nil"/>
            </w:tcBorders>
            <w:vAlign w:val="bottom"/>
          </w:tcPr>
          <w:p w14:paraId="712D36A7" w14:textId="77777777" w:rsidR="00C177C7" w:rsidRPr="00AB6295" w:rsidRDefault="00C177C7" w:rsidP="00E73206">
            <w:pPr>
              <w:pStyle w:val="not31"/>
              <w:keepLines w:val="0"/>
              <w:widowControl w:val="0"/>
              <w:spacing w:before="20" w:after="20" w:line="180" w:lineRule="atLeast"/>
              <w:ind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851" w:type="dxa"/>
            <w:tcBorders>
              <w:top w:val="nil"/>
              <w:left w:val="nil"/>
              <w:bottom w:val="nil"/>
              <w:right w:val="nil"/>
            </w:tcBorders>
            <w:vAlign w:val="bottom"/>
          </w:tcPr>
          <w:p w14:paraId="6E968F4A" w14:textId="77777777" w:rsidR="00C177C7" w:rsidRPr="00AB6295" w:rsidRDefault="00C177C7" w:rsidP="00E73206">
            <w:pPr>
              <w:pStyle w:val="not31"/>
              <w:keepLines w:val="0"/>
              <w:widowControl w:val="0"/>
              <w:spacing w:before="20" w:after="20" w:line="180" w:lineRule="atLeast"/>
              <w:ind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850" w:type="dxa"/>
            <w:tcBorders>
              <w:top w:val="nil"/>
              <w:left w:val="nil"/>
              <w:bottom w:val="nil"/>
              <w:right w:val="nil"/>
            </w:tcBorders>
            <w:shd w:val="clear" w:color="auto" w:fill="FFFFFF" w:themeFill="background1"/>
            <w:vAlign w:val="bottom"/>
          </w:tcPr>
          <w:p w14:paraId="2103F602" w14:textId="77777777" w:rsidR="00C177C7" w:rsidRPr="00AB6295" w:rsidRDefault="00C177C7" w:rsidP="00E73206">
            <w:pPr>
              <w:pStyle w:val="not31"/>
              <w:keepLines w:val="0"/>
              <w:widowControl w:val="0"/>
              <w:spacing w:before="20" w:after="20" w:line="180" w:lineRule="atLeast"/>
              <w:ind w:left="-108"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851" w:type="dxa"/>
            <w:tcBorders>
              <w:top w:val="nil"/>
              <w:left w:val="nil"/>
              <w:bottom w:val="nil"/>
              <w:right w:val="nil"/>
            </w:tcBorders>
            <w:shd w:val="clear" w:color="auto" w:fill="FFFFFF" w:themeFill="background1"/>
            <w:vAlign w:val="bottom"/>
          </w:tcPr>
          <w:p w14:paraId="30016266" w14:textId="77777777" w:rsidR="00C177C7" w:rsidRPr="00AB6295" w:rsidRDefault="00C177C7" w:rsidP="00E73206">
            <w:pPr>
              <w:pStyle w:val="not31"/>
              <w:keepLines w:val="0"/>
              <w:widowControl w:val="0"/>
              <w:spacing w:before="20" w:after="20" w:line="180" w:lineRule="atLeast"/>
              <w:ind w:left="-108" w:right="113"/>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double" w:sz="4" w:space="0" w:color="auto"/>
            </w:tcBorders>
            <w:shd w:val="clear" w:color="auto" w:fill="FFFFFF" w:themeFill="background1"/>
            <w:vAlign w:val="bottom"/>
          </w:tcPr>
          <w:p w14:paraId="4028BB52" w14:textId="77777777" w:rsidR="00C177C7" w:rsidRPr="00AB6295" w:rsidRDefault="00C177C7" w:rsidP="00E73206">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c>
          <w:tcPr>
            <w:tcW w:w="1135" w:type="dxa"/>
            <w:tcBorders>
              <w:top w:val="nil"/>
              <w:left w:val="nil"/>
              <w:bottom w:val="nil"/>
              <w:right w:val="double" w:sz="4" w:space="0" w:color="auto"/>
            </w:tcBorders>
            <w:shd w:val="clear" w:color="auto" w:fill="FFFFFF" w:themeFill="background1"/>
            <w:vAlign w:val="bottom"/>
          </w:tcPr>
          <w:p w14:paraId="75A71193" w14:textId="77777777" w:rsidR="00C177C7" w:rsidRPr="00AB6295" w:rsidRDefault="00C177C7" w:rsidP="00E73206">
            <w:pPr>
              <w:pStyle w:val="not31"/>
              <w:keepLines w:val="0"/>
              <w:widowControl w:val="0"/>
              <w:spacing w:before="20" w:after="20" w:line="180" w:lineRule="atLeast"/>
              <w:ind w:right="284"/>
              <w:jc w:val="right"/>
              <w:rPr>
                <w:rFonts w:cs="Arial"/>
                <w:b/>
                <w:color w:val="auto"/>
                <w:sz w:val="18"/>
                <w:szCs w:val="18"/>
                <w:lang w:val="es-MX" w:eastAsia="es-MX"/>
              </w:rPr>
            </w:pPr>
            <w:r w:rsidRPr="00AB6295">
              <w:rPr>
                <w:rFonts w:cs="Arial"/>
                <w:b/>
                <w:color w:val="auto"/>
                <w:sz w:val="18"/>
                <w:szCs w:val="18"/>
                <w:lang w:val="es-MX" w:eastAsia="es-MX"/>
              </w:rPr>
              <w:t>100.0</w:t>
            </w:r>
          </w:p>
        </w:tc>
      </w:tr>
      <w:tr w:rsidR="00C177C7" w14:paraId="7C67D6A1" w14:textId="77777777" w:rsidTr="00E73206">
        <w:trPr>
          <w:jc w:val="center"/>
        </w:trPr>
        <w:tc>
          <w:tcPr>
            <w:tcW w:w="3842" w:type="dxa"/>
            <w:tcBorders>
              <w:top w:val="nil"/>
              <w:left w:val="double" w:sz="4" w:space="0" w:color="auto"/>
              <w:bottom w:val="nil"/>
              <w:right w:val="single" w:sz="4" w:space="0" w:color="auto"/>
            </w:tcBorders>
            <w:vAlign w:val="center"/>
          </w:tcPr>
          <w:p w14:paraId="12083FD1"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821" w:type="dxa"/>
            <w:tcBorders>
              <w:top w:val="nil"/>
              <w:left w:val="single" w:sz="4" w:space="0" w:color="auto"/>
              <w:bottom w:val="nil"/>
              <w:right w:val="nil"/>
            </w:tcBorders>
            <w:vAlign w:val="bottom"/>
          </w:tcPr>
          <w:p w14:paraId="6184FDE7"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46.</w:t>
            </w:r>
            <w:r>
              <w:rPr>
                <w:rFonts w:cs="Arial"/>
                <w:color w:val="auto"/>
                <w:sz w:val="18"/>
                <w:szCs w:val="18"/>
                <w:lang w:val="es-MX" w:eastAsia="es-MX"/>
              </w:rPr>
              <w:t>9</w:t>
            </w:r>
          </w:p>
        </w:tc>
        <w:tc>
          <w:tcPr>
            <w:tcW w:w="851" w:type="dxa"/>
            <w:tcBorders>
              <w:top w:val="nil"/>
              <w:left w:val="nil"/>
              <w:bottom w:val="nil"/>
              <w:right w:val="nil"/>
            </w:tcBorders>
            <w:vAlign w:val="bottom"/>
          </w:tcPr>
          <w:p w14:paraId="460D83F9"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46.4</w:t>
            </w:r>
          </w:p>
        </w:tc>
        <w:tc>
          <w:tcPr>
            <w:tcW w:w="850" w:type="dxa"/>
            <w:tcBorders>
              <w:top w:val="nil"/>
              <w:left w:val="nil"/>
              <w:bottom w:val="nil"/>
              <w:right w:val="nil"/>
            </w:tcBorders>
            <w:shd w:val="clear" w:color="auto" w:fill="FFFFFF" w:themeFill="background1"/>
            <w:vAlign w:val="bottom"/>
          </w:tcPr>
          <w:p w14:paraId="0F8CC75E"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45.4</w:t>
            </w:r>
          </w:p>
        </w:tc>
        <w:tc>
          <w:tcPr>
            <w:tcW w:w="851" w:type="dxa"/>
            <w:tcBorders>
              <w:top w:val="nil"/>
              <w:left w:val="nil"/>
              <w:bottom w:val="nil"/>
              <w:right w:val="nil"/>
            </w:tcBorders>
            <w:shd w:val="clear" w:color="auto" w:fill="FFFFFF" w:themeFill="background1"/>
            <w:vAlign w:val="bottom"/>
          </w:tcPr>
          <w:p w14:paraId="26C927CF"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6.0</w:t>
            </w:r>
          </w:p>
        </w:tc>
        <w:tc>
          <w:tcPr>
            <w:tcW w:w="1135" w:type="dxa"/>
            <w:tcBorders>
              <w:top w:val="nil"/>
              <w:left w:val="nil"/>
              <w:bottom w:val="nil"/>
              <w:right w:val="double" w:sz="4" w:space="0" w:color="auto"/>
            </w:tcBorders>
            <w:shd w:val="clear" w:color="auto" w:fill="FFFFFF" w:themeFill="background1"/>
            <w:vAlign w:val="bottom"/>
          </w:tcPr>
          <w:p w14:paraId="0E08EEB1"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46.2</w:t>
            </w:r>
          </w:p>
        </w:tc>
        <w:tc>
          <w:tcPr>
            <w:tcW w:w="1135" w:type="dxa"/>
            <w:tcBorders>
              <w:top w:val="nil"/>
              <w:left w:val="nil"/>
              <w:bottom w:val="nil"/>
              <w:right w:val="double" w:sz="4" w:space="0" w:color="auto"/>
            </w:tcBorders>
            <w:shd w:val="clear" w:color="auto" w:fill="FFFFFF" w:themeFill="background1"/>
            <w:vAlign w:val="bottom"/>
          </w:tcPr>
          <w:p w14:paraId="07B9C283"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5.4</w:t>
            </w:r>
          </w:p>
        </w:tc>
      </w:tr>
      <w:tr w:rsidR="00C177C7" w14:paraId="72F06E96" w14:textId="77777777" w:rsidTr="00E73206">
        <w:trPr>
          <w:jc w:val="center"/>
        </w:trPr>
        <w:tc>
          <w:tcPr>
            <w:tcW w:w="3842" w:type="dxa"/>
            <w:tcBorders>
              <w:top w:val="nil"/>
              <w:left w:val="double" w:sz="4" w:space="0" w:color="auto"/>
              <w:bottom w:val="nil"/>
              <w:right w:val="single" w:sz="4" w:space="0" w:color="auto"/>
            </w:tcBorders>
            <w:vAlign w:val="center"/>
          </w:tcPr>
          <w:p w14:paraId="36A1E3C9"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Consumo de Gobierno</w:t>
            </w:r>
          </w:p>
        </w:tc>
        <w:tc>
          <w:tcPr>
            <w:tcW w:w="821" w:type="dxa"/>
            <w:tcBorders>
              <w:top w:val="nil"/>
              <w:left w:val="single" w:sz="4" w:space="0" w:color="auto"/>
              <w:bottom w:val="nil"/>
              <w:right w:val="nil"/>
            </w:tcBorders>
            <w:vAlign w:val="bottom"/>
          </w:tcPr>
          <w:p w14:paraId="7BAC7540"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8.</w:t>
            </w:r>
            <w:r>
              <w:rPr>
                <w:rFonts w:cs="Arial"/>
                <w:color w:val="auto"/>
                <w:sz w:val="18"/>
                <w:szCs w:val="18"/>
                <w:lang w:val="es-MX" w:eastAsia="es-MX"/>
              </w:rPr>
              <w:t>9</w:t>
            </w:r>
          </w:p>
        </w:tc>
        <w:tc>
          <w:tcPr>
            <w:tcW w:w="851" w:type="dxa"/>
            <w:tcBorders>
              <w:top w:val="nil"/>
              <w:left w:val="nil"/>
              <w:bottom w:val="nil"/>
              <w:right w:val="nil"/>
            </w:tcBorders>
            <w:vAlign w:val="bottom"/>
          </w:tcPr>
          <w:p w14:paraId="221B1349"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10.7</w:t>
            </w:r>
          </w:p>
        </w:tc>
        <w:tc>
          <w:tcPr>
            <w:tcW w:w="850" w:type="dxa"/>
            <w:tcBorders>
              <w:top w:val="nil"/>
              <w:left w:val="nil"/>
              <w:bottom w:val="nil"/>
              <w:right w:val="nil"/>
            </w:tcBorders>
            <w:shd w:val="clear" w:color="auto" w:fill="FFFFFF" w:themeFill="background1"/>
            <w:vAlign w:val="bottom"/>
          </w:tcPr>
          <w:p w14:paraId="03BF94E4"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9.0</w:t>
            </w:r>
          </w:p>
        </w:tc>
        <w:tc>
          <w:tcPr>
            <w:tcW w:w="851" w:type="dxa"/>
            <w:tcBorders>
              <w:top w:val="nil"/>
              <w:left w:val="nil"/>
              <w:bottom w:val="nil"/>
              <w:right w:val="nil"/>
            </w:tcBorders>
            <w:shd w:val="clear" w:color="auto" w:fill="FFFFFF" w:themeFill="background1"/>
            <w:vAlign w:val="bottom"/>
          </w:tcPr>
          <w:p w14:paraId="67BF993C"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Pr>
                <w:rFonts w:cs="Arial"/>
                <w:color w:val="auto"/>
                <w:sz w:val="18"/>
                <w:szCs w:val="18"/>
                <w:lang w:val="es-MX" w:eastAsia="es-MX"/>
              </w:rPr>
              <w:t>8.8</w:t>
            </w:r>
          </w:p>
        </w:tc>
        <w:tc>
          <w:tcPr>
            <w:tcW w:w="1135" w:type="dxa"/>
            <w:tcBorders>
              <w:top w:val="nil"/>
              <w:left w:val="nil"/>
              <w:bottom w:val="nil"/>
              <w:right w:val="double" w:sz="4" w:space="0" w:color="auto"/>
            </w:tcBorders>
            <w:shd w:val="clear" w:color="auto" w:fill="FFFFFF" w:themeFill="background1"/>
            <w:vAlign w:val="bottom"/>
          </w:tcPr>
          <w:p w14:paraId="3C668BA8"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9.</w:t>
            </w:r>
            <w:r>
              <w:rPr>
                <w:rFonts w:cs="Arial"/>
                <w:color w:val="auto"/>
                <w:sz w:val="18"/>
                <w:szCs w:val="18"/>
                <w:lang w:val="es-MX" w:eastAsia="es-MX"/>
              </w:rPr>
              <w:t>3</w:t>
            </w:r>
          </w:p>
        </w:tc>
        <w:tc>
          <w:tcPr>
            <w:tcW w:w="1135" w:type="dxa"/>
            <w:tcBorders>
              <w:top w:val="nil"/>
              <w:left w:val="nil"/>
              <w:bottom w:val="nil"/>
              <w:right w:val="double" w:sz="4" w:space="0" w:color="auto"/>
            </w:tcBorders>
            <w:shd w:val="clear" w:color="auto" w:fill="FFFFFF" w:themeFill="background1"/>
            <w:vAlign w:val="bottom"/>
          </w:tcPr>
          <w:p w14:paraId="45088559"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8.8</w:t>
            </w:r>
          </w:p>
        </w:tc>
      </w:tr>
      <w:tr w:rsidR="00C177C7" w14:paraId="3CC0038B" w14:textId="77777777" w:rsidTr="00E73206">
        <w:trPr>
          <w:jc w:val="center"/>
        </w:trPr>
        <w:tc>
          <w:tcPr>
            <w:tcW w:w="3842" w:type="dxa"/>
            <w:tcBorders>
              <w:top w:val="nil"/>
              <w:left w:val="double" w:sz="4" w:space="0" w:color="auto"/>
              <w:bottom w:val="nil"/>
              <w:right w:val="single" w:sz="4" w:space="0" w:color="auto"/>
            </w:tcBorders>
            <w:vAlign w:val="center"/>
          </w:tcPr>
          <w:p w14:paraId="0CCF66BC"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821" w:type="dxa"/>
            <w:tcBorders>
              <w:top w:val="nil"/>
              <w:left w:val="single" w:sz="4" w:space="0" w:color="auto"/>
              <w:bottom w:val="nil"/>
              <w:right w:val="nil"/>
            </w:tcBorders>
            <w:vAlign w:val="center"/>
          </w:tcPr>
          <w:p w14:paraId="0BA4DFB1"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14.2</w:t>
            </w:r>
          </w:p>
        </w:tc>
        <w:tc>
          <w:tcPr>
            <w:tcW w:w="851" w:type="dxa"/>
            <w:tcBorders>
              <w:top w:val="nil"/>
              <w:left w:val="nil"/>
              <w:bottom w:val="nil"/>
              <w:right w:val="nil"/>
            </w:tcBorders>
            <w:vAlign w:val="center"/>
          </w:tcPr>
          <w:p w14:paraId="4F262EEA"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12.9</w:t>
            </w:r>
          </w:p>
        </w:tc>
        <w:tc>
          <w:tcPr>
            <w:tcW w:w="850" w:type="dxa"/>
            <w:tcBorders>
              <w:top w:val="nil"/>
              <w:left w:val="nil"/>
              <w:bottom w:val="nil"/>
              <w:right w:val="nil"/>
            </w:tcBorders>
            <w:shd w:val="clear" w:color="auto" w:fill="FFFFFF" w:themeFill="background1"/>
            <w:vAlign w:val="center"/>
          </w:tcPr>
          <w:p w14:paraId="06E2A7E5"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13.8</w:t>
            </w:r>
          </w:p>
        </w:tc>
        <w:tc>
          <w:tcPr>
            <w:tcW w:w="851" w:type="dxa"/>
            <w:tcBorders>
              <w:top w:val="nil"/>
              <w:left w:val="nil"/>
              <w:bottom w:val="nil"/>
              <w:right w:val="nil"/>
            </w:tcBorders>
            <w:shd w:val="clear" w:color="auto" w:fill="FFFFFF" w:themeFill="background1"/>
            <w:vAlign w:val="center"/>
          </w:tcPr>
          <w:p w14:paraId="404FAA59"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4</w:t>
            </w:r>
          </w:p>
        </w:tc>
        <w:tc>
          <w:tcPr>
            <w:tcW w:w="1135" w:type="dxa"/>
            <w:tcBorders>
              <w:top w:val="nil"/>
              <w:left w:val="nil"/>
              <w:bottom w:val="nil"/>
              <w:right w:val="double" w:sz="4" w:space="0" w:color="auto"/>
            </w:tcBorders>
            <w:shd w:val="clear" w:color="auto" w:fill="FFFFFF" w:themeFill="background1"/>
            <w:vAlign w:val="center"/>
          </w:tcPr>
          <w:p w14:paraId="4B46EDFA"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6</w:t>
            </w:r>
          </w:p>
        </w:tc>
        <w:tc>
          <w:tcPr>
            <w:tcW w:w="1135" w:type="dxa"/>
            <w:tcBorders>
              <w:top w:val="nil"/>
              <w:left w:val="nil"/>
              <w:bottom w:val="nil"/>
              <w:right w:val="double" w:sz="4" w:space="0" w:color="auto"/>
            </w:tcBorders>
            <w:shd w:val="clear" w:color="auto" w:fill="FFFFFF" w:themeFill="background1"/>
            <w:vAlign w:val="center"/>
          </w:tcPr>
          <w:p w14:paraId="7B245AE5"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13.</w:t>
            </w:r>
            <w:r>
              <w:rPr>
                <w:rFonts w:cs="Arial"/>
                <w:color w:val="auto"/>
                <w:sz w:val="18"/>
                <w:szCs w:val="18"/>
                <w:lang w:val="es-MX" w:eastAsia="es-MX"/>
              </w:rPr>
              <w:t>9</w:t>
            </w:r>
          </w:p>
        </w:tc>
      </w:tr>
      <w:tr w:rsidR="00C177C7" w14:paraId="0A909777" w14:textId="77777777" w:rsidTr="00E73206">
        <w:trPr>
          <w:jc w:val="center"/>
        </w:trPr>
        <w:tc>
          <w:tcPr>
            <w:tcW w:w="3842" w:type="dxa"/>
            <w:tcBorders>
              <w:top w:val="nil"/>
              <w:left w:val="double" w:sz="4" w:space="0" w:color="auto"/>
              <w:bottom w:val="nil"/>
              <w:right w:val="single" w:sz="4" w:space="0" w:color="auto"/>
            </w:tcBorders>
            <w:vAlign w:val="center"/>
          </w:tcPr>
          <w:p w14:paraId="2D54CB2E"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821" w:type="dxa"/>
            <w:tcBorders>
              <w:top w:val="nil"/>
              <w:left w:val="single" w:sz="4" w:space="0" w:color="auto"/>
              <w:bottom w:val="nil"/>
              <w:right w:val="nil"/>
            </w:tcBorders>
            <w:vAlign w:val="center"/>
          </w:tcPr>
          <w:p w14:paraId="29037BD4"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6</w:t>
            </w:r>
          </w:p>
        </w:tc>
        <w:tc>
          <w:tcPr>
            <w:tcW w:w="851" w:type="dxa"/>
            <w:tcBorders>
              <w:top w:val="nil"/>
              <w:left w:val="nil"/>
              <w:bottom w:val="nil"/>
              <w:right w:val="nil"/>
            </w:tcBorders>
            <w:vAlign w:val="center"/>
          </w:tcPr>
          <w:p w14:paraId="05B23EDF"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850" w:type="dxa"/>
            <w:tcBorders>
              <w:top w:val="nil"/>
              <w:left w:val="nil"/>
              <w:bottom w:val="nil"/>
              <w:right w:val="nil"/>
            </w:tcBorders>
            <w:shd w:val="clear" w:color="auto" w:fill="FFFFFF" w:themeFill="background1"/>
            <w:vAlign w:val="center"/>
          </w:tcPr>
          <w:p w14:paraId="2222B619"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851" w:type="dxa"/>
            <w:tcBorders>
              <w:top w:val="nil"/>
              <w:left w:val="nil"/>
              <w:bottom w:val="nil"/>
              <w:right w:val="nil"/>
            </w:tcBorders>
            <w:shd w:val="clear" w:color="auto" w:fill="FFFFFF" w:themeFill="background1"/>
            <w:vAlign w:val="center"/>
          </w:tcPr>
          <w:p w14:paraId="28B0A2B1"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3</w:t>
            </w:r>
          </w:p>
        </w:tc>
        <w:tc>
          <w:tcPr>
            <w:tcW w:w="1135" w:type="dxa"/>
            <w:tcBorders>
              <w:top w:val="nil"/>
              <w:left w:val="nil"/>
              <w:bottom w:val="nil"/>
              <w:right w:val="double" w:sz="4" w:space="0" w:color="auto"/>
            </w:tcBorders>
            <w:shd w:val="clear" w:color="auto" w:fill="FFFFFF" w:themeFill="background1"/>
            <w:vAlign w:val="center"/>
          </w:tcPr>
          <w:p w14:paraId="1B5E3054"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4</w:t>
            </w:r>
          </w:p>
        </w:tc>
        <w:tc>
          <w:tcPr>
            <w:tcW w:w="1135" w:type="dxa"/>
            <w:tcBorders>
              <w:top w:val="nil"/>
              <w:left w:val="nil"/>
              <w:bottom w:val="nil"/>
              <w:right w:val="double" w:sz="4" w:space="0" w:color="auto"/>
            </w:tcBorders>
            <w:shd w:val="clear" w:color="auto" w:fill="FFFFFF" w:themeFill="background1"/>
            <w:vAlign w:val="center"/>
          </w:tcPr>
          <w:p w14:paraId="0770B9B2"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9</w:t>
            </w:r>
          </w:p>
        </w:tc>
      </w:tr>
      <w:tr w:rsidR="00C177C7" w14:paraId="7803C03A" w14:textId="77777777" w:rsidTr="00E73206">
        <w:trPr>
          <w:jc w:val="center"/>
        </w:trPr>
        <w:tc>
          <w:tcPr>
            <w:tcW w:w="3842" w:type="dxa"/>
            <w:tcBorders>
              <w:top w:val="nil"/>
              <w:left w:val="double" w:sz="4" w:space="0" w:color="auto"/>
              <w:bottom w:val="nil"/>
              <w:right w:val="single" w:sz="4" w:space="0" w:color="auto"/>
            </w:tcBorders>
            <w:vAlign w:val="center"/>
          </w:tcPr>
          <w:p w14:paraId="680F73BD"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821" w:type="dxa"/>
            <w:tcBorders>
              <w:top w:val="nil"/>
              <w:left w:val="single" w:sz="4" w:space="0" w:color="auto"/>
              <w:bottom w:val="nil"/>
              <w:right w:val="nil"/>
            </w:tcBorders>
            <w:vAlign w:val="center"/>
          </w:tcPr>
          <w:p w14:paraId="33D80CC0"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27.7</w:t>
            </w:r>
          </w:p>
        </w:tc>
        <w:tc>
          <w:tcPr>
            <w:tcW w:w="851" w:type="dxa"/>
            <w:tcBorders>
              <w:top w:val="nil"/>
              <w:left w:val="nil"/>
              <w:bottom w:val="nil"/>
              <w:right w:val="nil"/>
            </w:tcBorders>
            <w:vAlign w:val="center"/>
          </w:tcPr>
          <w:p w14:paraId="026DFB98"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sidRPr="00AB6295">
              <w:rPr>
                <w:rFonts w:cs="Arial"/>
                <w:color w:val="auto"/>
                <w:sz w:val="18"/>
                <w:szCs w:val="18"/>
                <w:lang w:val="es-MX" w:eastAsia="es-MX"/>
              </w:rPr>
              <w:t>25.7</w:t>
            </w:r>
          </w:p>
        </w:tc>
        <w:tc>
          <w:tcPr>
            <w:tcW w:w="850" w:type="dxa"/>
            <w:tcBorders>
              <w:top w:val="nil"/>
              <w:left w:val="nil"/>
              <w:bottom w:val="nil"/>
              <w:right w:val="nil"/>
            </w:tcBorders>
            <w:shd w:val="clear" w:color="auto" w:fill="FFFFFF" w:themeFill="background1"/>
            <w:vAlign w:val="center"/>
          </w:tcPr>
          <w:p w14:paraId="5059A187"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31.</w:t>
            </w:r>
            <w:r>
              <w:rPr>
                <w:rFonts w:cs="Arial"/>
                <w:color w:val="auto"/>
                <w:sz w:val="18"/>
                <w:szCs w:val="18"/>
                <w:lang w:val="es-MX" w:eastAsia="es-MX"/>
              </w:rPr>
              <w:t>6</w:t>
            </w:r>
          </w:p>
        </w:tc>
        <w:tc>
          <w:tcPr>
            <w:tcW w:w="851" w:type="dxa"/>
            <w:tcBorders>
              <w:top w:val="nil"/>
              <w:left w:val="nil"/>
              <w:bottom w:val="nil"/>
              <w:right w:val="nil"/>
            </w:tcBorders>
            <w:shd w:val="clear" w:color="auto" w:fill="FFFFFF" w:themeFill="background1"/>
            <w:vAlign w:val="center"/>
          </w:tcPr>
          <w:p w14:paraId="19969170"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0.8</w:t>
            </w:r>
          </w:p>
        </w:tc>
        <w:tc>
          <w:tcPr>
            <w:tcW w:w="1135" w:type="dxa"/>
            <w:tcBorders>
              <w:top w:val="nil"/>
              <w:left w:val="nil"/>
              <w:bottom w:val="nil"/>
              <w:right w:val="double" w:sz="4" w:space="0" w:color="auto"/>
            </w:tcBorders>
            <w:shd w:val="clear" w:color="auto" w:fill="FFFFFF" w:themeFill="background1"/>
            <w:vAlign w:val="center"/>
          </w:tcPr>
          <w:p w14:paraId="4056348D"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9.1</w:t>
            </w:r>
          </w:p>
        </w:tc>
        <w:tc>
          <w:tcPr>
            <w:tcW w:w="1135" w:type="dxa"/>
            <w:tcBorders>
              <w:top w:val="nil"/>
              <w:left w:val="nil"/>
              <w:bottom w:val="nil"/>
              <w:right w:val="double" w:sz="4" w:space="0" w:color="auto"/>
            </w:tcBorders>
            <w:shd w:val="clear" w:color="auto" w:fill="FFFFFF" w:themeFill="background1"/>
            <w:vAlign w:val="center"/>
          </w:tcPr>
          <w:p w14:paraId="462AEE46"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2</w:t>
            </w:r>
            <w:r>
              <w:rPr>
                <w:rFonts w:cs="Arial"/>
                <w:color w:val="auto"/>
                <w:sz w:val="18"/>
                <w:szCs w:val="18"/>
                <w:lang w:val="es-MX" w:eastAsia="es-MX"/>
              </w:rPr>
              <w:t>7.3</w:t>
            </w:r>
          </w:p>
        </w:tc>
      </w:tr>
      <w:tr w:rsidR="00C177C7" w14:paraId="53BB92BC" w14:textId="77777777" w:rsidTr="00E73206">
        <w:trPr>
          <w:jc w:val="center"/>
        </w:trPr>
        <w:tc>
          <w:tcPr>
            <w:tcW w:w="3842" w:type="dxa"/>
            <w:tcBorders>
              <w:top w:val="nil"/>
              <w:left w:val="double" w:sz="4" w:space="0" w:color="auto"/>
              <w:bottom w:val="double" w:sz="4" w:space="0" w:color="auto"/>
              <w:right w:val="single" w:sz="4" w:space="0" w:color="auto"/>
            </w:tcBorders>
            <w:vAlign w:val="center"/>
          </w:tcPr>
          <w:p w14:paraId="42F2783E" w14:textId="77777777" w:rsidR="00C177C7" w:rsidRPr="00AB6295" w:rsidRDefault="00C177C7" w:rsidP="00E73206">
            <w:pPr>
              <w:pStyle w:val="not31"/>
              <w:keepLines w:val="0"/>
              <w:widowControl w:val="0"/>
              <w:spacing w:before="20" w:after="20"/>
              <w:ind w:left="72"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821" w:type="dxa"/>
            <w:tcBorders>
              <w:top w:val="nil"/>
              <w:left w:val="single" w:sz="4" w:space="0" w:color="auto"/>
              <w:bottom w:val="double" w:sz="4" w:space="0" w:color="auto"/>
              <w:right w:val="nil"/>
            </w:tcBorders>
            <w:vAlign w:val="center"/>
          </w:tcPr>
          <w:p w14:paraId="6AFBB012"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Pr>
                <w:rFonts w:cs="Arial"/>
                <w:color w:val="auto"/>
                <w:sz w:val="18"/>
                <w:szCs w:val="18"/>
                <w:lang w:val="es-MX" w:eastAsia="es-MX"/>
              </w:rPr>
              <w:t>1.7</w:t>
            </w:r>
          </w:p>
        </w:tc>
        <w:tc>
          <w:tcPr>
            <w:tcW w:w="851" w:type="dxa"/>
            <w:tcBorders>
              <w:top w:val="nil"/>
              <w:left w:val="nil"/>
              <w:bottom w:val="double" w:sz="4" w:space="0" w:color="auto"/>
              <w:right w:val="nil"/>
            </w:tcBorders>
            <w:vAlign w:val="center"/>
          </w:tcPr>
          <w:p w14:paraId="549EA2AA" w14:textId="77777777" w:rsidR="00C177C7" w:rsidRPr="00AB6295" w:rsidRDefault="00C177C7" w:rsidP="00E73206">
            <w:pPr>
              <w:pStyle w:val="not31"/>
              <w:keepLines w:val="0"/>
              <w:widowControl w:val="0"/>
              <w:spacing w:before="20" w:after="20" w:line="180" w:lineRule="atLeast"/>
              <w:ind w:right="113"/>
              <w:jc w:val="right"/>
              <w:rPr>
                <w:rFonts w:cs="Arial"/>
                <w:color w:val="auto"/>
                <w:sz w:val="18"/>
                <w:szCs w:val="18"/>
                <w:lang w:val="es-MX" w:eastAsia="es-MX"/>
              </w:rPr>
            </w:pPr>
            <w:r>
              <w:rPr>
                <w:rFonts w:cs="Arial"/>
                <w:color w:val="auto"/>
                <w:sz w:val="18"/>
                <w:szCs w:val="18"/>
                <w:lang w:val="es-MX" w:eastAsia="es-MX"/>
              </w:rPr>
              <w:t>3.8</w:t>
            </w:r>
          </w:p>
        </w:tc>
        <w:tc>
          <w:tcPr>
            <w:tcW w:w="850" w:type="dxa"/>
            <w:tcBorders>
              <w:top w:val="nil"/>
              <w:left w:val="nil"/>
              <w:bottom w:val="double" w:sz="4" w:space="0" w:color="auto"/>
              <w:right w:val="nil"/>
            </w:tcBorders>
            <w:shd w:val="clear" w:color="auto" w:fill="FFFFFF" w:themeFill="background1"/>
            <w:vAlign w:val="center"/>
          </w:tcPr>
          <w:p w14:paraId="64D344F9"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Pr>
                <w:rFonts w:cs="Arial"/>
                <w:color w:val="auto"/>
                <w:sz w:val="18"/>
                <w:szCs w:val="18"/>
                <w:lang w:val="es-MX" w:eastAsia="es-MX"/>
              </w:rPr>
              <w:t>(</w:t>
            </w:r>
            <w:proofErr w:type="gramStart"/>
            <w:r>
              <w:rPr>
                <w:rFonts w:cs="Arial"/>
                <w:color w:val="auto"/>
                <w:sz w:val="18"/>
                <w:szCs w:val="18"/>
                <w:lang w:val="es-MX" w:eastAsia="es-MX"/>
              </w:rPr>
              <w:noBreakHyphen/>
              <w:t xml:space="preserve">)   </w:t>
            </w:r>
            <w:proofErr w:type="gramEnd"/>
            <w:r w:rsidRPr="00AB6295">
              <w:rPr>
                <w:rFonts w:cs="Arial"/>
                <w:color w:val="auto"/>
                <w:sz w:val="18"/>
                <w:szCs w:val="18"/>
                <w:lang w:val="es-MX" w:eastAsia="es-MX"/>
              </w:rPr>
              <w:t>0.1</w:t>
            </w:r>
          </w:p>
        </w:tc>
        <w:tc>
          <w:tcPr>
            <w:tcW w:w="851" w:type="dxa"/>
            <w:tcBorders>
              <w:top w:val="nil"/>
              <w:left w:val="nil"/>
              <w:bottom w:val="double" w:sz="4" w:space="0" w:color="auto"/>
              <w:right w:val="nil"/>
            </w:tcBorders>
            <w:shd w:val="clear" w:color="auto" w:fill="FFFFFF" w:themeFill="background1"/>
            <w:vAlign w:val="center"/>
          </w:tcPr>
          <w:p w14:paraId="1809EFE8" w14:textId="77777777" w:rsidR="00C177C7" w:rsidRPr="00AB6295" w:rsidRDefault="00C177C7" w:rsidP="00E73206">
            <w:pPr>
              <w:pStyle w:val="not31"/>
              <w:keepLines w:val="0"/>
              <w:widowControl w:val="0"/>
              <w:spacing w:before="20" w:after="20" w:line="180" w:lineRule="atLeast"/>
              <w:ind w:left="-108" w:right="113"/>
              <w:jc w:val="right"/>
              <w:rPr>
                <w:rFonts w:cs="Arial"/>
                <w:color w:val="auto"/>
                <w:sz w:val="18"/>
                <w:szCs w:val="18"/>
                <w:lang w:val="es-MX" w:eastAsia="es-MX"/>
              </w:rPr>
            </w:pPr>
            <w:r w:rsidRPr="00AB6295">
              <w:rPr>
                <w:rFonts w:cs="Arial"/>
                <w:color w:val="auto"/>
                <w:sz w:val="18"/>
                <w:szCs w:val="18"/>
                <w:lang w:val="es-MX" w:eastAsia="es-MX"/>
              </w:rPr>
              <w:t>0.</w:t>
            </w:r>
            <w:r>
              <w:rPr>
                <w:rFonts w:cs="Arial"/>
                <w:color w:val="auto"/>
                <w:sz w:val="18"/>
                <w:szCs w:val="18"/>
                <w:lang w:val="es-MX" w:eastAsia="es-MX"/>
              </w:rPr>
              <w:t>7</w:t>
            </w:r>
          </w:p>
        </w:tc>
        <w:tc>
          <w:tcPr>
            <w:tcW w:w="1135" w:type="dxa"/>
            <w:tcBorders>
              <w:top w:val="nil"/>
              <w:left w:val="nil"/>
              <w:bottom w:val="double" w:sz="4" w:space="0" w:color="auto"/>
              <w:right w:val="double" w:sz="4" w:space="0" w:color="auto"/>
            </w:tcBorders>
            <w:shd w:val="clear" w:color="auto" w:fill="FFFFFF" w:themeFill="background1"/>
            <w:vAlign w:val="center"/>
          </w:tcPr>
          <w:p w14:paraId="50455CE4"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sidRPr="00AB6295">
              <w:rPr>
                <w:rFonts w:cs="Arial"/>
                <w:color w:val="auto"/>
                <w:sz w:val="18"/>
                <w:szCs w:val="18"/>
                <w:lang w:val="es-MX" w:eastAsia="es-MX"/>
              </w:rPr>
              <w:t>1.</w:t>
            </w:r>
            <w:r>
              <w:rPr>
                <w:rFonts w:cs="Arial"/>
                <w:color w:val="auto"/>
                <w:sz w:val="18"/>
                <w:szCs w:val="18"/>
                <w:lang w:val="es-MX" w:eastAsia="es-MX"/>
              </w:rPr>
              <w:t>4</w:t>
            </w:r>
          </w:p>
        </w:tc>
        <w:tc>
          <w:tcPr>
            <w:tcW w:w="1135" w:type="dxa"/>
            <w:tcBorders>
              <w:top w:val="nil"/>
              <w:left w:val="nil"/>
              <w:bottom w:val="double" w:sz="4" w:space="0" w:color="auto"/>
              <w:right w:val="double" w:sz="4" w:space="0" w:color="auto"/>
            </w:tcBorders>
            <w:shd w:val="clear" w:color="auto" w:fill="FFFFFF" w:themeFill="background1"/>
            <w:vAlign w:val="center"/>
          </w:tcPr>
          <w:p w14:paraId="100966DB" w14:textId="77777777" w:rsidR="00C177C7" w:rsidRPr="00AB6295" w:rsidRDefault="00C177C7" w:rsidP="00E73206">
            <w:pPr>
              <w:pStyle w:val="not31"/>
              <w:keepLines w:val="0"/>
              <w:widowControl w:val="0"/>
              <w:spacing w:before="20" w:after="20" w:line="180" w:lineRule="atLeast"/>
              <w:ind w:right="284"/>
              <w:jc w:val="right"/>
              <w:rPr>
                <w:rFonts w:cs="Arial"/>
                <w:color w:val="auto"/>
                <w:sz w:val="18"/>
                <w:szCs w:val="18"/>
                <w:lang w:val="es-MX" w:eastAsia="es-MX"/>
              </w:rPr>
            </w:pPr>
            <w:r>
              <w:rPr>
                <w:rFonts w:cs="Arial"/>
                <w:color w:val="auto"/>
                <w:sz w:val="18"/>
                <w:szCs w:val="18"/>
                <w:lang w:val="es-MX" w:eastAsia="es-MX"/>
              </w:rPr>
              <w:t>3.7</w:t>
            </w:r>
          </w:p>
        </w:tc>
      </w:tr>
    </w:tbl>
    <w:p w14:paraId="5DF91275" w14:textId="77777777" w:rsidR="00C177C7" w:rsidRPr="00CF678A" w:rsidRDefault="00C177C7" w:rsidP="00100026">
      <w:pPr>
        <w:pStyle w:val="not31"/>
        <w:keepLines w:val="0"/>
        <w:widowControl w:val="0"/>
        <w:spacing w:before="0"/>
        <w:ind w:left="-284" w:right="0"/>
        <w:rPr>
          <w:rFonts w:cs="Arial"/>
          <w:color w:val="auto"/>
          <w:sz w:val="16"/>
          <w:szCs w:val="16"/>
          <w:lang w:val="es-MX" w:eastAsia="es-MX"/>
        </w:rPr>
      </w:pPr>
      <w:r w:rsidRPr="00CF678A">
        <w:rPr>
          <w:rFonts w:cs="Arial"/>
          <w:color w:val="auto"/>
          <w:sz w:val="16"/>
          <w:szCs w:val="16"/>
          <w:lang w:val="es-MX" w:eastAsia="es-MX"/>
        </w:rPr>
        <w:t>Nota: La sumatoria de los porcentajes puede no coincidir con el total por el redondeo de las cifras.</w:t>
      </w:r>
    </w:p>
    <w:p w14:paraId="12EFE1F8" w14:textId="388CBF90" w:rsidR="00C177C7" w:rsidRDefault="00C177C7" w:rsidP="00100026">
      <w:pPr>
        <w:pStyle w:val="not31"/>
        <w:keepLines w:val="0"/>
        <w:widowControl w:val="0"/>
        <w:spacing w:before="0"/>
        <w:ind w:left="-284" w:right="0"/>
        <w:rPr>
          <w:rFonts w:cs="Arial"/>
          <w:color w:val="auto"/>
          <w:sz w:val="16"/>
          <w:szCs w:val="16"/>
          <w:lang w:val="es-MX" w:eastAsia="es-MX"/>
        </w:rPr>
      </w:pPr>
      <w:r w:rsidRPr="00D03231">
        <w:rPr>
          <w:rFonts w:cs="Arial"/>
          <w:color w:val="auto"/>
          <w:sz w:val="18"/>
          <w:szCs w:val="18"/>
          <w:vertAlign w:val="superscript"/>
          <w:lang w:val="es-MX" w:eastAsia="es-MX"/>
        </w:rPr>
        <w:t xml:space="preserve">R/ </w:t>
      </w:r>
      <w:r w:rsidRPr="00CF678A">
        <w:rPr>
          <w:rFonts w:cs="Arial"/>
          <w:color w:val="auto"/>
          <w:sz w:val="16"/>
          <w:szCs w:val="16"/>
          <w:lang w:val="es-MX" w:eastAsia="es-MX"/>
        </w:rPr>
        <w:t>Cifras revisadas.</w:t>
      </w:r>
    </w:p>
    <w:p w14:paraId="622BA553" w14:textId="77777777" w:rsidR="00DA3BDB" w:rsidRPr="00D03231" w:rsidRDefault="00DA3BDB" w:rsidP="00100026">
      <w:pPr>
        <w:pStyle w:val="not31"/>
        <w:keepLines w:val="0"/>
        <w:widowControl w:val="0"/>
        <w:spacing w:before="0"/>
        <w:ind w:left="-284" w:right="0"/>
        <w:rPr>
          <w:rFonts w:cs="Arial"/>
          <w:color w:val="auto"/>
          <w:sz w:val="18"/>
          <w:szCs w:val="18"/>
          <w:vertAlign w:val="superscript"/>
          <w:lang w:val="es-MX" w:eastAsia="es-MX"/>
        </w:rPr>
      </w:pPr>
      <w:r w:rsidRPr="00D03231">
        <w:rPr>
          <w:rFonts w:cs="Arial"/>
          <w:color w:val="auto"/>
          <w:sz w:val="18"/>
          <w:szCs w:val="18"/>
          <w:vertAlign w:val="superscript"/>
          <w:lang w:val="es-MX" w:eastAsia="es-MX"/>
        </w:rPr>
        <w:t>P/</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65E8BCD6" w14:textId="77777777" w:rsidR="000A532D" w:rsidRPr="004A49E1" w:rsidRDefault="000A532D" w:rsidP="00100026">
      <w:pPr>
        <w:pStyle w:val="p1"/>
        <w:keepLines w:val="0"/>
        <w:spacing w:before="0"/>
        <w:ind w:left="-284"/>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1AC5FC78" w14:textId="77777777" w:rsidR="000A532D" w:rsidRPr="00D03231" w:rsidRDefault="000A532D" w:rsidP="00C177C7">
      <w:pPr>
        <w:pStyle w:val="not31"/>
        <w:keepLines w:val="0"/>
        <w:widowControl w:val="0"/>
        <w:spacing w:before="0"/>
        <w:ind w:left="142" w:right="0"/>
        <w:rPr>
          <w:rFonts w:cs="Arial"/>
          <w:color w:val="auto"/>
          <w:sz w:val="18"/>
          <w:szCs w:val="18"/>
          <w:lang w:val="es-MX" w:eastAsia="es-MX"/>
        </w:rPr>
      </w:pPr>
    </w:p>
    <w:p w14:paraId="17BC9A93" w14:textId="77777777" w:rsidR="00C177C7" w:rsidRDefault="00C177C7" w:rsidP="00C177C7">
      <w:pPr>
        <w:spacing w:before="20"/>
        <w:ind w:left="28" w:hanging="28"/>
        <w:rPr>
          <w:rFonts w:ascii="Arial" w:hAnsi="Arial" w:cs="Arial"/>
          <w:sz w:val="16"/>
          <w:szCs w:val="16"/>
        </w:rPr>
      </w:pPr>
    </w:p>
    <w:p w14:paraId="63F5B381" w14:textId="77777777" w:rsidR="00C177C7" w:rsidRDefault="00C177C7" w:rsidP="00C177C7">
      <w:pPr>
        <w:pStyle w:val="Textoindependiente"/>
        <w:spacing w:before="60" w:line="240" w:lineRule="exact"/>
        <w:rPr>
          <w:rFonts w:cs="Arial"/>
          <w:szCs w:val="24"/>
        </w:rPr>
      </w:pPr>
    </w:p>
    <w:p w14:paraId="736AFA74" w14:textId="77777777" w:rsidR="00DA3BDB" w:rsidRDefault="00DA3BDB" w:rsidP="00C177C7">
      <w:pPr>
        <w:pStyle w:val="Textoindependiente"/>
        <w:spacing w:before="0"/>
        <w:rPr>
          <w:rFonts w:cs="Arial"/>
          <w:szCs w:val="24"/>
        </w:rPr>
      </w:pPr>
    </w:p>
    <w:p w14:paraId="3900A8B7" w14:textId="77777777" w:rsidR="00F35110" w:rsidRDefault="00F35110" w:rsidP="00C177C7">
      <w:pPr>
        <w:pStyle w:val="Textoindependiente"/>
        <w:spacing w:before="0"/>
        <w:rPr>
          <w:rFonts w:cs="Arial"/>
          <w:szCs w:val="24"/>
        </w:rPr>
      </w:pPr>
    </w:p>
    <w:p w14:paraId="63F45073" w14:textId="69B0A6EC" w:rsidR="00C177C7" w:rsidRPr="00DB78BA" w:rsidRDefault="00C177C7" w:rsidP="00C177C7">
      <w:pPr>
        <w:pStyle w:val="Textoindependiente"/>
        <w:spacing w:before="0"/>
        <w:rPr>
          <w:rFonts w:cs="Arial"/>
          <w:szCs w:val="24"/>
        </w:rPr>
      </w:pPr>
      <w:r w:rsidRPr="00DB78BA">
        <w:rPr>
          <w:rFonts w:cs="Arial"/>
          <w:szCs w:val="24"/>
        </w:rPr>
        <w:t>En el cuadro siguiente se muestra el comportamiento de los precios implícitos de los componentes de la Oferta y Demanda Global de Bienes y Servicios.</w:t>
      </w:r>
    </w:p>
    <w:p w14:paraId="2EBF3DE5" w14:textId="77777777" w:rsidR="00C177C7" w:rsidRPr="0057720D" w:rsidRDefault="00C177C7" w:rsidP="00C177C7">
      <w:pPr>
        <w:widowControl/>
        <w:spacing w:before="240"/>
        <w:jc w:val="center"/>
        <w:rPr>
          <w:rFonts w:ascii="Arial" w:hAnsi="Arial" w:cs="Arial"/>
          <w:szCs w:val="22"/>
        </w:rPr>
      </w:pPr>
      <w:r>
        <w:rPr>
          <w:rFonts w:ascii="Arial" w:hAnsi="Arial" w:cs="Arial"/>
          <w:szCs w:val="22"/>
        </w:rPr>
        <w:t>Cuadro 5</w:t>
      </w:r>
    </w:p>
    <w:p w14:paraId="79B6462A" w14:textId="433CC48E" w:rsidR="00C177C7" w:rsidRPr="00AB6295" w:rsidRDefault="00C177C7" w:rsidP="00C177C7">
      <w:pPr>
        <w:spacing w:line="240" w:lineRule="atLeast"/>
        <w:ind w:left="-142"/>
        <w:jc w:val="center"/>
        <w:rPr>
          <w:rFonts w:ascii="Arial" w:hAnsi="Arial" w:cs="Arial"/>
          <w:b/>
          <w:smallCaps/>
          <w:sz w:val="22"/>
          <w:szCs w:val="22"/>
          <w:lang w:eastAsia="es-MX"/>
        </w:rPr>
      </w:pPr>
      <w:r w:rsidRPr="00AB6295">
        <w:rPr>
          <w:rFonts w:ascii="Arial" w:hAnsi="Arial" w:cs="Arial"/>
          <w:b/>
          <w:smallCaps/>
          <w:sz w:val="22"/>
          <w:szCs w:val="22"/>
          <w:lang w:eastAsia="es-MX"/>
        </w:rPr>
        <w:t>Precios Implícitos de la Oferta y Demanda Global</w:t>
      </w:r>
      <w:r w:rsidR="00DA3BDB">
        <w:rPr>
          <w:rFonts w:ascii="Arial" w:hAnsi="Arial" w:cs="Arial"/>
          <w:b/>
          <w:smallCaps/>
          <w:sz w:val="22"/>
          <w:szCs w:val="22"/>
          <w:lang w:eastAsia="es-MX"/>
        </w:rPr>
        <w:t xml:space="preserve"> por componentes </w:t>
      </w:r>
    </w:p>
    <w:p w14:paraId="60AEC080" w14:textId="77777777" w:rsidR="00C177C7" w:rsidRDefault="00C177C7" w:rsidP="00C177C7">
      <w:pPr>
        <w:pStyle w:val="p0"/>
        <w:keepNext/>
        <w:widowControl/>
        <w:spacing w:before="0" w:line="240" w:lineRule="atLeast"/>
        <w:ind w:left="-142"/>
        <w:jc w:val="center"/>
        <w:rPr>
          <w:rFonts w:asciiTheme="minorHAnsi" w:hAnsiTheme="minorHAnsi" w:cstheme="minorHAnsi"/>
          <w:b/>
          <w:smallCaps/>
          <w:snapToGrid/>
          <w:color w:val="auto"/>
          <w:sz w:val="18"/>
          <w:szCs w:val="18"/>
          <w:lang w:eastAsia="es-MX"/>
        </w:rPr>
      </w:pPr>
      <w:r w:rsidRPr="00AB6295">
        <w:rPr>
          <w:rFonts w:cs="Arial"/>
          <w:b/>
          <w:smallCaps/>
          <w:snapToGrid/>
          <w:color w:val="auto"/>
          <w:sz w:val="22"/>
          <w:szCs w:val="22"/>
          <w:lang w:eastAsia="es-MX"/>
        </w:rPr>
        <w:t xml:space="preserve">de Bienes y Servicios al </w:t>
      </w:r>
      <w:r>
        <w:rPr>
          <w:rFonts w:cs="Arial"/>
          <w:b/>
          <w:smallCaps/>
          <w:snapToGrid/>
          <w:color w:val="auto"/>
          <w:sz w:val="22"/>
          <w:szCs w:val="22"/>
          <w:lang w:eastAsia="es-MX"/>
        </w:rPr>
        <w:t>primer</w:t>
      </w:r>
      <w:r w:rsidRPr="00AB6295">
        <w:rPr>
          <w:rFonts w:cs="Arial"/>
          <w:b/>
          <w:smallCaps/>
          <w:snapToGrid/>
          <w:color w:val="auto"/>
          <w:sz w:val="22"/>
          <w:szCs w:val="22"/>
          <w:lang w:eastAsia="es-MX"/>
        </w:rPr>
        <w:t xml:space="preserve"> trimestre de 202</w:t>
      </w:r>
      <w:r>
        <w:rPr>
          <w:rFonts w:cs="Arial"/>
          <w:b/>
          <w:smallCaps/>
          <w:snapToGrid/>
          <w:color w:val="auto"/>
          <w:sz w:val="22"/>
          <w:szCs w:val="22"/>
          <w:lang w:eastAsia="es-MX"/>
        </w:rPr>
        <w:t>1</w:t>
      </w:r>
    </w:p>
    <w:p w14:paraId="2B1BE975" w14:textId="77777777" w:rsidR="00C177C7" w:rsidRPr="00100026" w:rsidRDefault="00C177C7" w:rsidP="00C177C7">
      <w:pPr>
        <w:pStyle w:val="Textoindependiente"/>
        <w:keepNext/>
        <w:keepLines/>
        <w:spacing w:before="0" w:line="240" w:lineRule="atLeast"/>
        <w:ind w:left="-142"/>
        <w:jc w:val="center"/>
        <w:rPr>
          <w:rFonts w:cs="Arial"/>
          <w:sz w:val="16"/>
          <w:szCs w:val="16"/>
          <w:vertAlign w:val="superscript"/>
        </w:rPr>
      </w:pPr>
      <w:r w:rsidRPr="00100026">
        <w:rPr>
          <w:rFonts w:cs="Arial"/>
          <w:sz w:val="18"/>
        </w:rPr>
        <w:t>(Variación porcentual respecto al mismo periodo del año anterior)</w:t>
      </w:r>
      <w:r w:rsidRPr="00100026">
        <w:rPr>
          <w:rFonts w:cs="Arial"/>
          <w:sz w:val="16"/>
          <w:szCs w:val="16"/>
          <w:vertAlign w:val="superscript"/>
        </w:rPr>
        <w:t xml:space="preserve"> </w:t>
      </w:r>
    </w:p>
    <w:tbl>
      <w:tblPr>
        <w:tblStyle w:val="Tablaconcuadrcula"/>
        <w:tblW w:w="8632" w:type="dxa"/>
        <w:jc w:val="center"/>
        <w:tblLayout w:type="fixed"/>
        <w:tblLook w:val="04A0" w:firstRow="1" w:lastRow="0" w:firstColumn="1" w:lastColumn="0" w:noHBand="0" w:noVBand="1"/>
      </w:tblPr>
      <w:tblGrid>
        <w:gridCol w:w="3702"/>
        <w:gridCol w:w="819"/>
        <w:gridCol w:w="725"/>
        <w:gridCol w:w="709"/>
        <w:gridCol w:w="693"/>
        <w:gridCol w:w="992"/>
        <w:gridCol w:w="992"/>
      </w:tblGrid>
      <w:tr w:rsidR="00C177C7" w:rsidRPr="00AB6295" w14:paraId="4FB1B7D2" w14:textId="77777777" w:rsidTr="00E73206">
        <w:trPr>
          <w:jc w:val="center"/>
        </w:trPr>
        <w:tc>
          <w:tcPr>
            <w:tcW w:w="3702"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68D80A1D" w14:textId="77777777" w:rsidR="00C177C7" w:rsidRPr="00AB6295" w:rsidRDefault="00C177C7" w:rsidP="00E73206">
            <w:pPr>
              <w:pStyle w:val="not31"/>
              <w:widowControl w:val="0"/>
              <w:spacing w:before="20" w:after="20" w:line="180" w:lineRule="atLeast"/>
              <w:ind w:left="48" w:right="0"/>
              <w:jc w:val="center"/>
              <w:rPr>
                <w:rFonts w:cs="Arial"/>
                <w:b/>
                <w:color w:val="auto"/>
                <w:sz w:val="18"/>
                <w:szCs w:val="18"/>
                <w:lang w:val="es-MX" w:eastAsia="es-MX"/>
              </w:rPr>
            </w:pPr>
            <w:r w:rsidRPr="00AB6295">
              <w:rPr>
                <w:rFonts w:cs="Arial"/>
                <w:b/>
                <w:color w:val="auto"/>
                <w:sz w:val="18"/>
                <w:szCs w:val="18"/>
                <w:lang w:val="es-MX" w:eastAsia="es-MX"/>
              </w:rPr>
              <w:t>Concepto</w:t>
            </w:r>
          </w:p>
        </w:tc>
        <w:tc>
          <w:tcPr>
            <w:tcW w:w="3938" w:type="dxa"/>
            <w:gridSpan w:val="5"/>
            <w:tcBorders>
              <w:top w:val="double" w:sz="4" w:space="0" w:color="auto"/>
              <w:left w:val="single" w:sz="4" w:space="0" w:color="auto"/>
              <w:right w:val="double" w:sz="4" w:space="0" w:color="auto"/>
            </w:tcBorders>
            <w:shd w:val="clear" w:color="auto" w:fill="C2D69B" w:themeFill="accent3" w:themeFillTint="99"/>
            <w:vAlign w:val="center"/>
          </w:tcPr>
          <w:p w14:paraId="4308E7DB" w14:textId="150CCB24" w:rsidR="00C177C7" w:rsidRPr="00AB6295" w:rsidRDefault="00C177C7" w:rsidP="00E73206">
            <w:pPr>
              <w:pStyle w:val="not31"/>
              <w:keepLines w:val="0"/>
              <w:widowControl w:val="0"/>
              <w:spacing w:before="6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2020</w:t>
            </w:r>
            <w:r w:rsidRPr="00AB6295">
              <w:rPr>
                <w:rFonts w:cs="Arial"/>
                <w:b/>
                <w:color w:val="auto"/>
                <w:sz w:val="18"/>
                <w:szCs w:val="18"/>
                <w:vertAlign w:val="superscript"/>
                <w:lang w:val="es-MX" w:eastAsia="es-MX"/>
              </w:rPr>
              <w:t>R/</w:t>
            </w:r>
          </w:p>
        </w:tc>
        <w:tc>
          <w:tcPr>
            <w:tcW w:w="992" w:type="dxa"/>
            <w:tcBorders>
              <w:top w:val="double" w:sz="4" w:space="0" w:color="auto"/>
              <w:left w:val="single" w:sz="4" w:space="0" w:color="auto"/>
              <w:right w:val="double" w:sz="4" w:space="0" w:color="auto"/>
            </w:tcBorders>
            <w:shd w:val="clear" w:color="auto" w:fill="C2D69B" w:themeFill="accent3" w:themeFillTint="99"/>
          </w:tcPr>
          <w:p w14:paraId="47B396EC" w14:textId="77777777" w:rsidR="00C177C7" w:rsidRPr="00AB6295" w:rsidRDefault="00C177C7" w:rsidP="00E73206">
            <w:pPr>
              <w:pStyle w:val="not31"/>
              <w:keepLines w:val="0"/>
              <w:widowControl w:val="0"/>
              <w:spacing w:before="60" w:after="20" w:line="180" w:lineRule="atLeast"/>
              <w:ind w:right="0"/>
              <w:jc w:val="center"/>
              <w:rPr>
                <w:rFonts w:cs="Arial"/>
                <w:b/>
                <w:color w:val="auto"/>
                <w:sz w:val="18"/>
                <w:szCs w:val="18"/>
                <w:lang w:val="es-MX" w:eastAsia="es-MX"/>
              </w:rPr>
            </w:pPr>
            <w:r>
              <w:rPr>
                <w:rFonts w:cs="Arial"/>
                <w:b/>
                <w:color w:val="auto"/>
                <w:sz w:val="18"/>
                <w:szCs w:val="18"/>
                <w:lang w:val="es-MX" w:eastAsia="es-MX"/>
              </w:rPr>
              <w:t>2021</w:t>
            </w:r>
            <w:r w:rsidRPr="002F7463">
              <w:rPr>
                <w:rFonts w:cs="Arial"/>
                <w:b/>
                <w:color w:val="auto"/>
                <w:sz w:val="18"/>
                <w:szCs w:val="18"/>
                <w:vertAlign w:val="superscript"/>
                <w:lang w:val="es-MX" w:eastAsia="es-MX"/>
              </w:rPr>
              <w:t>P/</w:t>
            </w:r>
          </w:p>
        </w:tc>
      </w:tr>
      <w:tr w:rsidR="00C177C7" w:rsidRPr="00AB6295" w14:paraId="4D65432E" w14:textId="77777777" w:rsidTr="00E73206">
        <w:trPr>
          <w:jc w:val="center"/>
        </w:trPr>
        <w:tc>
          <w:tcPr>
            <w:tcW w:w="370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6FE5D631" w14:textId="77777777" w:rsidR="00C177C7" w:rsidRPr="00AB6295" w:rsidRDefault="00C177C7" w:rsidP="00E73206">
            <w:pPr>
              <w:pStyle w:val="not31"/>
              <w:widowControl w:val="0"/>
              <w:spacing w:before="20" w:after="20" w:line="180" w:lineRule="atLeast"/>
              <w:ind w:left="48" w:right="0"/>
              <w:rPr>
                <w:rFonts w:cs="Arial"/>
                <w:b/>
                <w:color w:val="auto"/>
                <w:sz w:val="18"/>
                <w:szCs w:val="18"/>
                <w:lang w:val="es-MX" w:eastAsia="es-MX"/>
              </w:rPr>
            </w:pPr>
          </w:p>
        </w:tc>
        <w:tc>
          <w:tcPr>
            <w:tcW w:w="2946" w:type="dxa"/>
            <w:gridSpan w:val="4"/>
            <w:tcBorders>
              <w:left w:val="single" w:sz="4" w:space="0" w:color="auto"/>
              <w:right w:val="single" w:sz="4" w:space="0" w:color="auto"/>
            </w:tcBorders>
            <w:shd w:val="clear" w:color="auto" w:fill="C2D69B" w:themeFill="accent3" w:themeFillTint="99"/>
            <w:vAlign w:val="center"/>
          </w:tcPr>
          <w:p w14:paraId="5F570D03" w14:textId="77777777" w:rsidR="00C177C7" w:rsidRPr="00AB6295" w:rsidRDefault="00C177C7" w:rsidP="00E73206">
            <w:pPr>
              <w:pStyle w:val="not31"/>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Trimestre</w:t>
            </w:r>
          </w:p>
        </w:tc>
        <w:tc>
          <w:tcPr>
            <w:tcW w:w="992" w:type="dxa"/>
            <w:vMerge w:val="restart"/>
            <w:tcBorders>
              <w:left w:val="single" w:sz="4" w:space="0" w:color="auto"/>
              <w:right w:val="double" w:sz="4" w:space="0" w:color="auto"/>
            </w:tcBorders>
            <w:shd w:val="clear" w:color="auto" w:fill="C2D69B" w:themeFill="accent3" w:themeFillTint="99"/>
            <w:vAlign w:val="center"/>
          </w:tcPr>
          <w:p w14:paraId="299B05A1" w14:textId="77777777" w:rsidR="00C177C7" w:rsidRPr="00AB6295" w:rsidRDefault="00C177C7" w:rsidP="00E73206">
            <w:pPr>
              <w:pStyle w:val="not31"/>
              <w:widowControl w:val="0"/>
              <w:spacing w:before="20" w:after="20" w:line="180" w:lineRule="atLeast"/>
              <w:ind w:left="-66" w:right="0"/>
              <w:jc w:val="center"/>
              <w:rPr>
                <w:rFonts w:cs="Arial"/>
                <w:b/>
                <w:color w:val="auto"/>
                <w:sz w:val="18"/>
                <w:szCs w:val="18"/>
                <w:lang w:val="es-MX" w:eastAsia="es-MX"/>
              </w:rPr>
            </w:pPr>
            <w:r>
              <w:rPr>
                <w:rFonts w:cs="Arial"/>
                <w:b/>
                <w:color w:val="auto"/>
                <w:sz w:val="18"/>
                <w:szCs w:val="18"/>
                <w:lang w:val="es-MX" w:eastAsia="es-MX"/>
              </w:rPr>
              <w:t>Anual</w:t>
            </w:r>
          </w:p>
        </w:tc>
        <w:tc>
          <w:tcPr>
            <w:tcW w:w="992" w:type="dxa"/>
            <w:tcBorders>
              <w:left w:val="single" w:sz="4" w:space="0" w:color="auto"/>
              <w:right w:val="double" w:sz="4" w:space="0" w:color="auto"/>
            </w:tcBorders>
            <w:shd w:val="clear" w:color="auto" w:fill="C2D69B" w:themeFill="accent3" w:themeFillTint="99"/>
          </w:tcPr>
          <w:p w14:paraId="3B33CDA7" w14:textId="77777777" w:rsidR="00C177C7" w:rsidRDefault="00C177C7" w:rsidP="00E73206">
            <w:pPr>
              <w:pStyle w:val="not31"/>
              <w:widowControl w:val="0"/>
              <w:spacing w:before="20" w:after="20" w:line="180" w:lineRule="atLeast"/>
              <w:ind w:left="-66" w:right="0"/>
              <w:jc w:val="center"/>
              <w:rPr>
                <w:rFonts w:cs="Arial"/>
                <w:b/>
                <w:color w:val="auto"/>
                <w:sz w:val="18"/>
                <w:szCs w:val="18"/>
                <w:lang w:val="es-MX" w:eastAsia="es-MX"/>
              </w:rPr>
            </w:pPr>
            <w:r w:rsidRPr="00AB6295">
              <w:rPr>
                <w:rFonts w:cs="Arial"/>
                <w:b/>
                <w:color w:val="auto"/>
                <w:sz w:val="18"/>
                <w:szCs w:val="18"/>
                <w:lang w:val="es-MX" w:eastAsia="es-MX"/>
              </w:rPr>
              <w:t>Trimestre</w:t>
            </w:r>
          </w:p>
        </w:tc>
      </w:tr>
      <w:tr w:rsidR="00C177C7" w:rsidRPr="00AB6295" w14:paraId="2015649D" w14:textId="77777777" w:rsidTr="00E73206">
        <w:trPr>
          <w:jc w:val="center"/>
        </w:trPr>
        <w:tc>
          <w:tcPr>
            <w:tcW w:w="3702" w:type="dxa"/>
            <w:vMerge/>
            <w:tcBorders>
              <w:top w:val="double" w:sz="4" w:space="0" w:color="auto"/>
              <w:left w:val="double" w:sz="4" w:space="0" w:color="auto"/>
              <w:bottom w:val="double" w:sz="4" w:space="0" w:color="auto"/>
              <w:right w:val="single" w:sz="4" w:space="0" w:color="auto"/>
            </w:tcBorders>
            <w:shd w:val="clear" w:color="auto" w:fill="C2D69B" w:themeFill="accent3" w:themeFillTint="99"/>
          </w:tcPr>
          <w:p w14:paraId="40CF0870" w14:textId="77777777" w:rsidR="00C177C7" w:rsidRPr="00AB6295" w:rsidRDefault="00C177C7" w:rsidP="00E73206">
            <w:pPr>
              <w:pStyle w:val="not31"/>
              <w:keepLines w:val="0"/>
              <w:widowControl w:val="0"/>
              <w:spacing w:before="80" w:line="180" w:lineRule="atLeast"/>
              <w:ind w:left="48" w:right="0"/>
              <w:rPr>
                <w:rFonts w:cs="Arial"/>
                <w:color w:val="auto"/>
                <w:sz w:val="18"/>
                <w:szCs w:val="18"/>
                <w:lang w:val="es-MX" w:eastAsia="es-MX"/>
              </w:rPr>
            </w:pPr>
          </w:p>
        </w:tc>
        <w:tc>
          <w:tcPr>
            <w:tcW w:w="819" w:type="dxa"/>
            <w:tcBorders>
              <w:left w:val="single" w:sz="4" w:space="0" w:color="auto"/>
              <w:bottom w:val="double" w:sz="4" w:space="0" w:color="auto"/>
              <w:right w:val="single" w:sz="4" w:space="0" w:color="auto"/>
            </w:tcBorders>
            <w:shd w:val="clear" w:color="auto" w:fill="C2D69B" w:themeFill="accent3" w:themeFillTint="99"/>
            <w:vAlign w:val="center"/>
          </w:tcPr>
          <w:p w14:paraId="61838A86"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w:t>
            </w:r>
          </w:p>
        </w:tc>
        <w:tc>
          <w:tcPr>
            <w:tcW w:w="725" w:type="dxa"/>
            <w:tcBorders>
              <w:left w:val="single" w:sz="4" w:space="0" w:color="auto"/>
              <w:bottom w:val="double" w:sz="4" w:space="0" w:color="auto"/>
              <w:right w:val="single" w:sz="4" w:space="0" w:color="auto"/>
            </w:tcBorders>
            <w:shd w:val="clear" w:color="auto" w:fill="C2D69B" w:themeFill="accent3" w:themeFillTint="99"/>
            <w:vAlign w:val="center"/>
          </w:tcPr>
          <w:p w14:paraId="0E662EB8"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w:t>
            </w:r>
          </w:p>
        </w:tc>
        <w:tc>
          <w:tcPr>
            <w:tcW w:w="709" w:type="dxa"/>
            <w:tcBorders>
              <w:left w:val="single" w:sz="4" w:space="0" w:color="auto"/>
              <w:bottom w:val="double" w:sz="4" w:space="0" w:color="auto"/>
              <w:right w:val="single" w:sz="4" w:space="0" w:color="auto"/>
            </w:tcBorders>
            <w:shd w:val="clear" w:color="auto" w:fill="C2D69B" w:themeFill="accent3" w:themeFillTint="99"/>
          </w:tcPr>
          <w:p w14:paraId="011AFBE0"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sidRPr="00AB6295">
              <w:rPr>
                <w:rFonts w:cs="Arial"/>
                <w:b/>
                <w:color w:val="auto"/>
                <w:sz w:val="18"/>
                <w:szCs w:val="18"/>
                <w:lang w:val="es-MX" w:eastAsia="es-MX"/>
              </w:rPr>
              <w:t>III</w:t>
            </w:r>
          </w:p>
        </w:tc>
        <w:tc>
          <w:tcPr>
            <w:tcW w:w="693" w:type="dxa"/>
            <w:tcBorders>
              <w:left w:val="single" w:sz="4" w:space="0" w:color="auto"/>
              <w:bottom w:val="double" w:sz="4" w:space="0" w:color="auto"/>
              <w:right w:val="single" w:sz="4" w:space="0" w:color="auto"/>
            </w:tcBorders>
            <w:shd w:val="clear" w:color="auto" w:fill="C2D69B" w:themeFill="accent3" w:themeFillTint="99"/>
            <w:vAlign w:val="center"/>
          </w:tcPr>
          <w:p w14:paraId="033D683E"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IV</w:t>
            </w:r>
          </w:p>
        </w:tc>
        <w:tc>
          <w:tcPr>
            <w:tcW w:w="992" w:type="dxa"/>
            <w:vMerge/>
            <w:tcBorders>
              <w:left w:val="single" w:sz="4" w:space="0" w:color="auto"/>
              <w:bottom w:val="double" w:sz="4" w:space="0" w:color="auto"/>
              <w:right w:val="double" w:sz="4" w:space="0" w:color="auto"/>
            </w:tcBorders>
            <w:shd w:val="clear" w:color="auto" w:fill="C2D69B" w:themeFill="accent3" w:themeFillTint="99"/>
          </w:tcPr>
          <w:p w14:paraId="65D4B7E9"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p>
        </w:tc>
        <w:tc>
          <w:tcPr>
            <w:tcW w:w="992" w:type="dxa"/>
            <w:tcBorders>
              <w:left w:val="single" w:sz="4" w:space="0" w:color="auto"/>
              <w:bottom w:val="double" w:sz="4" w:space="0" w:color="auto"/>
              <w:right w:val="double" w:sz="4" w:space="0" w:color="auto"/>
            </w:tcBorders>
            <w:shd w:val="clear" w:color="auto" w:fill="C2D69B" w:themeFill="accent3" w:themeFillTint="99"/>
          </w:tcPr>
          <w:p w14:paraId="2CA0637C" w14:textId="77777777" w:rsidR="00C177C7" w:rsidRPr="00AB6295" w:rsidRDefault="00C177C7" w:rsidP="00E73206">
            <w:pPr>
              <w:pStyle w:val="not31"/>
              <w:keepLines w:val="0"/>
              <w:widowControl w:val="0"/>
              <w:spacing w:before="20" w:after="20" w:line="180" w:lineRule="atLeast"/>
              <w:ind w:right="0"/>
              <w:jc w:val="center"/>
              <w:rPr>
                <w:rFonts w:cs="Arial"/>
                <w:b/>
                <w:color w:val="auto"/>
                <w:sz w:val="18"/>
                <w:szCs w:val="18"/>
                <w:lang w:val="es-MX" w:eastAsia="es-MX"/>
              </w:rPr>
            </w:pPr>
            <w:r>
              <w:rPr>
                <w:rFonts w:cs="Arial"/>
                <w:b/>
                <w:color w:val="auto"/>
                <w:sz w:val="18"/>
                <w:szCs w:val="18"/>
                <w:lang w:val="es-MX" w:eastAsia="es-MX"/>
              </w:rPr>
              <w:t>I</w:t>
            </w:r>
          </w:p>
        </w:tc>
      </w:tr>
      <w:tr w:rsidR="00C177C7" w:rsidRPr="00AB6295" w14:paraId="5764C8C6" w14:textId="77777777" w:rsidTr="00E73206">
        <w:trPr>
          <w:jc w:val="center"/>
        </w:trPr>
        <w:tc>
          <w:tcPr>
            <w:tcW w:w="3702" w:type="dxa"/>
            <w:tcBorders>
              <w:top w:val="double" w:sz="4" w:space="0" w:color="auto"/>
              <w:left w:val="double" w:sz="4" w:space="0" w:color="auto"/>
              <w:bottom w:val="nil"/>
              <w:right w:val="single" w:sz="4" w:space="0" w:color="auto"/>
            </w:tcBorders>
            <w:vAlign w:val="center"/>
          </w:tcPr>
          <w:p w14:paraId="6FC1A955"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Producto Interno Bruto</w:t>
            </w:r>
          </w:p>
        </w:tc>
        <w:tc>
          <w:tcPr>
            <w:tcW w:w="819" w:type="dxa"/>
            <w:tcBorders>
              <w:top w:val="double" w:sz="4" w:space="0" w:color="auto"/>
              <w:left w:val="single" w:sz="4" w:space="0" w:color="auto"/>
              <w:bottom w:val="nil"/>
              <w:right w:val="nil"/>
            </w:tcBorders>
            <w:shd w:val="clear" w:color="auto" w:fill="auto"/>
            <w:vAlign w:val="center"/>
          </w:tcPr>
          <w:p w14:paraId="738A1AF6" w14:textId="77777777" w:rsidR="00C177C7" w:rsidRPr="00AB6295" w:rsidRDefault="00C177C7" w:rsidP="00E73206">
            <w:pPr>
              <w:spacing w:before="20" w:after="20"/>
              <w:ind w:right="170"/>
              <w:jc w:val="right"/>
              <w:rPr>
                <w:rFonts w:ascii="Arial" w:hAnsi="Arial" w:cs="Arial"/>
                <w:sz w:val="18"/>
                <w:szCs w:val="18"/>
              </w:rPr>
            </w:pPr>
            <w:r w:rsidRPr="00AB6295">
              <w:rPr>
                <w:rFonts w:ascii="Arial" w:hAnsi="Arial" w:cs="Arial"/>
                <w:sz w:val="18"/>
                <w:szCs w:val="18"/>
                <w:lang w:eastAsia="es-MX"/>
              </w:rPr>
              <w:t>3.</w:t>
            </w:r>
            <w:r>
              <w:rPr>
                <w:rFonts w:ascii="Arial" w:hAnsi="Arial" w:cs="Arial"/>
                <w:sz w:val="18"/>
                <w:szCs w:val="18"/>
                <w:lang w:eastAsia="es-MX"/>
              </w:rPr>
              <w:t>0</w:t>
            </w:r>
          </w:p>
        </w:tc>
        <w:tc>
          <w:tcPr>
            <w:tcW w:w="725" w:type="dxa"/>
            <w:tcBorders>
              <w:top w:val="double" w:sz="4" w:space="0" w:color="auto"/>
              <w:left w:val="nil"/>
              <w:bottom w:val="nil"/>
              <w:right w:val="nil"/>
            </w:tcBorders>
            <w:vAlign w:val="center"/>
          </w:tcPr>
          <w:p w14:paraId="14393D97"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0.</w:t>
            </w:r>
            <w:r>
              <w:rPr>
                <w:rFonts w:ascii="Arial" w:hAnsi="Arial" w:cs="Arial"/>
                <w:sz w:val="18"/>
                <w:szCs w:val="18"/>
                <w:lang w:eastAsia="es-MX"/>
              </w:rPr>
              <w:t>4</w:t>
            </w:r>
          </w:p>
        </w:tc>
        <w:tc>
          <w:tcPr>
            <w:tcW w:w="709" w:type="dxa"/>
            <w:tcBorders>
              <w:top w:val="double" w:sz="4" w:space="0" w:color="auto"/>
              <w:left w:val="nil"/>
              <w:bottom w:val="nil"/>
              <w:right w:val="nil"/>
            </w:tcBorders>
            <w:shd w:val="clear" w:color="auto" w:fill="FFFFFF" w:themeFill="background1"/>
            <w:vAlign w:val="center"/>
          </w:tcPr>
          <w:p w14:paraId="72FC84D2" w14:textId="77777777" w:rsidR="00C177C7" w:rsidRPr="00AB6295" w:rsidRDefault="00C177C7" w:rsidP="00E73206">
            <w:pPr>
              <w:spacing w:before="20" w:after="20"/>
              <w:ind w:left="-108" w:right="113"/>
              <w:jc w:val="right"/>
              <w:rPr>
                <w:rFonts w:ascii="Arial" w:hAnsi="Arial" w:cs="Arial"/>
                <w:sz w:val="18"/>
                <w:szCs w:val="18"/>
                <w:lang w:eastAsia="es-MX"/>
              </w:rPr>
            </w:pPr>
            <w:r>
              <w:rPr>
                <w:rFonts w:ascii="Arial" w:hAnsi="Arial" w:cs="Arial"/>
                <w:sz w:val="18"/>
                <w:szCs w:val="18"/>
                <w:lang w:eastAsia="es-MX"/>
              </w:rPr>
              <w:t>3.8</w:t>
            </w:r>
          </w:p>
        </w:tc>
        <w:tc>
          <w:tcPr>
            <w:tcW w:w="693" w:type="dxa"/>
            <w:tcBorders>
              <w:top w:val="double" w:sz="4" w:space="0" w:color="auto"/>
              <w:left w:val="nil"/>
              <w:bottom w:val="nil"/>
              <w:right w:val="nil"/>
            </w:tcBorders>
            <w:shd w:val="clear" w:color="auto" w:fill="FFFFFF" w:themeFill="background1"/>
            <w:vAlign w:val="center"/>
          </w:tcPr>
          <w:p w14:paraId="5C806A9E" w14:textId="77777777" w:rsidR="00C177C7" w:rsidRPr="00AB6295" w:rsidRDefault="00C177C7" w:rsidP="00E73206">
            <w:pPr>
              <w:spacing w:before="20" w:after="20"/>
              <w:ind w:left="-108" w:right="113"/>
              <w:jc w:val="right"/>
              <w:rPr>
                <w:rFonts w:ascii="Arial" w:hAnsi="Arial" w:cs="Arial"/>
                <w:sz w:val="18"/>
                <w:szCs w:val="18"/>
              </w:rPr>
            </w:pPr>
            <w:r w:rsidRPr="00AB6295">
              <w:rPr>
                <w:rFonts w:ascii="Arial" w:hAnsi="Arial" w:cs="Arial"/>
                <w:sz w:val="18"/>
                <w:szCs w:val="18"/>
                <w:lang w:eastAsia="es-MX"/>
              </w:rPr>
              <w:t>4.</w:t>
            </w:r>
            <w:r>
              <w:rPr>
                <w:rFonts w:ascii="Arial" w:hAnsi="Arial" w:cs="Arial"/>
                <w:sz w:val="18"/>
                <w:szCs w:val="18"/>
                <w:lang w:eastAsia="es-MX"/>
              </w:rPr>
              <w:t>2</w:t>
            </w:r>
          </w:p>
        </w:tc>
        <w:tc>
          <w:tcPr>
            <w:tcW w:w="992" w:type="dxa"/>
            <w:tcBorders>
              <w:top w:val="double" w:sz="4" w:space="0" w:color="auto"/>
              <w:left w:val="nil"/>
              <w:bottom w:val="nil"/>
              <w:right w:val="double" w:sz="4" w:space="0" w:color="auto"/>
            </w:tcBorders>
            <w:shd w:val="clear" w:color="auto" w:fill="FFFFFF" w:themeFill="background1"/>
            <w:vAlign w:val="center"/>
          </w:tcPr>
          <w:p w14:paraId="458712D4" w14:textId="77777777" w:rsidR="00C177C7" w:rsidRPr="00AB6295" w:rsidRDefault="00C177C7" w:rsidP="00E73206">
            <w:pPr>
              <w:spacing w:before="20" w:after="20"/>
              <w:ind w:right="227"/>
              <w:jc w:val="right"/>
              <w:rPr>
                <w:rFonts w:ascii="Arial" w:hAnsi="Arial" w:cs="Arial"/>
                <w:sz w:val="18"/>
                <w:szCs w:val="18"/>
              </w:rPr>
            </w:pPr>
            <w:r w:rsidRPr="00AB6295">
              <w:rPr>
                <w:rFonts w:ascii="Arial" w:hAnsi="Arial" w:cs="Arial"/>
                <w:sz w:val="18"/>
                <w:szCs w:val="18"/>
                <w:lang w:eastAsia="es-MX"/>
              </w:rPr>
              <w:t>2.</w:t>
            </w:r>
            <w:r>
              <w:rPr>
                <w:rFonts w:ascii="Arial" w:hAnsi="Arial" w:cs="Arial"/>
                <w:sz w:val="18"/>
                <w:szCs w:val="18"/>
                <w:lang w:eastAsia="es-MX"/>
              </w:rPr>
              <w:t>9</w:t>
            </w:r>
          </w:p>
        </w:tc>
        <w:tc>
          <w:tcPr>
            <w:tcW w:w="992" w:type="dxa"/>
            <w:tcBorders>
              <w:top w:val="double" w:sz="4" w:space="0" w:color="auto"/>
              <w:left w:val="nil"/>
              <w:bottom w:val="nil"/>
              <w:right w:val="double" w:sz="4" w:space="0" w:color="auto"/>
            </w:tcBorders>
            <w:shd w:val="clear" w:color="auto" w:fill="FFFFFF" w:themeFill="background1"/>
            <w:vAlign w:val="center"/>
          </w:tcPr>
          <w:p w14:paraId="69EA2A47" w14:textId="77777777" w:rsidR="00C177C7" w:rsidRPr="00AB6295" w:rsidRDefault="00C177C7" w:rsidP="00E73206">
            <w:pPr>
              <w:spacing w:before="20" w:after="20"/>
              <w:ind w:right="227"/>
              <w:jc w:val="right"/>
              <w:rPr>
                <w:rFonts w:ascii="Arial" w:hAnsi="Arial" w:cs="Arial"/>
                <w:sz w:val="18"/>
                <w:szCs w:val="18"/>
                <w:lang w:eastAsia="es-MX"/>
              </w:rPr>
            </w:pPr>
            <w:r>
              <w:rPr>
                <w:rFonts w:ascii="Arial" w:hAnsi="Arial" w:cs="Arial"/>
                <w:sz w:val="18"/>
                <w:szCs w:val="18"/>
                <w:lang w:eastAsia="es-MX"/>
              </w:rPr>
              <w:t>5</w:t>
            </w:r>
            <w:r w:rsidRPr="00AB6295">
              <w:rPr>
                <w:rFonts w:ascii="Arial" w:hAnsi="Arial" w:cs="Arial"/>
                <w:sz w:val="18"/>
                <w:szCs w:val="18"/>
                <w:lang w:eastAsia="es-MX"/>
              </w:rPr>
              <w:t>.6</w:t>
            </w:r>
          </w:p>
        </w:tc>
      </w:tr>
      <w:tr w:rsidR="00C177C7" w:rsidRPr="00AB6295" w14:paraId="3FAF7CA4" w14:textId="77777777" w:rsidTr="00E73206">
        <w:trPr>
          <w:jc w:val="center"/>
        </w:trPr>
        <w:tc>
          <w:tcPr>
            <w:tcW w:w="3702" w:type="dxa"/>
            <w:tcBorders>
              <w:top w:val="nil"/>
              <w:left w:val="double" w:sz="4" w:space="0" w:color="auto"/>
              <w:bottom w:val="nil"/>
              <w:right w:val="single" w:sz="4" w:space="0" w:color="auto"/>
            </w:tcBorders>
            <w:vAlign w:val="center"/>
          </w:tcPr>
          <w:p w14:paraId="50772BBF"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Importación de Bienes y Servicios</w:t>
            </w:r>
          </w:p>
        </w:tc>
        <w:tc>
          <w:tcPr>
            <w:tcW w:w="819" w:type="dxa"/>
            <w:tcBorders>
              <w:top w:val="nil"/>
              <w:left w:val="single" w:sz="4" w:space="0" w:color="auto"/>
              <w:bottom w:val="nil"/>
              <w:right w:val="nil"/>
            </w:tcBorders>
            <w:shd w:val="clear" w:color="auto" w:fill="auto"/>
            <w:vAlign w:val="center"/>
          </w:tcPr>
          <w:p w14:paraId="06D613BC" w14:textId="77777777" w:rsidR="00C177C7" w:rsidRPr="00AB6295" w:rsidRDefault="00C177C7" w:rsidP="00E73206">
            <w:pPr>
              <w:spacing w:before="20" w:after="20"/>
              <w:ind w:right="170"/>
              <w:jc w:val="right"/>
              <w:rPr>
                <w:rFonts w:ascii="Arial" w:hAnsi="Arial" w:cs="Arial"/>
                <w:sz w:val="18"/>
                <w:szCs w:val="18"/>
                <w:lang w:eastAsia="es-MX"/>
              </w:rPr>
            </w:pPr>
            <w:r w:rsidRPr="00AB6295">
              <w:rPr>
                <w:rFonts w:ascii="Arial" w:hAnsi="Arial" w:cs="Arial"/>
                <w:sz w:val="18"/>
                <w:szCs w:val="18"/>
                <w:lang w:eastAsia="es-MX"/>
              </w:rPr>
              <w:t>1.</w:t>
            </w:r>
            <w:r>
              <w:rPr>
                <w:rFonts w:ascii="Arial" w:hAnsi="Arial" w:cs="Arial"/>
                <w:sz w:val="18"/>
                <w:szCs w:val="18"/>
                <w:lang w:eastAsia="es-MX"/>
              </w:rPr>
              <w:t>4</w:t>
            </w:r>
          </w:p>
        </w:tc>
        <w:tc>
          <w:tcPr>
            <w:tcW w:w="725" w:type="dxa"/>
            <w:tcBorders>
              <w:top w:val="nil"/>
              <w:left w:val="nil"/>
              <w:bottom w:val="nil"/>
              <w:right w:val="nil"/>
            </w:tcBorders>
            <w:vAlign w:val="center"/>
          </w:tcPr>
          <w:p w14:paraId="5DBFC280"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13.5</w:t>
            </w:r>
          </w:p>
        </w:tc>
        <w:tc>
          <w:tcPr>
            <w:tcW w:w="709" w:type="dxa"/>
            <w:tcBorders>
              <w:top w:val="nil"/>
              <w:left w:val="nil"/>
              <w:bottom w:val="nil"/>
              <w:right w:val="nil"/>
            </w:tcBorders>
            <w:shd w:val="clear" w:color="auto" w:fill="FFFFFF" w:themeFill="background1"/>
            <w:vAlign w:val="center"/>
          </w:tcPr>
          <w:p w14:paraId="209592FA"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10.</w:t>
            </w:r>
            <w:r>
              <w:rPr>
                <w:rFonts w:cs="Arial"/>
                <w:color w:val="auto"/>
                <w:sz w:val="18"/>
                <w:szCs w:val="18"/>
                <w:lang w:val="es-MX" w:eastAsia="es-MX"/>
              </w:rPr>
              <w:t>4</w:t>
            </w:r>
          </w:p>
        </w:tc>
        <w:tc>
          <w:tcPr>
            <w:tcW w:w="693" w:type="dxa"/>
            <w:tcBorders>
              <w:top w:val="nil"/>
              <w:left w:val="nil"/>
              <w:bottom w:val="nil"/>
              <w:right w:val="nil"/>
            </w:tcBorders>
            <w:shd w:val="clear" w:color="auto" w:fill="FFFFFF" w:themeFill="background1"/>
            <w:vAlign w:val="center"/>
          </w:tcPr>
          <w:p w14:paraId="25343892"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6.5</w:t>
            </w:r>
          </w:p>
        </w:tc>
        <w:tc>
          <w:tcPr>
            <w:tcW w:w="992" w:type="dxa"/>
            <w:tcBorders>
              <w:top w:val="nil"/>
              <w:left w:val="nil"/>
              <w:bottom w:val="nil"/>
              <w:right w:val="double" w:sz="4" w:space="0" w:color="auto"/>
            </w:tcBorders>
            <w:shd w:val="clear" w:color="auto" w:fill="FFFFFF" w:themeFill="background1"/>
            <w:vAlign w:val="center"/>
          </w:tcPr>
          <w:p w14:paraId="5F6AF1E8"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7.5</w:t>
            </w:r>
          </w:p>
        </w:tc>
        <w:tc>
          <w:tcPr>
            <w:tcW w:w="992" w:type="dxa"/>
            <w:tcBorders>
              <w:top w:val="nil"/>
              <w:left w:val="nil"/>
              <w:bottom w:val="nil"/>
              <w:right w:val="double" w:sz="4" w:space="0" w:color="auto"/>
            </w:tcBorders>
            <w:shd w:val="clear" w:color="auto" w:fill="FFFFFF" w:themeFill="background1"/>
            <w:vAlign w:val="center"/>
          </w:tcPr>
          <w:p w14:paraId="24CF4C51"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10</w:t>
            </w:r>
            <w:r w:rsidRPr="00AB6295">
              <w:rPr>
                <w:rFonts w:cs="Arial"/>
                <w:color w:val="auto"/>
                <w:sz w:val="18"/>
                <w:szCs w:val="18"/>
                <w:lang w:val="es-MX" w:eastAsia="es-MX"/>
              </w:rPr>
              <w:t>.1</w:t>
            </w:r>
          </w:p>
        </w:tc>
      </w:tr>
      <w:tr w:rsidR="00C177C7" w:rsidRPr="00AB6295" w14:paraId="4ED0A16B" w14:textId="77777777" w:rsidTr="00E73206">
        <w:trPr>
          <w:jc w:val="center"/>
        </w:trPr>
        <w:tc>
          <w:tcPr>
            <w:tcW w:w="3702" w:type="dxa"/>
            <w:tcBorders>
              <w:top w:val="nil"/>
              <w:left w:val="double" w:sz="4" w:space="0" w:color="auto"/>
              <w:bottom w:val="nil"/>
              <w:right w:val="single" w:sz="4" w:space="0" w:color="auto"/>
            </w:tcBorders>
            <w:vAlign w:val="center"/>
          </w:tcPr>
          <w:p w14:paraId="4A4D88C7" w14:textId="77777777" w:rsidR="00C177C7" w:rsidRPr="00AB6295" w:rsidRDefault="00C177C7" w:rsidP="00E73206">
            <w:pPr>
              <w:pStyle w:val="not31"/>
              <w:keepLines w:val="0"/>
              <w:widowControl w:val="0"/>
              <w:spacing w:before="20" w:after="20"/>
              <w:ind w:right="-79"/>
              <w:jc w:val="left"/>
              <w:rPr>
                <w:rFonts w:cs="Arial"/>
                <w:b/>
                <w:color w:val="auto"/>
                <w:sz w:val="18"/>
                <w:szCs w:val="18"/>
                <w:lang w:val="es-MX" w:eastAsia="es-MX"/>
              </w:rPr>
            </w:pPr>
            <w:r w:rsidRPr="00AB6295">
              <w:rPr>
                <w:rFonts w:cs="Arial"/>
                <w:b/>
                <w:color w:val="auto"/>
                <w:sz w:val="18"/>
                <w:szCs w:val="18"/>
                <w:lang w:val="es-MX" w:eastAsia="es-MX"/>
              </w:rPr>
              <w:t>Oferta y Demanda</w:t>
            </w:r>
          </w:p>
        </w:tc>
        <w:tc>
          <w:tcPr>
            <w:tcW w:w="819" w:type="dxa"/>
            <w:tcBorders>
              <w:top w:val="nil"/>
              <w:left w:val="single" w:sz="4" w:space="0" w:color="auto"/>
              <w:bottom w:val="nil"/>
              <w:right w:val="nil"/>
            </w:tcBorders>
            <w:shd w:val="clear" w:color="auto" w:fill="auto"/>
            <w:vAlign w:val="center"/>
          </w:tcPr>
          <w:p w14:paraId="1B851509" w14:textId="77777777" w:rsidR="00C177C7" w:rsidRPr="00AB6295" w:rsidRDefault="00C177C7" w:rsidP="00E73206">
            <w:pPr>
              <w:pStyle w:val="not31"/>
              <w:keepLines w:val="0"/>
              <w:widowControl w:val="0"/>
              <w:spacing w:before="20" w:after="20"/>
              <w:ind w:right="170"/>
              <w:jc w:val="right"/>
              <w:rPr>
                <w:rFonts w:cs="Arial"/>
                <w:b/>
                <w:color w:val="auto"/>
                <w:sz w:val="18"/>
                <w:szCs w:val="18"/>
                <w:lang w:val="es-MX" w:eastAsia="es-MX"/>
              </w:rPr>
            </w:pPr>
            <w:r w:rsidRPr="00AB6295">
              <w:rPr>
                <w:rFonts w:cs="Arial"/>
                <w:b/>
                <w:color w:val="auto"/>
                <w:sz w:val="18"/>
                <w:szCs w:val="18"/>
                <w:lang w:val="es-MX" w:eastAsia="es-MX"/>
              </w:rPr>
              <w:t>2.</w:t>
            </w:r>
            <w:r>
              <w:rPr>
                <w:rFonts w:cs="Arial"/>
                <w:b/>
                <w:color w:val="auto"/>
                <w:sz w:val="18"/>
                <w:szCs w:val="18"/>
                <w:lang w:val="es-MX" w:eastAsia="es-MX"/>
              </w:rPr>
              <w:t>5</w:t>
            </w:r>
          </w:p>
        </w:tc>
        <w:tc>
          <w:tcPr>
            <w:tcW w:w="725" w:type="dxa"/>
            <w:tcBorders>
              <w:top w:val="nil"/>
              <w:left w:val="nil"/>
              <w:bottom w:val="nil"/>
              <w:right w:val="nil"/>
            </w:tcBorders>
            <w:vAlign w:val="center"/>
          </w:tcPr>
          <w:p w14:paraId="5B84AC78" w14:textId="77777777" w:rsidR="00C177C7" w:rsidRPr="00AB6295" w:rsidRDefault="00C177C7" w:rsidP="00E73206">
            <w:pPr>
              <w:spacing w:before="20" w:after="20"/>
              <w:ind w:right="113"/>
              <w:jc w:val="right"/>
              <w:rPr>
                <w:rFonts w:ascii="Arial" w:hAnsi="Arial" w:cs="Arial"/>
                <w:b/>
                <w:bCs/>
                <w:sz w:val="18"/>
                <w:szCs w:val="18"/>
                <w:lang w:eastAsia="es-MX"/>
              </w:rPr>
            </w:pPr>
            <w:r w:rsidRPr="00AB6295">
              <w:rPr>
                <w:rFonts w:ascii="Arial" w:hAnsi="Arial" w:cs="Arial"/>
                <w:b/>
                <w:bCs/>
                <w:sz w:val="18"/>
                <w:szCs w:val="18"/>
                <w:lang w:eastAsia="es-MX"/>
              </w:rPr>
              <w:t>3.6</w:t>
            </w:r>
          </w:p>
        </w:tc>
        <w:tc>
          <w:tcPr>
            <w:tcW w:w="709" w:type="dxa"/>
            <w:tcBorders>
              <w:top w:val="nil"/>
              <w:left w:val="nil"/>
              <w:bottom w:val="nil"/>
              <w:right w:val="nil"/>
            </w:tcBorders>
            <w:shd w:val="clear" w:color="auto" w:fill="FFFFFF" w:themeFill="background1"/>
            <w:vAlign w:val="center"/>
          </w:tcPr>
          <w:p w14:paraId="0BD96C43" w14:textId="77777777" w:rsidR="00C177C7" w:rsidRPr="00AB6295" w:rsidRDefault="00C177C7" w:rsidP="00E73206">
            <w:pPr>
              <w:pStyle w:val="not31"/>
              <w:keepLines w:val="0"/>
              <w:widowControl w:val="0"/>
              <w:spacing w:before="20" w:after="20"/>
              <w:ind w:left="-108" w:right="113"/>
              <w:jc w:val="right"/>
              <w:rPr>
                <w:rFonts w:cs="Arial"/>
                <w:b/>
                <w:color w:val="auto"/>
                <w:sz w:val="18"/>
                <w:szCs w:val="18"/>
                <w:lang w:val="es-MX" w:eastAsia="es-MX"/>
              </w:rPr>
            </w:pPr>
            <w:r w:rsidRPr="00AB6295">
              <w:rPr>
                <w:rFonts w:cs="Arial"/>
                <w:b/>
                <w:color w:val="auto"/>
                <w:sz w:val="18"/>
                <w:szCs w:val="18"/>
                <w:lang w:val="es-MX" w:eastAsia="es-MX"/>
              </w:rPr>
              <w:t>5.</w:t>
            </w:r>
            <w:r>
              <w:rPr>
                <w:rFonts w:cs="Arial"/>
                <w:b/>
                <w:color w:val="auto"/>
                <w:sz w:val="18"/>
                <w:szCs w:val="18"/>
                <w:lang w:val="es-MX" w:eastAsia="es-MX"/>
              </w:rPr>
              <w:t>4</w:t>
            </w:r>
          </w:p>
        </w:tc>
        <w:tc>
          <w:tcPr>
            <w:tcW w:w="693" w:type="dxa"/>
            <w:tcBorders>
              <w:top w:val="nil"/>
              <w:left w:val="nil"/>
              <w:bottom w:val="nil"/>
              <w:right w:val="nil"/>
            </w:tcBorders>
            <w:shd w:val="clear" w:color="auto" w:fill="FFFFFF" w:themeFill="background1"/>
            <w:vAlign w:val="center"/>
          </w:tcPr>
          <w:p w14:paraId="2F1AF2B3" w14:textId="77777777" w:rsidR="00C177C7" w:rsidRPr="00AB6295" w:rsidRDefault="00C177C7" w:rsidP="00E73206">
            <w:pPr>
              <w:pStyle w:val="not31"/>
              <w:keepLines w:val="0"/>
              <w:widowControl w:val="0"/>
              <w:spacing w:before="20" w:after="20"/>
              <w:ind w:left="-108" w:right="113"/>
              <w:jc w:val="right"/>
              <w:rPr>
                <w:rFonts w:cs="Arial"/>
                <w:b/>
                <w:color w:val="auto"/>
                <w:sz w:val="18"/>
                <w:szCs w:val="18"/>
                <w:lang w:val="es-MX" w:eastAsia="es-MX"/>
              </w:rPr>
            </w:pPr>
            <w:r>
              <w:rPr>
                <w:rFonts w:cs="Arial"/>
                <w:b/>
                <w:color w:val="auto"/>
                <w:sz w:val="18"/>
                <w:szCs w:val="18"/>
                <w:lang w:val="es-MX" w:eastAsia="es-MX"/>
              </w:rPr>
              <w:t>4.8</w:t>
            </w:r>
          </w:p>
        </w:tc>
        <w:tc>
          <w:tcPr>
            <w:tcW w:w="992" w:type="dxa"/>
            <w:tcBorders>
              <w:top w:val="nil"/>
              <w:left w:val="nil"/>
              <w:bottom w:val="nil"/>
              <w:right w:val="double" w:sz="4" w:space="0" w:color="auto"/>
            </w:tcBorders>
            <w:shd w:val="clear" w:color="auto" w:fill="FFFFFF" w:themeFill="background1"/>
            <w:vAlign w:val="center"/>
          </w:tcPr>
          <w:p w14:paraId="37DD84E2" w14:textId="77777777" w:rsidR="00C177C7" w:rsidRPr="00AB6295" w:rsidRDefault="00C177C7" w:rsidP="00E73206">
            <w:pPr>
              <w:pStyle w:val="not31"/>
              <w:keepLines w:val="0"/>
              <w:widowControl w:val="0"/>
              <w:spacing w:before="20" w:after="20"/>
              <w:ind w:right="227"/>
              <w:jc w:val="right"/>
              <w:rPr>
                <w:rFonts w:cs="Arial"/>
                <w:b/>
                <w:color w:val="auto"/>
                <w:sz w:val="18"/>
                <w:szCs w:val="18"/>
                <w:lang w:val="es-MX" w:eastAsia="es-MX"/>
              </w:rPr>
            </w:pPr>
            <w:r w:rsidRPr="00AB6295">
              <w:rPr>
                <w:rFonts w:cs="Arial"/>
                <w:b/>
                <w:color w:val="auto"/>
                <w:sz w:val="18"/>
                <w:szCs w:val="18"/>
                <w:lang w:val="es-MX" w:eastAsia="es-MX"/>
              </w:rPr>
              <w:t>4.</w:t>
            </w:r>
            <w:r>
              <w:rPr>
                <w:rFonts w:cs="Arial"/>
                <w:b/>
                <w:color w:val="auto"/>
                <w:sz w:val="18"/>
                <w:szCs w:val="18"/>
                <w:lang w:val="es-MX" w:eastAsia="es-MX"/>
              </w:rPr>
              <w:t>1</w:t>
            </w:r>
          </w:p>
        </w:tc>
        <w:tc>
          <w:tcPr>
            <w:tcW w:w="992" w:type="dxa"/>
            <w:tcBorders>
              <w:top w:val="nil"/>
              <w:left w:val="nil"/>
              <w:bottom w:val="nil"/>
              <w:right w:val="double" w:sz="4" w:space="0" w:color="auto"/>
            </w:tcBorders>
            <w:shd w:val="clear" w:color="auto" w:fill="FFFFFF" w:themeFill="background1"/>
            <w:vAlign w:val="center"/>
          </w:tcPr>
          <w:p w14:paraId="483FB35C" w14:textId="77777777" w:rsidR="00C177C7" w:rsidRPr="00AB6295" w:rsidRDefault="00C177C7" w:rsidP="00E73206">
            <w:pPr>
              <w:pStyle w:val="not31"/>
              <w:keepLines w:val="0"/>
              <w:widowControl w:val="0"/>
              <w:spacing w:before="20" w:after="20"/>
              <w:ind w:right="227"/>
              <w:jc w:val="right"/>
              <w:rPr>
                <w:rFonts w:cs="Arial"/>
                <w:b/>
                <w:color w:val="auto"/>
                <w:sz w:val="18"/>
                <w:szCs w:val="18"/>
                <w:lang w:val="es-MX" w:eastAsia="es-MX"/>
              </w:rPr>
            </w:pPr>
            <w:r>
              <w:rPr>
                <w:rFonts w:cs="Arial"/>
                <w:b/>
                <w:color w:val="auto"/>
                <w:sz w:val="18"/>
                <w:szCs w:val="18"/>
                <w:lang w:val="es-MX" w:eastAsia="es-MX"/>
              </w:rPr>
              <w:t>6.8</w:t>
            </w:r>
          </w:p>
        </w:tc>
      </w:tr>
      <w:tr w:rsidR="00C177C7" w:rsidRPr="00AB6295" w14:paraId="226A544A" w14:textId="77777777" w:rsidTr="00E73206">
        <w:trPr>
          <w:jc w:val="center"/>
        </w:trPr>
        <w:tc>
          <w:tcPr>
            <w:tcW w:w="3702" w:type="dxa"/>
            <w:tcBorders>
              <w:top w:val="nil"/>
              <w:left w:val="double" w:sz="4" w:space="0" w:color="auto"/>
              <w:bottom w:val="nil"/>
              <w:right w:val="single" w:sz="4" w:space="0" w:color="auto"/>
            </w:tcBorders>
            <w:vAlign w:val="center"/>
          </w:tcPr>
          <w:p w14:paraId="34CD6D46"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Consumo Privado</w:t>
            </w:r>
          </w:p>
        </w:tc>
        <w:tc>
          <w:tcPr>
            <w:tcW w:w="819" w:type="dxa"/>
            <w:tcBorders>
              <w:top w:val="nil"/>
              <w:left w:val="single" w:sz="4" w:space="0" w:color="auto"/>
              <w:bottom w:val="nil"/>
              <w:right w:val="nil"/>
            </w:tcBorders>
            <w:shd w:val="clear" w:color="auto" w:fill="auto"/>
            <w:vAlign w:val="center"/>
          </w:tcPr>
          <w:p w14:paraId="47E5E362"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7</w:t>
            </w:r>
          </w:p>
        </w:tc>
        <w:tc>
          <w:tcPr>
            <w:tcW w:w="725" w:type="dxa"/>
            <w:tcBorders>
              <w:top w:val="nil"/>
              <w:left w:val="nil"/>
              <w:bottom w:val="nil"/>
              <w:right w:val="nil"/>
            </w:tcBorders>
            <w:vAlign w:val="center"/>
          </w:tcPr>
          <w:p w14:paraId="5950EEFB"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3.</w:t>
            </w:r>
            <w:r>
              <w:rPr>
                <w:rFonts w:ascii="Arial" w:hAnsi="Arial" w:cs="Arial"/>
                <w:sz w:val="18"/>
                <w:szCs w:val="18"/>
                <w:lang w:eastAsia="es-MX"/>
              </w:rPr>
              <w:t>1</w:t>
            </w:r>
          </w:p>
        </w:tc>
        <w:tc>
          <w:tcPr>
            <w:tcW w:w="709" w:type="dxa"/>
            <w:tcBorders>
              <w:top w:val="nil"/>
              <w:left w:val="nil"/>
              <w:bottom w:val="nil"/>
              <w:right w:val="nil"/>
            </w:tcBorders>
            <w:shd w:val="clear" w:color="auto" w:fill="FFFFFF" w:themeFill="background1"/>
            <w:vAlign w:val="center"/>
          </w:tcPr>
          <w:p w14:paraId="10ECFEDC"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3.7</w:t>
            </w:r>
          </w:p>
        </w:tc>
        <w:tc>
          <w:tcPr>
            <w:tcW w:w="693" w:type="dxa"/>
            <w:tcBorders>
              <w:top w:val="nil"/>
              <w:left w:val="nil"/>
              <w:bottom w:val="nil"/>
              <w:right w:val="nil"/>
            </w:tcBorders>
            <w:shd w:val="clear" w:color="auto" w:fill="FFFFFF" w:themeFill="background1"/>
            <w:vAlign w:val="center"/>
          </w:tcPr>
          <w:p w14:paraId="6EF9F212"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8</w:t>
            </w:r>
          </w:p>
        </w:tc>
        <w:tc>
          <w:tcPr>
            <w:tcW w:w="992" w:type="dxa"/>
            <w:tcBorders>
              <w:top w:val="nil"/>
              <w:left w:val="nil"/>
              <w:bottom w:val="nil"/>
              <w:right w:val="double" w:sz="4" w:space="0" w:color="auto"/>
            </w:tcBorders>
            <w:shd w:val="clear" w:color="auto" w:fill="FFFFFF" w:themeFill="background1"/>
            <w:vAlign w:val="center"/>
          </w:tcPr>
          <w:p w14:paraId="05C88691"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5</w:t>
            </w:r>
          </w:p>
        </w:tc>
        <w:tc>
          <w:tcPr>
            <w:tcW w:w="992" w:type="dxa"/>
            <w:tcBorders>
              <w:top w:val="nil"/>
              <w:left w:val="nil"/>
              <w:bottom w:val="nil"/>
              <w:right w:val="double" w:sz="4" w:space="0" w:color="auto"/>
            </w:tcBorders>
            <w:shd w:val="clear" w:color="auto" w:fill="FFFFFF" w:themeFill="background1"/>
            <w:vAlign w:val="center"/>
          </w:tcPr>
          <w:p w14:paraId="78DF1D0C"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.8</w:t>
            </w:r>
          </w:p>
        </w:tc>
      </w:tr>
      <w:tr w:rsidR="00C177C7" w:rsidRPr="00AB6295" w14:paraId="72202B44" w14:textId="77777777" w:rsidTr="00E73206">
        <w:trPr>
          <w:jc w:val="center"/>
        </w:trPr>
        <w:tc>
          <w:tcPr>
            <w:tcW w:w="3702" w:type="dxa"/>
            <w:tcBorders>
              <w:top w:val="nil"/>
              <w:left w:val="double" w:sz="4" w:space="0" w:color="auto"/>
              <w:bottom w:val="nil"/>
              <w:right w:val="single" w:sz="4" w:space="0" w:color="auto"/>
            </w:tcBorders>
            <w:vAlign w:val="center"/>
          </w:tcPr>
          <w:p w14:paraId="64306955" w14:textId="77777777" w:rsidR="00C177C7" w:rsidRPr="00AB6295" w:rsidRDefault="00C177C7" w:rsidP="00E73206">
            <w:pPr>
              <w:pStyle w:val="not31"/>
              <w:keepLines w:val="0"/>
              <w:widowControl w:val="0"/>
              <w:spacing w:before="20" w:after="20"/>
              <w:ind w:right="-79"/>
              <w:jc w:val="left"/>
              <w:rPr>
                <w:rFonts w:cs="Arial"/>
                <w:color w:val="auto"/>
                <w:sz w:val="18"/>
                <w:szCs w:val="18"/>
                <w:lang w:val="es-MX" w:eastAsia="es-MX"/>
              </w:rPr>
            </w:pPr>
            <w:r>
              <w:rPr>
                <w:rFonts w:cs="Arial"/>
                <w:color w:val="auto"/>
                <w:sz w:val="18"/>
                <w:szCs w:val="18"/>
                <w:lang w:val="es-MX" w:eastAsia="es-MX"/>
              </w:rPr>
              <w:t xml:space="preserve"> </w:t>
            </w:r>
            <w:r w:rsidRPr="00AB6295">
              <w:rPr>
                <w:rFonts w:cs="Arial"/>
                <w:color w:val="auto"/>
                <w:sz w:val="18"/>
                <w:szCs w:val="18"/>
                <w:lang w:val="es-MX" w:eastAsia="es-MX"/>
              </w:rPr>
              <w:t>Consumo de Gobierno</w:t>
            </w:r>
          </w:p>
        </w:tc>
        <w:tc>
          <w:tcPr>
            <w:tcW w:w="819" w:type="dxa"/>
            <w:tcBorders>
              <w:top w:val="nil"/>
              <w:left w:val="single" w:sz="4" w:space="0" w:color="auto"/>
              <w:bottom w:val="nil"/>
              <w:right w:val="nil"/>
            </w:tcBorders>
            <w:shd w:val="clear" w:color="auto" w:fill="auto"/>
            <w:vAlign w:val="center"/>
          </w:tcPr>
          <w:p w14:paraId="3045C28A"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3.</w:t>
            </w:r>
            <w:r>
              <w:rPr>
                <w:rFonts w:cs="Arial"/>
                <w:color w:val="auto"/>
                <w:sz w:val="18"/>
                <w:szCs w:val="18"/>
                <w:lang w:val="es-MX" w:eastAsia="es-MX"/>
              </w:rPr>
              <w:t>7</w:t>
            </w:r>
          </w:p>
        </w:tc>
        <w:tc>
          <w:tcPr>
            <w:tcW w:w="725" w:type="dxa"/>
            <w:tcBorders>
              <w:top w:val="nil"/>
              <w:left w:val="nil"/>
              <w:bottom w:val="nil"/>
              <w:right w:val="nil"/>
            </w:tcBorders>
            <w:vAlign w:val="center"/>
          </w:tcPr>
          <w:p w14:paraId="7F44E7BE"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3.9</w:t>
            </w:r>
          </w:p>
        </w:tc>
        <w:tc>
          <w:tcPr>
            <w:tcW w:w="709" w:type="dxa"/>
            <w:tcBorders>
              <w:top w:val="nil"/>
              <w:left w:val="nil"/>
              <w:bottom w:val="nil"/>
              <w:right w:val="nil"/>
            </w:tcBorders>
            <w:shd w:val="clear" w:color="auto" w:fill="FFFFFF" w:themeFill="background1"/>
            <w:vAlign w:val="center"/>
          </w:tcPr>
          <w:p w14:paraId="117B6C65"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4.</w:t>
            </w:r>
            <w:r>
              <w:rPr>
                <w:rFonts w:cs="Arial"/>
                <w:color w:val="auto"/>
                <w:sz w:val="18"/>
                <w:szCs w:val="18"/>
                <w:lang w:val="es-MX" w:eastAsia="es-MX"/>
              </w:rPr>
              <w:t>0</w:t>
            </w:r>
          </w:p>
        </w:tc>
        <w:tc>
          <w:tcPr>
            <w:tcW w:w="693" w:type="dxa"/>
            <w:tcBorders>
              <w:top w:val="nil"/>
              <w:left w:val="nil"/>
              <w:bottom w:val="nil"/>
              <w:right w:val="nil"/>
            </w:tcBorders>
            <w:shd w:val="clear" w:color="auto" w:fill="FFFFFF" w:themeFill="background1"/>
            <w:vAlign w:val="center"/>
          </w:tcPr>
          <w:p w14:paraId="46FA28A5"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3.7</w:t>
            </w:r>
          </w:p>
        </w:tc>
        <w:tc>
          <w:tcPr>
            <w:tcW w:w="992" w:type="dxa"/>
            <w:tcBorders>
              <w:top w:val="nil"/>
              <w:left w:val="nil"/>
              <w:bottom w:val="nil"/>
              <w:right w:val="double" w:sz="4" w:space="0" w:color="auto"/>
            </w:tcBorders>
            <w:shd w:val="clear" w:color="auto" w:fill="FFFFFF" w:themeFill="background1"/>
            <w:vAlign w:val="center"/>
          </w:tcPr>
          <w:p w14:paraId="05F62680"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3.8</w:t>
            </w:r>
          </w:p>
        </w:tc>
        <w:tc>
          <w:tcPr>
            <w:tcW w:w="992" w:type="dxa"/>
            <w:tcBorders>
              <w:top w:val="nil"/>
              <w:left w:val="nil"/>
              <w:bottom w:val="nil"/>
              <w:right w:val="double" w:sz="4" w:space="0" w:color="auto"/>
            </w:tcBorders>
            <w:shd w:val="clear" w:color="auto" w:fill="FFFFFF" w:themeFill="background1"/>
            <w:vAlign w:val="center"/>
          </w:tcPr>
          <w:p w14:paraId="4F2FA6D5"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3.8</w:t>
            </w:r>
          </w:p>
        </w:tc>
      </w:tr>
      <w:tr w:rsidR="00C177C7" w:rsidRPr="00AB6295" w14:paraId="4276FFE7" w14:textId="77777777" w:rsidTr="00E73206">
        <w:trPr>
          <w:jc w:val="center"/>
        </w:trPr>
        <w:tc>
          <w:tcPr>
            <w:tcW w:w="3702" w:type="dxa"/>
            <w:tcBorders>
              <w:top w:val="nil"/>
              <w:left w:val="double" w:sz="4" w:space="0" w:color="auto"/>
              <w:bottom w:val="nil"/>
              <w:right w:val="single" w:sz="4" w:space="0" w:color="auto"/>
            </w:tcBorders>
            <w:vAlign w:val="center"/>
          </w:tcPr>
          <w:p w14:paraId="5728D380"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Formación Bruta de Capital Fijo</w:t>
            </w:r>
          </w:p>
        </w:tc>
        <w:tc>
          <w:tcPr>
            <w:tcW w:w="819" w:type="dxa"/>
            <w:tcBorders>
              <w:top w:val="nil"/>
              <w:left w:val="single" w:sz="4" w:space="0" w:color="auto"/>
              <w:bottom w:val="nil"/>
              <w:right w:val="nil"/>
            </w:tcBorders>
            <w:shd w:val="clear" w:color="auto" w:fill="auto"/>
            <w:vAlign w:val="center"/>
          </w:tcPr>
          <w:p w14:paraId="5446C2D2"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1.4</w:t>
            </w:r>
          </w:p>
        </w:tc>
        <w:tc>
          <w:tcPr>
            <w:tcW w:w="725" w:type="dxa"/>
            <w:tcBorders>
              <w:top w:val="nil"/>
              <w:left w:val="nil"/>
              <w:bottom w:val="nil"/>
              <w:right w:val="nil"/>
            </w:tcBorders>
            <w:vAlign w:val="center"/>
          </w:tcPr>
          <w:p w14:paraId="39ACCCA7"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8.</w:t>
            </w:r>
            <w:r>
              <w:rPr>
                <w:rFonts w:ascii="Arial" w:hAnsi="Arial" w:cs="Arial"/>
                <w:sz w:val="18"/>
                <w:szCs w:val="18"/>
                <w:lang w:eastAsia="es-MX"/>
              </w:rPr>
              <w:t>7</w:t>
            </w:r>
          </w:p>
        </w:tc>
        <w:tc>
          <w:tcPr>
            <w:tcW w:w="709" w:type="dxa"/>
            <w:tcBorders>
              <w:top w:val="nil"/>
              <w:left w:val="nil"/>
              <w:bottom w:val="nil"/>
              <w:right w:val="nil"/>
            </w:tcBorders>
            <w:shd w:val="clear" w:color="auto" w:fill="FFFFFF" w:themeFill="background1"/>
            <w:vAlign w:val="center"/>
          </w:tcPr>
          <w:p w14:paraId="3533FEC1"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6.</w:t>
            </w:r>
            <w:r>
              <w:rPr>
                <w:rFonts w:cs="Arial"/>
                <w:color w:val="auto"/>
                <w:sz w:val="18"/>
                <w:szCs w:val="18"/>
                <w:lang w:val="es-MX" w:eastAsia="es-MX"/>
              </w:rPr>
              <w:t>3</w:t>
            </w:r>
          </w:p>
        </w:tc>
        <w:tc>
          <w:tcPr>
            <w:tcW w:w="693" w:type="dxa"/>
            <w:tcBorders>
              <w:top w:val="nil"/>
              <w:left w:val="nil"/>
              <w:bottom w:val="nil"/>
              <w:right w:val="nil"/>
            </w:tcBorders>
            <w:shd w:val="clear" w:color="auto" w:fill="FFFFFF" w:themeFill="background1"/>
            <w:vAlign w:val="center"/>
          </w:tcPr>
          <w:p w14:paraId="26C11505"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5</w:t>
            </w:r>
            <w:r w:rsidRPr="00AB6295">
              <w:rPr>
                <w:rFonts w:cs="Arial"/>
                <w:color w:val="auto"/>
                <w:sz w:val="18"/>
                <w:szCs w:val="18"/>
                <w:lang w:val="es-MX" w:eastAsia="es-MX"/>
              </w:rPr>
              <w:t>.4</w:t>
            </w:r>
          </w:p>
        </w:tc>
        <w:tc>
          <w:tcPr>
            <w:tcW w:w="992" w:type="dxa"/>
            <w:tcBorders>
              <w:top w:val="nil"/>
              <w:left w:val="nil"/>
              <w:bottom w:val="nil"/>
              <w:right w:val="double" w:sz="4" w:space="0" w:color="auto"/>
            </w:tcBorders>
            <w:shd w:val="clear" w:color="auto" w:fill="FFFFFF" w:themeFill="background1"/>
            <w:vAlign w:val="center"/>
          </w:tcPr>
          <w:p w14:paraId="585031AA"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5.1</w:t>
            </w:r>
          </w:p>
        </w:tc>
        <w:tc>
          <w:tcPr>
            <w:tcW w:w="992" w:type="dxa"/>
            <w:tcBorders>
              <w:top w:val="nil"/>
              <w:left w:val="nil"/>
              <w:bottom w:val="nil"/>
              <w:right w:val="double" w:sz="4" w:space="0" w:color="auto"/>
            </w:tcBorders>
            <w:shd w:val="clear" w:color="auto" w:fill="FFFFFF" w:themeFill="background1"/>
            <w:vAlign w:val="center"/>
          </w:tcPr>
          <w:p w14:paraId="178E203A"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6.7</w:t>
            </w:r>
          </w:p>
        </w:tc>
      </w:tr>
      <w:tr w:rsidR="00C177C7" w:rsidRPr="00AB6295" w14:paraId="48E71928" w14:textId="77777777" w:rsidTr="00E73206">
        <w:trPr>
          <w:jc w:val="center"/>
        </w:trPr>
        <w:tc>
          <w:tcPr>
            <w:tcW w:w="3702" w:type="dxa"/>
            <w:tcBorders>
              <w:top w:val="nil"/>
              <w:left w:val="double" w:sz="4" w:space="0" w:color="auto"/>
              <w:bottom w:val="nil"/>
              <w:right w:val="single" w:sz="4" w:space="0" w:color="auto"/>
            </w:tcBorders>
            <w:vAlign w:val="center"/>
          </w:tcPr>
          <w:p w14:paraId="6A44088C"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Variación de Existencias</w:t>
            </w:r>
          </w:p>
        </w:tc>
        <w:tc>
          <w:tcPr>
            <w:tcW w:w="819" w:type="dxa"/>
            <w:tcBorders>
              <w:top w:val="nil"/>
              <w:left w:val="single" w:sz="4" w:space="0" w:color="auto"/>
              <w:bottom w:val="nil"/>
              <w:right w:val="nil"/>
            </w:tcBorders>
            <w:shd w:val="clear" w:color="auto" w:fill="auto"/>
            <w:vAlign w:val="center"/>
          </w:tcPr>
          <w:p w14:paraId="4F08D593"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725" w:type="dxa"/>
            <w:tcBorders>
              <w:top w:val="nil"/>
              <w:left w:val="nil"/>
              <w:bottom w:val="nil"/>
              <w:right w:val="nil"/>
            </w:tcBorders>
            <w:vAlign w:val="center"/>
          </w:tcPr>
          <w:p w14:paraId="20F645C4" w14:textId="77777777" w:rsidR="00C177C7" w:rsidRPr="00AB6295" w:rsidRDefault="00C177C7" w:rsidP="00E73206">
            <w:pPr>
              <w:spacing w:before="20" w:after="20"/>
              <w:ind w:right="113"/>
              <w:jc w:val="right"/>
              <w:rPr>
                <w:rFonts w:ascii="Arial" w:hAnsi="Arial" w:cs="Arial"/>
                <w:sz w:val="18"/>
                <w:szCs w:val="18"/>
                <w:lang w:eastAsia="es-MX"/>
              </w:rPr>
            </w:pPr>
            <w:proofErr w:type="gramStart"/>
            <w:r w:rsidRPr="00AB6295">
              <w:rPr>
                <w:rFonts w:ascii="Arial" w:hAnsi="Arial" w:cs="Arial"/>
                <w:sz w:val="18"/>
                <w:szCs w:val="18"/>
                <w:lang w:eastAsia="es-MX"/>
              </w:rPr>
              <w:t>N.A</w:t>
            </w:r>
            <w:proofErr w:type="gramEnd"/>
          </w:p>
        </w:tc>
        <w:tc>
          <w:tcPr>
            <w:tcW w:w="709" w:type="dxa"/>
            <w:tcBorders>
              <w:top w:val="nil"/>
              <w:left w:val="nil"/>
              <w:bottom w:val="nil"/>
              <w:right w:val="nil"/>
            </w:tcBorders>
            <w:shd w:val="clear" w:color="auto" w:fill="FFFFFF" w:themeFill="background1"/>
            <w:vAlign w:val="center"/>
          </w:tcPr>
          <w:p w14:paraId="22DF301E"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693" w:type="dxa"/>
            <w:tcBorders>
              <w:top w:val="nil"/>
              <w:left w:val="nil"/>
              <w:bottom w:val="nil"/>
              <w:right w:val="nil"/>
            </w:tcBorders>
            <w:shd w:val="clear" w:color="auto" w:fill="FFFFFF" w:themeFill="background1"/>
            <w:vAlign w:val="center"/>
          </w:tcPr>
          <w:p w14:paraId="6745C66A"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992" w:type="dxa"/>
            <w:tcBorders>
              <w:top w:val="nil"/>
              <w:left w:val="nil"/>
              <w:bottom w:val="nil"/>
              <w:right w:val="double" w:sz="4" w:space="0" w:color="auto"/>
            </w:tcBorders>
            <w:shd w:val="clear" w:color="auto" w:fill="FFFFFF" w:themeFill="background1"/>
            <w:vAlign w:val="center"/>
          </w:tcPr>
          <w:p w14:paraId="7AD9B056"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992" w:type="dxa"/>
            <w:tcBorders>
              <w:top w:val="nil"/>
              <w:left w:val="nil"/>
              <w:bottom w:val="nil"/>
              <w:right w:val="double" w:sz="4" w:space="0" w:color="auto"/>
            </w:tcBorders>
            <w:shd w:val="clear" w:color="auto" w:fill="FFFFFF" w:themeFill="background1"/>
            <w:vAlign w:val="center"/>
          </w:tcPr>
          <w:p w14:paraId="0C4EDFA9"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r>
      <w:tr w:rsidR="00C177C7" w:rsidRPr="00AB6295" w14:paraId="02CCFAAD" w14:textId="77777777" w:rsidTr="00E73206">
        <w:trPr>
          <w:jc w:val="center"/>
        </w:trPr>
        <w:tc>
          <w:tcPr>
            <w:tcW w:w="3702" w:type="dxa"/>
            <w:tcBorders>
              <w:top w:val="nil"/>
              <w:left w:val="double" w:sz="4" w:space="0" w:color="auto"/>
              <w:bottom w:val="nil"/>
              <w:right w:val="single" w:sz="4" w:space="0" w:color="auto"/>
            </w:tcBorders>
            <w:vAlign w:val="center"/>
          </w:tcPr>
          <w:p w14:paraId="64BCE74D"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Exportación de Bienes y Servicios</w:t>
            </w:r>
          </w:p>
        </w:tc>
        <w:tc>
          <w:tcPr>
            <w:tcW w:w="819" w:type="dxa"/>
            <w:tcBorders>
              <w:top w:val="nil"/>
              <w:left w:val="single" w:sz="4" w:space="0" w:color="auto"/>
              <w:bottom w:val="nil"/>
              <w:right w:val="nil"/>
            </w:tcBorders>
            <w:shd w:val="clear" w:color="auto" w:fill="auto"/>
            <w:vAlign w:val="center"/>
          </w:tcPr>
          <w:p w14:paraId="3E0251A9"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r w:rsidRPr="00AB6295">
              <w:rPr>
                <w:rFonts w:cs="Arial"/>
                <w:color w:val="auto"/>
                <w:sz w:val="18"/>
                <w:szCs w:val="18"/>
                <w:lang w:val="es-MX" w:eastAsia="es-MX"/>
              </w:rPr>
              <w:t>1.8</w:t>
            </w:r>
          </w:p>
        </w:tc>
        <w:tc>
          <w:tcPr>
            <w:tcW w:w="725" w:type="dxa"/>
            <w:tcBorders>
              <w:top w:val="nil"/>
              <w:left w:val="nil"/>
              <w:bottom w:val="nil"/>
              <w:right w:val="nil"/>
            </w:tcBorders>
            <w:vAlign w:val="center"/>
          </w:tcPr>
          <w:p w14:paraId="7A038E51" w14:textId="77777777" w:rsidR="00C177C7" w:rsidRPr="00AB6295" w:rsidRDefault="00C177C7" w:rsidP="00E73206">
            <w:pPr>
              <w:spacing w:before="20" w:after="20"/>
              <w:ind w:right="113"/>
              <w:jc w:val="right"/>
              <w:rPr>
                <w:rFonts w:ascii="Arial" w:hAnsi="Arial" w:cs="Arial"/>
                <w:sz w:val="18"/>
                <w:szCs w:val="18"/>
                <w:lang w:eastAsia="es-MX"/>
              </w:rPr>
            </w:pPr>
            <w:r w:rsidRPr="00AB6295">
              <w:rPr>
                <w:rFonts w:ascii="Arial" w:hAnsi="Arial" w:cs="Arial"/>
                <w:sz w:val="18"/>
                <w:szCs w:val="18"/>
                <w:lang w:eastAsia="es-MX"/>
              </w:rPr>
              <w:t>4.9</w:t>
            </w:r>
          </w:p>
        </w:tc>
        <w:tc>
          <w:tcPr>
            <w:tcW w:w="709" w:type="dxa"/>
            <w:tcBorders>
              <w:top w:val="nil"/>
              <w:left w:val="nil"/>
              <w:bottom w:val="nil"/>
              <w:right w:val="nil"/>
            </w:tcBorders>
            <w:shd w:val="clear" w:color="auto" w:fill="FFFFFF" w:themeFill="background1"/>
            <w:vAlign w:val="center"/>
          </w:tcPr>
          <w:p w14:paraId="7577B607"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sidRPr="00AB6295">
              <w:rPr>
                <w:rFonts w:cs="Arial"/>
                <w:color w:val="auto"/>
                <w:sz w:val="18"/>
                <w:szCs w:val="18"/>
                <w:lang w:val="es-MX" w:eastAsia="es-MX"/>
              </w:rPr>
              <w:t>8.1</w:t>
            </w:r>
          </w:p>
        </w:tc>
        <w:tc>
          <w:tcPr>
            <w:tcW w:w="693" w:type="dxa"/>
            <w:tcBorders>
              <w:top w:val="nil"/>
              <w:left w:val="nil"/>
              <w:bottom w:val="nil"/>
              <w:right w:val="nil"/>
            </w:tcBorders>
            <w:shd w:val="clear" w:color="auto" w:fill="FFFFFF" w:themeFill="background1"/>
            <w:vAlign w:val="center"/>
          </w:tcPr>
          <w:p w14:paraId="0C8F2D72"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r>
              <w:rPr>
                <w:rFonts w:cs="Arial"/>
                <w:color w:val="auto"/>
                <w:sz w:val="18"/>
                <w:szCs w:val="18"/>
                <w:lang w:val="es-MX" w:eastAsia="es-MX"/>
              </w:rPr>
              <w:t>5.</w:t>
            </w:r>
            <w:r w:rsidRPr="00AB6295">
              <w:rPr>
                <w:rFonts w:cs="Arial"/>
                <w:color w:val="auto"/>
                <w:sz w:val="18"/>
                <w:szCs w:val="18"/>
                <w:lang w:val="es-MX" w:eastAsia="es-MX"/>
              </w:rPr>
              <w:t>8</w:t>
            </w:r>
          </w:p>
        </w:tc>
        <w:tc>
          <w:tcPr>
            <w:tcW w:w="992" w:type="dxa"/>
            <w:tcBorders>
              <w:top w:val="nil"/>
              <w:left w:val="nil"/>
              <w:bottom w:val="nil"/>
              <w:right w:val="double" w:sz="4" w:space="0" w:color="auto"/>
            </w:tcBorders>
            <w:shd w:val="clear" w:color="auto" w:fill="FFFFFF" w:themeFill="background1"/>
            <w:vAlign w:val="center"/>
          </w:tcPr>
          <w:p w14:paraId="6BCF2E7A"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sidRPr="00AB6295">
              <w:rPr>
                <w:rFonts w:cs="Arial"/>
                <w:color w:val="auto"/>
                <w:sz w:val="18"/>
                <w:szCs w:val="18"/>
                <w:lang w:val="es-MX" w:eastAsia="es-MX"/>
              </w:rPr>
              <w:t>5.</w:t>
            </w:r>
            <w:r>
              <w:rPr>
                <w:rFonts w:cs="Arial"/>
                <w:color w:val="auto"/>
                <w:sz w:val="18"/>
                <w:szCs w:val="18"/>
                <w:lang w:val="es-MX" w:eastAsia="es-MX"/>
              </w:rPr>
              <w:t>3</w:t>
            </w:r>
          </w:p>
        </w:tc>
        <w:tc>
          <w:tcPr>
            <w:tcW w:w="992" w:type="dxa"/>
            <w:tcBorders>
              <w:top w:val="nil"/>
              <w:left w:val="nil"/>
              <w:bottom w:val="nil"/>
              <w:right w:val="double" w:sz="4" w:space="0" w:color="auto"/>
            </w:tcBorders>
            <w:shd w:val="clear" w:color="auto" w:fill="FFFFFF" w:themeFill="background1"/>
            <w:vAlign w:val="center"/>
          </w:tcPr>
          <w:p w14:paraId="0636E3C7"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r>
              <w:rPr>
                <w:rFonts w:cs="Arial"/>
                <w:color w:val="auto"/>
                <w:sz w:val="18"/>
                <w:szCs w:val="18"/>
                <w:lang w:val="es-MX" w:eastAsia="es-MX"/>
              </w:rPr>
              <w:t>6.8</w:t>
            </w:r>
          </w:p>
        </w:tc>
      </w:tr>
      <w:tr w:rsidR="00C177C7" w:rsidRPr="00AB6295" w14:paraId="3EA8F521" w14:textId="77777777" w:rsidTr="00E73206">
        <w:trPr>
          <w:jc w:val="center"/>
        </w:trPr>
        <w:tc>
          <w:tcPr>
            <w:tcW w:w="3702" w:type="dxa"/>
            <w:tcBorders>
              <w:top w:val="nil"/>
              <w:left w:val="double" w:sz="4" w:space="0" w:color="auto"/>
              <w:bottom w:val="double" w:sz="4" w:space="0" w:color="auto"/>
              <w:right w:val="single" w:sz="4" w:space="0" w:color="auto"/>
            </w:tcBorders>
            <w:vAlign w:val="center"/>
          </w:tcPr>
          <w:p w14:paraId="0CB966DD" w14:textId="77777777" w:rsidR="00C177C7" w:rsidRPr="00AB6295" w:rsidRDefault="00C177C7" w:rsidP="00E73206">
            <w:pPr>
              <w:pStyle w:val="not31"/>
              <w:keepLines w:val="0"/>
              <w:widowControl w:val="0"/>
              <w:spacing w:before="20" w:after="20"/>
              <w:ind w:left="48" w:right="-79"/>
              <w:jc w:val="left"/>
              <w:rPr>
                <w:rFonts w:cs="Arial"/>
                <w:color w:val="auto"/>
                <w:sz w:val="18"/>
                <w:szCs w:val="18"/>
                <w:lang w:val="es-MX" w:eastAsia="es-MX"/>
              </w:rPr>
            </w:pPr>
            <w:r w:rsidRPr="00AB6295">
              <w:rPr>
                <w:rFonts w:cs="Arial"/>
                <w:color w:val="auto"/>
                <w:sz w:val="18"/>
                <w:szCs w:val="18"/>
                <w:lang w:val="es-MX" w:eastAsia="es-MX"/>
              </w:rPr>
              <w:t>Discrepancia Estadística</w:t>
            </w:r>
          </w:p>
        </w:tc>
        <w:tc>
          <w:tcPr>
            <w:tcW w:w="819" w:type="dxa"/>
            <w:tcBorders>
              <w:top w:val="nil"/>
              <w:left w:val="single" w:sz="4" w:space="0" w:color="auto"/>
              <w:bottom w:val="double" w:sz="4" w:space="0" w:color="auto"/>
              <w:right w:val="nil"/>
            </w:tcBorders>
            <w:shd w:val="clear" w:color="auto" w:fill="auto"/>
            <w:vAlign w:val="center"/>
          </w:tcPr>
          <w:p w14:paraId="3FABDF9D" w14:textId="77777777" w:rsidR="00C177C7" w:rsidRPr="00AB6295" w:rsidRDefault="00C177C7" w:rsidP="00E73206">
            <w:pPr>
              <w:pStyle w:val="not31"/>
              <w:keepLines w:val="0"/>
              <w:widowControl w:val="0"/>
              <w:spacing w:before="20" w:after="20"/>
              <w:ind w:right="170"/>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725" w:type="dxa"/>
            <w:tcBorders>
              <w:top w:val="nil"/>
              <w:left w:val="nil"/>
              <w:bottom w:val="double" w:sz="4" w:space="0" w:color="auto"/>
              <w:right w:val="nil"/>
            </w:tcBorders>
            <w:vAlign w:val="center"/>
          </w:tcPr>
          <w:p w14:paraId="3FAE64C4" w14:textId="77777777" w:rsidR="00C177C7" w:rsidRPr="00AB6295" w:rsidRDefault="00C177C7" w:rsidP="00E73206">
            <w:pPr>
              <w:spacing w:before="20" w:after="20"/>
              <w:ind w:right="113"/>
              <w:jc w:val="right"/>
              <w:rPr>
                <w:rFonts w:ascii="Arial" w:hAnsi="Arial" w:cs="Arial"/>
                <w:sz w:val="18"/>
                <w:szCs w:val="18"/>
                <w:lang w:eastAsia="es-MX"/>
              </w:rPr>
            </w:pPr>
            <w:proofErr w:type="gramStart"/>
            <w:r w:rsidRPr="00AB6295">
              <w:rPr>
                <w:rFonts w:ascii="Arial" w:hAnsi="Arial" w:cs="Arial"/>
                <w:sz w:val="18"/>
                <w:szCs w:val="18"/>
                <w:lang w:eastAsia="es-MX"/>
              </w:rPr>
              <w:t>N.A</w:t>
            </w:r>
            <w:proofErr w:type="gramEnd"/>
          </w:p>
        </w:tc>
        <w:tc>
          <w:tcPr>
            <w:tcW w:w="709" w:type="dxa"/>
            <w:tcBorders>
              <w:top w:val="nil"/>
              <w:left w:val="nil"/>
              <w:bottom w:val="double" w:sz="4" w:space="0" w:color="auto"/>
              <w:right w:val="nil"/>
            </w:tcBorders>
            <w:shd w:val="clear" w:color="auto" w:fill="FFFFFF" w:themeFill="background1"/>
            <w:vAlign w:val="center"/>
          </w:tcPr>
          <w:p w14:paraId="205C7C7C"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693" w:type="dxa"/>
            <w:tcBorders>
              <w:top w:val="nil"/>
              <w:left w:val="nil"/>
              <w:bottom w:val="double" w:sz="4" w:space="0" w:color="auto"/>
              <w:right w:val="nil"/>
            </w:tcBorders>
            <w:shd w:val="clear" w:color="auto" w:fill="FFFFFF" w:themeFill="background1"/>
            <w:vAlign w:val="center"/>
          </w:tcPr>
          <w:p w14:paraId="17206D40" w14:textId="77777777" w:rsidR="00C177C7" w:rsidRPr="00AB6295" w:rsidRDefault="00C177C7" w:rsidP="00E73206">
            <w:pPr>
              <w:pStyle w:val="not31"/>
              <w:keepLines w:val="0"/>
              <w:widowControl w:val="0"/>
              <w:spacing w:before="20" w:after="20"/>
              <w:ind w:left="-108" w:right="113"/>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992" w:type="dxa"/>
            <w:tcBorders>
              <w:top w:val="nil"/>
              <w:left w:val="nil"/>
              <w:bottom w:val="double" w:sz="4" w:space="0" w:color="auto"/>
              <w:right w:val="double" w:sz="4" w:space="0" w:color="auto"/>
            </w:tcBorders>
            <w:shd w:val="clear" w:color="auto" w:fill="FFFFFF" w:themeFill="background1"/>
            <w:vAlign w:val="center"/>
          </w:tcPr>
          <w:p w14:paraId="520BFFAC"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c>
          <w:tcPr>
            <w:tcW w:w="992" w:type="dxa"/>
            <w:tcBorders>
              <w:top w:val="nil"/>
              <w:left w:val="nil"/>
              <w:bottom w:val="double" w:sz="4" w:space="0" w:color="auto"/>
              <w:right w:val="double" w:sz="4" w:space="0" w:color="auto"/>
            </w:tcBorders>
            <w:shd w:val="clear" w:color="auto" w:fill="FFFFFF" w:themeFill="background1"/>
            <w:vAlign w:val="center"/>
          </w:tcPr>
          <w:p w14:paraId="315C5801" w14:textId="77777777" w:rsidR="00C177C7" w:rsidRPr="00AB6295" w:rsidRDefault="00C177C7" w:rsidP="00E73206">
            <w:pPr>
              <w:pStyle w:val="not31"/>
              <w:keepLines w:val="0"/>
              <w:widowControl w:val="0"/>
              <w:spacing w:before="20" w:after="20"/>
              <w:ind w:right="227"/>
              <w:jc w:val="right"/>
              <w:rPr>
                <w:rFonts w:cs="Arial"/>
                <w:color w:val="auto"/>
                <w:sz w:val="18"/>
                <w:szCs w:val="18"/>
                <w:lang w:val="es-MX" w:eastAsia="es-MX"/>
              </w:rPr>
            </w:pPr>
            <w:proofErr w:type="gramStart"/>
            <w:r w:rsidRPr="00AB6295">
              <w:rPr>
                <w:rFonts w:cs="Arial"/>
                <w:color w:val="auto"/>
                <w:sz w:val="18"/>
                <w:szCs w:val="18"/>
                <w:lang w:val="es-MX" w:eastAsia="es-MX"/>
              </w:rPr>
              <w:t>N.A</w:t>
            </w:r>
            <w:proofErr w:type="gramEnd"/>
          </w:p>
        </w:tc>
      </w:tr>
    </w:tbl>
    <w:p w14:paraId="5142DC2F" w14:textId="5427E1B1" w:rsidR="00C177C7" w:rsidRDefault="00C177C7" w:rsidP="00100026">
      <w:pPr>
        <w:pStyle w:val="not31"/>
        <w:keepLines w:val="0"/>
        <w:widowControl w:val="0"/>
        <w:spacing w:before="0"/>
        <w:ind w:left="142" w:right="0"/>
        <w:rPr>
          <w:rFonts w:cs="Arial"/>
          <w:color w:val="auto"/>
          <w:sz w:val="16"/>
          <w:szCs w:val="16"/>
          <w:lang w:val="es-MX" w:eastAsia="es-MX"/>
        </w:rPr>
      </w:pPr>
      <w:r w:rsidRPr="001425AD">
        <w:rPr>
          <w:rFonts w:cs="Arial"/>
          <w:color w:val="auto"/>
          <w:sz w:val="16"/>
          <w:szCs w:val="16"/>
          <w:vertAlign w:val="superscript"/>
          <w:lang w:val="es-MX" w:eastAsia="es-MX"/>
        </w:rPr>
        <w:t>R</w:t>
      </w:r>
      <w:proofErr w:type="gramStart"/>
      <w:r w:rsidRPr="001425AD">
        <w:rPr>
          <w:rFonts w:cs="Arial"/>
          <w:color w:val="auto"/>
          <w:sz w:val="16"/>
          <w:szCs w:val="16"/>
          <w:vertAlign w:val="superscript"/>
          <w:lang w:val="es-MX" w:eastAsia="es-MX"/>
        </w:rPr>
        <w:t>/</w:t>
      </w:r>
      <w:r w:rsidRPr="00D03231">
        <w:rPr>
          <w:rFonts w:cs="Arial"/>
          <w:color w:val="auto"/>
          <w:sz w:val="18"/>
          <w:szCs w:val="18"/>
          <w:vertAlign w:val="superscript"/>
          <w:lang w:val="es-MX" w:eastAsia="es-MX"/>
        </w:rPr>
        <w:t xml:space="preserve"> </w:t>
      </w:r>
      <w:r w:rsidRPr="00D03231">
        <w:rPr>
          <w:rFonts w:cs="Arial"/>
          <w:color w:val="auto"/>
          <w:sz w:val="18"/>
          <w:szCs w:val="18"/>
          <w:lang w:val="es-MX" w:eastAsia="es-MX"/>
        </w:rPr>
        <w:t xml:space="preserve"> </w:t>
      </w:r>
      <w:r w:rsidRPr="001425AD">
        <w:rPr>
          <w:rFonts w:cs="Arial"/>
          <w:color w:val="auto"/>
          <w:sz w:val="16"/>
          <w:szCs w:val="16"/>
          <w:lang w:val="es-MX" w:eastAsia="es-MX"/>
        </w:rPr>
        <w:t>Cifras</w:t>
      </w:r>
      <w:proofErr w:type="gramEnd"/>
      <w:r w:rsidRPr="001425AD">
        <w:rPr>
          <w:rFonts w:cs="Arial"/>
          <w:color w:val="auto"/>
          <w:sz w:val="16"/>
          <w:szCs w:val="16"/>
          <w:lang w:val="es-MX" w:eastAsia="es-MX"/>
        </w:rPr>
        <w:t xml:space="preserve"> revisadas.</w:t>
      </w:r>
    </w:p>
    <w:p w14:paraId="56C2B33F" w14:textId="190A35CB" w:rsidR="00DA3BDB" w:rsidRPr="00D03231" w:rsidRDefault="00DA3BDB" w:rsidP="00100026">
      <w:pPr>
        <w:pStyle w:val="not31"/>
        <w:keepLines w:val="0"/>
        <w:widowControl w:val="0"/>
        <w:spacing w:before="0"/>
        <w:ind w:left="142" w:right="0"/>
        <w:rPr>
          <w:rFonts w:cs="Arial"/>
          <w:color w:val="auto"/>
          <w:sz w:val="18"/>
          <w:szCs w:val="18"/>
          <w:vertAlign w:val="superscript"/>
          <w:lang w:val="es-MX" w:eastAsia="es-MX"/>
        </w:rPr>
      </w:pPr>
      <w:r w:rsidRPr="00D03231">
        <w:rPr>
          <w:rFonts w:cs="Arial"/>
          <w:color w:val="auto"/>
          <w:sz w:val="18"/>
          <w:szCs w:val="18"/>
          <w:vertAlign w:val="superscript"/>
          <w:lang w:val="es-MX" w:eastAsia="es-MX"/>
        </w:rPr>
        <w:t>P/</w:t>
      </w:r>
      <w:r w:rsidRPr="00D03231">
        <w:rPr>
          <w:rFonts w:cs="Arial"/>
          <w:color w:val="auto"/>
          <w:sz w:val="18"/>
          <w:szCs w:val="18"/>
          <w:lang w:val="es-MX" w:eastAsia="es-MX"/>
        </w:rPr>
        <w:t xml:space="preserve"> </w:t>
      </w:r>
      <w:r w:rsidRPr="00CF678A">
        <w:rPr>
          <w:rFonts w:cs="Arial"/>
          <w:color w:val="auto"/>
          <w:sz w:val="16"/>
          <w:szCs w:val="16"/>
          <w:lang w:val="es-MX" w:eastAsia="es-MX"/>
        </w:rPr>
        <w:t>Cifras preliminares.</w:t>
      </w:r>
    </w:p>
    <w:p w14:paraId="260279BF" w14:textId="31711868" w:rsidR="004C5A6C" w:rsidRDefault="00C177C7" w:rsidP="00100026">
      <w:pPr>
        <w:pStyle w:val="not31"/>
        <w:keepLines w:val="0"/>
        <w:widowControl w:val="0"/>
        <w:spacing w:before="0"/>
        <w:ind w:left="142" w:right="0"/>
        <w:rPr>
          <w:rFonts w:cs="Arial"/>
          <w:color w:val="auto"/>
          <w:sz w:val="16"/>
          <w:szCs w:val="16"/>
          <w:lang w:val="es-MX" w:eastAsia="es-MX"/>
        </w:rPr>
      </w:pPr>
      <w:proofErr w:type="gramStart"/>
      <w:r w:rsidRPr="001425AD">
        <w:rPr>
          <w:rFonts w:cs="Arial"/>
          <w:color w:val="auto"/>
          <w:sz w:val="16"/>
          <w:szCs w:val="16"/>
          <w:lang w:val="es-MX" w:eastAsia="es-MX"/>
        </w:rPr>
        <w:t>N.A  No</w:t>
      </w:r>
      <w:proofErr w:type="gramEnd"/>
      <w:r w:rsidRPr="001425AD">
        <w:rPr>
          <w:rFonts w:cs="Arial"/>
          <w:color w:val="auto"/>
          <w:sz w:val="16"/>
          <w:szCs w:val="16"/>
          <w:lang w:val="es-MX" w:eastAsia="es-MX"/>
        </w:rPr>
        <w:t xml:space="preserve"> aplica.</w:t>
      </w:r>
    </w:p>
    <w:p w14:paraId="6CED06FE" w14:textId="77777777" w:rsidR="000A532D" w:rsidRPr="004A49E1" w:rsidRDefault="000A532D" w:rsidP="00100026">
      <w:pPr>
        <w:pStyle w:val="p1"/>
        <w:keepLines w:val="0"/>
        <w:spacing w:before="0"/>
        <w:ind w:left="142"/>
        <w:rPr>
          <w:color w:val="auto"/>
          <w:sz w:val="16"/>
          <w:szCs w:val="16"/>
        </w:rPr>
      </w:pPr>
      <w:r w:rsidRPr="004A49E1">
        <w:rPr>
          <w:rFonts w:cs="Arial"/>
          <w:color w:val="000000"/>
          <w:sz w:val="16"/>
          <w:szCs w:val="16"/>
        </w:rPr>
        <w:t>Fuente:  INEGI</w:t>
      </w:r>
      <w:r w:rsidRPr="004A49E1">
        <w:rPr>
          <w:rFonts w:cs="Arial"/>
          <w:color w:val="000000" w:themeColor="text1"/>
          <w:sz w:val="16"/>
          <w:szCs w:val="16"/>
        </w:rPr>
        <w:t>.</w:t>
      </w:r>
    </w:p>
    <w:p w14:paraId="6F356882" w14:textId="6EF743A7" w:rsidR="00901E0F" w:rsidRDefault="00901E0F" w:rsidP="004C5A6C">
      <w:pPr>
        <w:pStyle w:val="Textoindependiente"/>
        <w:spacing w:before="240"/>
        <w:rPr>
          <w:rFonts w:cs="Arial"/>
          <w:szCs w:val="24"/>
        </w:rPr>
      </w:pPr>
      <w:r w:rsidRPr="00D82B83">
        <w:rPr>
          <w:b/>
          <w:bCs/>
          <w:i/>
          <w:iCs/>
        </w:rPr>
        <w:t>Indicador Trimestral del Ahorro Bruto</w:t>
      </w:r>
    </w:p>
    <w:p w14:paraId="1D0178CD" w14:textId="1EF931EB" w:rsidR="001107A9" w:rsidRPr="0057720D" w:rsidRDefault="001107A9" w:rsidP="001107A9">
      <w:pPr>
        <w:pStyle w:val="Textoindependiente"/>
        <w:spacing w:before="240"/>
        <w:rPr>
          <w:rFonts w:cs="Arial"/>
          <w:szCs w:val="24"/>
        </w:rPr>
      </w:pPr>
      <w:r w:rsidRPr="0057720D">
        <w:rPr>
          <w:rFonts w:cs="Arial"/>
          <w:szCs w:val="24"/>
        </w:rPr>
        <w:t xml:space="preserve">El ITAB se situó en </w:t>
      </w:r>
      <w:r>
        <w:rPr>
          <w:rFonts w:cs="Arial"/>
          <w:szCs w:val="24"/>
        </w:rPr>
        <w:t>5</w:t>
      </w:r>
      <w:r w:rsidRPr="0057720D">
        <w:rPr>
          <w:rFonts w:cs="Arial"/>
          <w:szCs w:val="24"/>
        </w:rPr>
        <w:t>,</w:t>
      </w:r>
      <w:r>
        <w:rPr>
          <w:rFonts w:cs="Arial"/>
          <w:szCs w:val="24"/>
        </w:rPr>
        <w:t>146</w:t>
      </w:r>
      <w:r w:rsidRPr="0057720D">
        <w:rPr>
          <w:rFonts w:cs="Arial"/>
          <w:szCs w:val="24"/>
        </w:rPr>
        <w:t>,</w:t>
      </w:r>
      <w:r>
        <w:rPr>
          <w:rFonts w:cs="Arial"/>
          <w:szCs w:val="24"/>
        </w:rPr>
        <w:t>479</w:t>
      </w:r>
      <w:r w:rsidRPr="0057720D">
        <w:rPr>
          <w:rFonts w:cs="Arial"/>
          <w:szCs w:val="24"/>
        </w:rPr>
        <w:t xml:space="preserve"> millones de pesos corrientes (5</w:t>
      </w:r>
      <w:r>
        <w:rPr>
          <w:rFonts w:cs="Arial"/>
          <w:szCs w:val="24"/>
        </w:rPr>
        <w:t>.1</w:t>
      </w:r>
      <w:r w:rsidRPr="0057720D">
        <w:rPr>
          <w:rFonts w:cs="Arial"/>
          <w:szCs w:val="24"/>
        </w:rPr>
        <w:t xml:space="preserve"> billones de pesos) en el trimestre </w:t>
      </w:r>
      <w:r w:rsidR="00C177C7">
        <w:rPr>
          <w:rFonts w:cs="Arial"/>
          <w:szCs w:val="24"/>
        </w:rPr>
        <w:t>enero-marzo de 2021</w:t>
      </w:r>
      <w:r w:rsidRPr="0057720D">
        <w:rPr>
          <w:rFonts w:cs="Arial"/>
          <w:szCs w:val="24"/>
        </w:rPr>
        <w:t xml:space="preserve"> </w:t>
      </w:r>
      <w:r w:rsidR="00DA3BDB">
        <w:rPr>
          <w:rFonts w:cs="Arial"/>
          <w:szCs w:val="24"/>
        </w:rPr>
        <w:t>y</w:t>
      </w:r>
      <w:r w:rsidRPr="0057720D">
        <w:rPr>
          <w:rFonts w:cs="Arial"/>
          <w:szCs w:val="24"/>
        </w:rPr>
        <w:t xml:space="preserve"> significó el </w:t>
      </w:r>
      <w:r>
        <w:rPr>
          <w:rFonts w:cs="Arial"/>
          <w:szCs w:val="24"/>
        </w:rPr>
        <w:t>20</w:t>
      </w:r>
      <w:r w:rsidRPr="0057720D">
        <w:rPr>
          <w:rFonts w:cs="Arial"/>
          <w:szCs w:val="24"/>
        </w:rPr>
        <w:t>.</w:t>
      </w:r>
      <w:r>
        <w:rPr>
          <w:rFonts w:cs="Arial"/>
          <w:szCs w:val="24"/>
        </w:rPr>
        <w:t>7</w:t>
      </w:r>
      <w:r w:rsidRPr="0057720D">
        <w:rPr>
          <w:rFonts w:cs="Arial"/>
          <w:szCs w:val="24"/>
        </w:rPr>
        <w:t>% del Producto Interno Bruto.</w:t>
      </w:r>
    </w:p>
    <w:p w14:paraId="5C841A0D" w14:textId="77777777" w:rsidR="001107A9" w:rsidRPr="0057720D" w:rsidRDefault="001107A9" w:rsidP="001107A9">
      <w:pPr>
        <w:pStyle w:val="Textoindependiente"/>
        <w:spacing w:before="240"/>
        <w:rPr>
          <w:rFonts w:cs="Arial"/>
          <w:szCs w:val="24"/>
        </w:rPr>
      </w:pPr>
      <w:r w:rsidRPr="0057720D">
        <w:rPr>
          <w:rFonts w:cs="Arial"/>
          <w:szCs w:val="24"/>
        </w:rPr>
        <w:t xml:space="preserve">Durante el periodo de referencia el Indicador Trimestral del Ahorro Bruto de la Economía Interna participó con el </w:t>
      </w:r>
      <w:r>
        <w:rPr>
          <w:rFonts w:cs="Arial"/>
          <w:szCs w:val="24"/>
        </w:rPr>
        <w:t>18</w:t>
      </w:r>
      <w:r w:rsidRPr="0057720D">
        <w:rPr>
          <w:rFonts w:cs="Arial"/>
          <w:szCs w:val="24"/>
        </w:rPr>
        <w:t xml:space="preserve">.9% del PIB, registrando </w:t>
      </w:r>
      <w:r>
        <w:rPr>
          <w:rFonts w:cs="Arial"/>
          <w:szCs w:val="24"/>
        </w:rPr>
        <w:t>4</w:t>
      </w:r>
      <w:r w:rsidRPr="0057720D">
        <w:rPr>
          <w:rFonts w:cs="Arial"/>
          <w:szCs w:val="24"/>
        </w:rPr>
        <w:t>,</w:t>
      </w:r>
      <w:r>
        <w:rPr>
          <w:rFonts w:cs="Arial"/>
          <w:szCs w:val="24"/>
        </w:rPr>
        <w:t>713</w:t>
      </w:r>
      <w:r w:rsidRPr="0057720D">
        <w:rPr>
          <w:rFonts w:cs="Arial"/>
          <w:szCs w:val="24"/>
        </w:rPr>
        <w:t>,0</w:t>
      </w:r>
      <w:r>
        <w:rPr>
          <w:rFonts w:cs="Arial"/>
          <w:szCs w:val="24"/>
        </w:rPr>
        <w:t>79</w:t>
      </w:r>
      <w:r w:rsidRPr="0057720D">
        <w:rPr>
          <w:rFonts w:cs="Arial"/>
          <w:szCs w:val="24"/>
        </w:rPr>
        <w:t xml:space="preserve"> millones de pesos. </w:t>
      </w:r>
    </w:p>
    <w:p w14:paraId="52E84CCC" w14:textId="72AD8B3D" w:rsidR="001107A9" w:rsidRPr="0057720D" w:rsidRDefault="001107A9" w:rsidP="001107A9">
      <w:pPr>
        <w:pStyle w:val="Textoindependiente"/>
        <w:spacing w:before="240"/>
        <w:rPr>
          <w:rFonts w:cs="Arial"/>
          <w:szCs w:val="24"/>
        </w:rPr>
      </w:pPr>
      <w:r w:rsidRPr="0057720D">
        <w:rPr>
          <w:rFonts w:cs="Arial"/>
          <w:szCs w:val="24"/>
        </w:rPr>
        <w:t xml:space="preserve">Por su parte, la contribución del Resto del Mundo, que significa el financiamiento proveniente del exterior, representó </w:t>
      </w:r>
      <w:r>
        <w:rPr>
          <w:rFonts w:cs="Arial"/>
          <w:szCs w:val="24"/>
        </w:rPr>
        <w:t>1</w:t>
      </w:r>
      <w:r w:rsidRPr="0057720D">
        <w:rPr>
          <w:rFonts w:cs="Arial"/>
          <w:szCs w:val="24"/>
        </w:rPr>
        <w:t>.</w:t>
      </w:r>
      <w:r>
        <w:rPr>
          <w:rFonts w:cs="Arial"/>
          <w:szCs w:val="24"/>
        </w:rPr>
        <w:t>7</w:t>
      </w:r>
      <w:r w:rsidRPr="0057720D">
        <w:rPr>
          <w:rFonts w:cs="Arial"/>
          <w:szCs w:val="24"/>
        </w:rPr>
        <w:t xml:space="preserve">% respecto al PIB, es decir, </w:t>
      </w:r>
      <w:r>
        <w:rPr>
          <w:rFonts w:cs="Arial"/>
          <w:szCs w:val="24"/>
        </w:rPr>
        <w:t>433</w:t>
      </w:r>
      <w:r w:rsidRPr="0057720D">
        <w:rPr>
          <w:rFonts w:cs="Arial"/>
          <w:szCs w:val="24"/>
        </w:rPr>
        <w:t>,</w:t>
      </w:r>
      <w:r>
        <w:rPr>
          <w:rFonts w:cs="Arial"/>
          <w:szCs w:val="24"/>
        </w:rPr>
        <w:t>400</w:t>
      </w:r>
      <w:r w:rsidRPr="0057720D">
        <w:rPr>
          <w:rFonts w:cs="Arial"/>
          <w:szCs w:val="24"/>
        </w:rPr>
        <w:t xml:space="preserve"> millones de pesos en el</w:t>
      </w:r>
      <w:r w:rsidR="00D8399F">
        <w:rPr>
          <w:rFonts w:cs="Arial"/>
          <w:szCs w:val="24"/>
        </w:rPr>
        <w:t xml:space="preserve"> primer</w:t>
      </w:r>
      <w:r w:rsidRPr="0057720D">
        <w:rPr>
          <w:rFonts w:cs="Arial"/>
          <w:szCs w:val="24"/>
        </w:rPr>
        <w:t xml:space="preserve"> trimestre </w:t>
      </w:r>
      <w:r w:rsidR="00D8399F">
        <w:rPr>
          <w:rFonts w:cs="Arial"/>
          <w:szCs w:val="24"/>
        </w:rPr>
        <w:t>de este año</w:t>
      </w:r>
      <w:r w:rsidRPr="0057720D">
        <w:rPr>
          <w:rFonts w:cs="Arial"/>
          <w:szCs w:val="24"/>
        </w:rPr>
        <w:t>.</w:t>
      </w:r>
    </w:p>
    <w:p w14:paraId="3BD945EC" w14:textId="77777777" w:rsidR="001107A9" w:rsidRDefault="001107A9">
      <w:pPr>
        <w:widowControl/>
        <w:rPr>
          <w:rFonts w:ascii="Arial" w:hAnsi="Arial" w:cs="Arial"/>
          <w:szCs w:val="22"/>
        </w:rPr>
      </w:pPr>
      <w:r>
        <w:rPr>
          <w:rFonts w:cs="Arial"/>
          <w:szCs w:val="22"/>
        </w:rPr>
        <w:br w:type="page"/>
      </w:r>
    </w:p>
    <w:p w14:paraId="4F8E1663" w14:textId="77777777" w:rsidR="00CF64DE" w:rsidRDefault="00CF64DE" w:rsidP="001107A9">
      <w:pPr>
        <w:pStyle w:val="p0"/>
        <w:spacing w:before="120"/>
        <w:jc w:val="center"/>
        <w:rPr>
          <w:rFonts w:cs="Arial"/>
          <w:color w:val="auto"/>
          <w:sz w:val="20"/>
          <w:szCs w:val="22"/>
        </w:rPr>
      </w:pPr>
    </w:p>
    <w:p w14:paraId="3A10932A" w14:textId="4E593689" w:rsidR="001107A9" w:rsidRPr="001E3DC3" w:rsidRDefault="001107A9" w:rsidP="00CF64DE">
      <w:pPr>
        <w:pStyle w:val="p0"/>
        <w:spacing w:before="0"/>
        <w:jc w:val="center"/>
        <w:rPr>
          <w:rFonts w:cs="Arial"/>
          <w:color w:val="auto"/>
          <w:sz w:val="20"/>
          <w:szCs w:val="22"/>
        </w:rPr>
      </w:pPr>
      <w:r w:rsidRPr="001E3DC3">
        <w:rPr>
          <w:rFonts w:cs="Arial"/>
          <w:color w:val="auto"/>
          <w:sz w:val="20"/>
          <w:szCs w:val="22"/>
        </w:rPr>
        <w:t>Cuadro 6</w:t>
      </w:r>
    </w:p>
    <w:p w14:paraId="28EA7AF1" w14:textId="7D521462" w:rsidR="001107A9" w:rsidRDefault="001107A9" w:rsidP="001107A9">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Indicador Trimestral del Ahorro Bruto</w:t>
      </w:r>
      <w:r w:rsidR="00DA3BDB">
        <w:rPr>
          <w:rFonts w:cs="Arial"/>
          <w:b/>
          <w:smallCaps/>
          <w:color w:val="auto"/>
          <w:sz w:val="22"/>
          <w:szCs w:val="22"/>
          <w:lang w:eastAsia="es-MX"/>
        </w:rPr>
        <w:t xml:space="preserve"> por componentes</w:t>
      </w:r>
      <w:r>
        <w:rPr>
          <w:rFonts w:cs="Arial"/>
          <w:b/>
          <w:smallCaps/>
          <w:color w:val="auto"/>
          <w:sz w:val="22"/>
          <w:szCs w:val="22"/>
          <w:lang w:eastAsia="es-MX"/>
        </w:rPr>
        <w:t xml:space="preserve"> </w:t>
      </w:r>
      <w:r>
        <w:rPr>
          <w:rFonts w:cs="Arial"/>
          <w:b/>
          <w:smallCaps/>
          <w:color w:val="auto"/>
          <w:sz w:val="22"/>
          <w:szCs w:val="22"/>
          <w:lang w:eastAsia="es-MX"/>
        </w:rPr>
        <w:br/>
        <w:t>al primer trimestre de 2021</w:t>
      </w:r>
    </w:p>
    <w:p w14:paraId="467B2A5F" w14:textId="3EA46B0E" w:rsidR="001107A9" w:rsidRPr="00100026" w:rsidRDefault="001107A9" w:rsidP="001107A9">
      <w:pPr>
        <w:pStyle w:val="p0"/>
        <w:keepNext/>
        <w:widowControl/>
        <w:spacing w:before="0"/>
        <w:jc w:val="center"/>
        <w:rPr>
          <w:rFonts w:cs="Arial"/>
          <w:bCs/>
          <w:color w:val="auto"/>
          <w:sz w:val="18"/>
          <w:szCs w:val="18"/>
          <w:lang w:val="es-MX" w:eastAsia="es-MX"/>
        </w:rPr>
      </w:pPr>
      <w:r w:rsidRPr="00100026">
        <w:rPr>
          <w:rFonts w:cs="Arial"/>
          <w:bCs/>
          <w:color w:val="auto"/>
          <w:sz w:val="18"/>
          <w:szCs w:val="18"/>
          <w:lang w:eastAsia="es-MX"/>
        </w:rPr>
        <w:t>(Millones de pesos</w:t>
      </w:r>
      <w:r w:rsidR="001F4FC1" w:rsidRPr="00100026">
        <w:rPr>
          <w:rFonts w:cs="Arial"/>
          <w:bCs/>
          <w:color w:val="auto"/>
          <w:sz w:val="18"/>
          <w:szCs w:val="18"/>
          <w:lang w:eastAsia="es-MX"/>
        </w:rPr>
        <w:t xml:space="preserve"> corrientes</w:t>
      </w:r>
      <w:r w:rsidRPr="00100026">
        <w:rPr>
          <w:rFonts w:cs="Arial"/>
          <w:bCs/>
          <w:color w:val="auto"/>
          <w:sz w:val="18"/>
          <w:szCs w:val="18"/>
          <w:lang w:eastAsia="es-MX"/>
        </w:rPr>
        <w:t>)</w:t>
      </w:r>
    </w:p>
    <w:tbl>
      <w:tblPr>
        <w:tblStyle w:val="Tablaconcuadrcula"/>
        <w:tblW w:w="9483" w:type="dxa"/>
        <w:jc w:val="center"/>
        <w:tblLayout w:type="fixed"/>
        <w:tblLook w:val="04A0" w:firstRow="1" w:lastRow="0" w:firstColumn="1" w:lastColumn="0" w:noHBand="0" w:noVBand="1"/>
      </w:tblPr>
      <w:tblGrid>
        <w:gridCol w:w="2263"/>
        <w:gridCol w:w="1134"/>
        <w:gridCol w:w="1134"/>
        <w:gridCol w:w="1277"/>
        <w:gridCol w:w="1277"/>
        <w:gridCol w:w="1134"/>
        <w:gridCol w:w="1264"/>
      </w:tblGrid>
      <w:tr w:rsidR="001107A9" w14:paraId="4BE90A72" w14:textId="77777777" w:rsidTr="00E73206">
        <w:trPr>
          <w:trHeight w:val="255"/>
          <w:jc w:val="center"/>
        </w:trPr>
        <w:tc>
          <w:tcPr>
            <w:tcW w:w="226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7E15488A"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5956" w:type="dxa"/>
            <w:gridSpan w:val="5"/>
            <w:tcBorders>
              <w:top w:val="double" w:sz="4" w:space="0" w:color="auto"/>
              <w:left w:val="double" w:sz="4" w:space="0" w:color="auto"/>
              <w:bottom w:val="nil"/>
              <w:right w:val="double" w:sz="4" w:space="0" w:color="auto"/>
            </w:tcBorders>
            <w:shd w:val="clear" w:color="auto" w:fill="C2D69B" w:themeFill="accent3" w:themeFillTint="99"/>
            <w:hideMark/>
          </w:tcPr>
          <w:p w14:paraId="118CC1A8"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2020</w:t>
            </w:r>
            <w:r w:rsidRPr="0057720D">
              <w:rPr>
                <w:rFonts w:ascii="Arial" w:hAnsi="Arial" w:cs="Arial"/>
                <w:b/>
                <w:sz w:val="18"/>
                <w:szCs w:val="18"/>
                <w:vertAlign w:val="superscript"/>
                <w:lang w:val="es-ES"/>
              </w:rPr>
              <w:t>R/</w:t>
            </w:r>
          </w:p>
        </w:tc>
        <w:tc>
          <w:tcPr>
            <w:tcW w:w="1264" w:type="dxa"/>
            <w:tcBorders>
              <w:top w:val="double" w:sz="4" w:space="0" w:color="auto"/>
              <w:left w:val="double" w:sz="4" w:space="0" w:color="auto"/>
              <w:bottom w:val="nil"/>
              <w:right w:val="double" w:sz="4" w:space="0" w:color="auto"/>
            </w:tcBorders>
            <w:shd w:val="clear" w:color="auto" w:fill="C2D69B" w:themeFill="accent3" w:themeFillTint="99"/>
          </w:tcPr>
          <w:p w14:paraId="5FEE16AE" w14:textId="55144E8D"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2021</w:t>
            </w:r>
            <w:r w:rsidR="008F0BDC" w:rsidRPr="0057720D">
              <w:rPr>
                <w:rFonts w:ascii="Arial" w:hAnsi="Arial" w:cs="Arial"/>
                <w:b/>
                <w:sz w:val="18"/>
                <w:szCs w:val="18"/>
                <w:vertAlign w:val="superscript"/>
                <w:lang w:val="es-ES"/>
              </w:rPr>
              <w:t>P/</w:t>
            </w:r>
          </w:p>
        </w:tc>
      </w:tr>
      <w:tr w:rsidR="001107A9" w14:paraId="3FD0B4D5" w14:textId="77777777" w:rsidTr="00E73206">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tcPr>
          <w:p w14:paraId="46428D35" w14:textId="77777777" w:rsidR="001107A9" w:rsidRPr="0057720D" w:rsidRDefault="001107A9" w:rsidP="00E73206">
            <w:pPr>
              <w:rPr>
                <w:rFonts w:ascii="Arial" w:hAnsi="Arial" w:cs="Arial"/>
                <w:b/>
                <w:sz w:val="18"/>
                <w:szCs w:val="18"/>
                <w:lang w:val="es-ES"/>
              </w:rPr>
            </w:pPr>
          </w:p>
        </w:tc>
        <w:tc>
          <w:tcPr>
            <w:tcW w:w="4822" w:type="dxa"/>
            <w:gridSpan w:val="4"/>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02300346" w14:textId="77777777"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Trimestre</w:t>
            </w:r>
          </w:p>
        </w:tc>
        <w:tc>
          <w:tcPr>
            <w:tcW w:w="1134"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06FA3FD1"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1264"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496EEEEC" w14:textId="77777777"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Trimestre</w:t>
            </w:r>
          </w:p>
        </w:tc>
      </w:tr>
      <w:tr w:rsidR="001107A9" w14:paraId="73D88AB0" w14:textId="77777777" w:rsidTr="00E73206">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hideMark/>
          </w:tcPr>
          <w:p w14:paraId="44B62985" w14:textId="77777777" w:rsidR="001107A9" w:rsidRPr="0057720D" w:rsidRDefault="001107A9" w:rsidP="00E73206">
            <w:pPr>
              <w:rPr>
                <w:rFonts w:ascii="Arial" w:hAnsi="Arial" w:cs="Arial"/>
                <w:b/>
                <w:sz w:val="18"/>
                <w:szCs w:val="18"/>
                <w:lang w:val="es-ES"/>
              </w:rPr>
            </w:pPr>
          </w:p>
        </w:tc>
        <w:tc>
          <w:tcPr>
            <w:tcW w:w="1134" w:type="dxa"/>
            <w:tcBorders>
              <w:top w:val="sing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1B639A80"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w:t>
            </w:r>
          </w:p>
        </w:tc>
        <w:tc>
          <w:tcPr>
            <w:tcW w:w="113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572AE967"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II</w:t>
            </w:r>
          </w:p>
        </w:tc>
        <w:tc>
          <w:tcPr>
            <w:tcW w:w="127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24490A82"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III</w:t>
            </w:r>
          </w:p>
        </w:tc>
        <w:tc>
          <w:tcPr>
            <w:tcW w:w="1277"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2124DAE5"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IV</w:t>
            </w:r>
          </w:p>
        </w:tc>
        <w:tc>
          <w:tcPr>
            <w:tcW w:w="1134" w:type="dxa"/>
            <w:vMerge/>
            <w:tcBorders>
              <w:left w:val="single" w:sz="4" w:space="0" w:color="auto"/>
              <w:bottom w:val="double" w:sz="4" w:space="0" w:color="auto"/>
              <w:right w:val="double" w:sz="4" w:space="0" w:color="auto"/>
            </w:tcBorders>
            <w:shd w:val="clear" w:color="auto" w:fill="C2D69B" w:themeFill="accent3" w:themeFillTint="99"/>
            <w:vAlign w:val="center"/>
            <w:hideMark/>
          </w:tcPr>
          <w:p w14:paraId="1DEE497A" w14:textId="77777777" w:rsidR="001107A9" w:rsidRPr="0057720D" w:rsidRDefault="001107A9" w:rsidP="00E73206">
            <w:pPr>
              <w:spacing w:before="60"/>
              <w:jc w:val="center"/>
              <w:rPr>
                <w:rFonts w:ascii="Arial" w:hAnsi="Arial" w:cs="Arial"/>
                <w:b/>
                <w:sz w:val="18"/>
                <w:szCs w:val="18"/>
                <w:lang w:val="es-ES"/>
              </w:rPr>
            </w:pPr>
          </w:p>
        </w:tc>
        <w:tc>
          <w:tcPr>
            <w:tcW w:w="1264"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59858F55" w14:textId="12BC18E9"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I</w:t>
            </w:r>
          </w:p>
        </w:tc>
      </w:tr>
      <w:tr w:rsidR="001107A9" w14:paraId="5E310CAB" w14:textId="77777777" w:rsidTr="00DA3BDB">
        <w:trPr>
          <w:trHeight w:val="201"/>
          <w:jc w:val="center"/>
        </w:trPr>
        <w:tc>
          <w:tcPr>
            <w:tcW w:w="2263" w:type="dxa"/>
            <w:tcBorders>
              <w:top w:val="double" w:sz="4" w:space="0" w:color="auto"/>
              <w:left w:val="double" w:sz="4" w:space="0" w:color="auto"/>
              <w:bottom w:val="nil"/>
              <w:right w:val="single" w:sz="4" w:space="0" w:color="auto"/>
            </w:tcBorders>
            <w:shd w:val="clear" w:color="auto" w:fill="auto"/>
            <w:vAlign w:val="center"/>
            <w:hideMark/>
          </w:tcPr>
          <w:p w14:paraId="554D87D5" w14:textId="77777777" w:rsidR="001107A9" w:rsidRPr="00DF7FA1" w:rsidRDefault="001107A9" w:rsidP="00E73206">
            <w:pPr>
              <w:rPr>
                <w:rFonts w:ascii="Arial" w:hAnsi="Arial" w:cs="Arial"/>
                <w:b/>
                <w:bCs/>
                <w:sz w:val="18"/>
                <w:szCs w:val="18"/>
                <w:lang w:val="es-ES"/>
              </w:rPr>
            </w:pPr>
            <w:r w:rsidRPr="00DF7FA1">
              <w:rPr>
                <w:rFonts w:ascii="Arial" w:hAnsi="Arial" w:cs="Arial"/>
                <w:b/>
                <w:bCs/>
                <w:sz w:val="18"/>
                <w:szCs w:val="18"/>
                <w:lang w:val="es-ES"/>
              </w:rPr>
              <w:t>Producto Interno Bruto</w:t>
            </w:r>
          </w:p>
        </w:tc>
        <w:tc>
          <w:tcPr>
            <w:tcW w:w="1134" w:type="dxa"/>
            <w:tcBorders>
              <w:top w:val="double" w:sz="4" w:space="0" w:color="auto"/>
              <w:left w:val="double" w:sz="4" w:space="0" w:color="auto"/>
              <w:bottom w:val="nil"/>
              <w:right w:val="single" w:sz="4" w:space="0" w:color="auto"/>
            </w:tcBorders>
            <w:shd w:val="clear" w:color="auto" w:fill="auto"/>
            <w:vAlign w:val="center"/>
            <w:hideMark/>
          </w:tcPr>
          <w:p w14:paraId="1A60E700" w14:textId="77777777" w:rsidR="001107A9" w:rsidRPr="0057720D" w:rsidRDefault="001107A9" w:rsidP="00E73206">
            <w:pPr>
              <w:spacing w:before="60"/>
              <w:jc w:val="right"/>
              <w:rPr>
                <w:rFonts w:ascii="Arial" w:hAnsi="Arial" w:cs="Arial"/>
                <w:b/>
                <w:sz w:val="18"/>
                <w:szCs w:val="18"/>
                <w:lang w:val="es-ES"/>
              </w:rPr>
            </w:pPr>
            <w:r w:rsidRPr="0057720D">
              <w:rPr>
                <w:rFonts w:ascii="Arial" w:hAnsi="Arial" w:cs="Arial"/>
                <w:b/>
                <w:sz w:val="18"/>
                <w:szCs w:val="18"/>
                <w:lang w:val="es-ES"/>
              </w:rPr>
              <w:t>24,4</w:t>
            </w:r>
            <w:r>
              <w:rPr>
                <w:rFonts w:ascii="Arial" w:hAnsi="Arial" w:cs="Arial"/>
                <w:b/>
                <w:sz w:val="18"/>
                <w:szCs w:val="18"/>
                <w:lang w:val="es-ES"/>
              </w:rPr>
              <w:t>74</w:t>
            </w:r>
            <w:r w:rsidRPr="0057720D">
              <w:rPr>
                <w:rFonts w:ascii="Arial" w:hAnsi="Arial" w:cs="Arial"/>
                <w:b/>
                <w:sz w:val="18"/>
                <w:szCs w:val="18"/>
                <w:lang w:val="es-ES"/>
              </w:rPr>
              <w:t>,</w:t>
            </w:r>
            <w:r>
              <w:rPr>
                <w:rFonts w:ascii="Arial" w:hAnsi="Arial" w:cs="Arial"/>
                <w:b/>
                <w:sz w:val="18"/>
                <w:szCs w:val="18"/>
                <w:lang w:val="es-ES"/>
              </w:rPr>
              <w:t>111</w:t>
            </w:r>
          </w:p>
        </w:tc>
        <w:tc>
          <w:tcPr>
            <w:tcW w:w="1134" w:type="dxa"/>
            <w:tcBorders>
              <w:top w:val="double" w:sz="4" w:space="0" w:color="auto"/>
              <w:left w:val="single" w:sz="4" w:space="0" w:color="auto"/>
              <w:bottom w:val="nil"/>
              <w:right w:val="single" w:sz="4" w:space="0" w:color="auto"/>
            </w:tcBorders>
            <w:shd w:val="clear" w:color="auto" w:fill="auto"/>
            <w:vAlign w:val="center"/>
            <w:hideMark/>
          </w:tcPr>
          <w:p w14:paraId="128A9EB4" w14:textId="77777777" w:rsidR="001107A9" w:rsidRPr="0057720D" w:rsidRDefault="001107A9" w:rsidP="00E73206">
            <w:pPr>
              <w:spacing w:before="60"/>
              <w:jc w:val="right"/>
              <w:rPr>
                <w:rFonts w:ascii="Arial" w:hAnsi="Arial" w:cs="Arial"/>
                <w:b/>
                <w:sz w:val="18"/>
                <w:szCs w:val="18"/>
                <w:lang w:val="es-ES"/>
              </w:rPr>
            </w:pPr>
            <w:r w:rsidRPr="0057720D">
              <w:rPr>
                <w:rFonts w:ascii="Arial" w:hAnsi="Arial" w:cs="Arial"/>
                <w:b/>
                <w:sz w:val="18"/>
                <w:szCs w:val="18"/>
                <w:lang w:val="es-ES"/>
              </w:rPr>
              <w:t>20,0</w:t>
            </w:r>
            <w:r>
              <w:rPr>
                <w:rFonts w:ascii="Arial" w:hAnsi="Arial" w:cs="Arial"/>
                <w:b/>
                <w:sz w:val="18"/>
                <w:szCs w:val="18"/>
                <w:lang w:val="es-ES"/>
              </w:rPr>
              <w:t>15</w:t>
            </w:r>
            <w:r w:rsidRPr="0057720D">
              <w:rPr>
                <w:rFonts w:ascii="Arial" w:hAnsi="Arial" w:cs="Arial"/>
                <w:b/>
                <w:sz w:val="18"/>
                <w:szCs w:val="18"/>
                <w:lang w:val="es-ES"/>
              </w:rPr>
              <w:t>,</w:t>
            </w:r>
            <w:r>
              <w:rPr>
                <w:rFonts w:ascii="Arial" w:hAnsi="Arial" w:cs="Arial"/>
                <w:b/>
                <w:sz w:val="18"/>
                <w:szCs w:val="18"/>
                <w:lang w:val="es-ES"/>
              </w:rPr>
              <w:t>315</w:t>
            </w:r>
          </w:p>
        </w:tc>
        <w:tc>
          <w:tcPr>
            <w:tcW w:w="1277" w:type="dxa"/>
            <w:tcBorders>
              <w:top w:val="double" w:sz="4" w:space="0" w:color="auto"/>
              <w:left w:val="single" w:sz="4" w:space="0" w:color="auto"/>
              <w:bottom w:val="nil"/>
              <w:right w:val="single" w:sz="4" w:space="0" w:color="auto"/>
            </w:tcBorders>
            <w:shd w:val="clear" w:color="auto" w:fill="auto"/>
            <w:vAlign w:val="center"/>
            <w:hideMark/>
          </w:tcPr>
          <w:p w14:paraId="6AF71F9A" w14:textId="77777777" w:rsidR="001107A9" w:rsidRPr="0057720D" w:rsidRDefault="001107A9" w:rsidP="00E73206">
            <w:pPr>
              <w:spacing w:before="60"/>
              <w:ind w:right="-57"/>
              <w:jc w:val="right"/>
              <w:rPr>
                <w:rFonts w:ascii="Arial" w:hAnsi="Arial" w:cs="Arial"/>
                <w:b/>
                <w:sz w:val="18"/>
                <w:szCs w:val="18"/>
                <w:lang w:val="es-ES"/>
              </w:rPr>
            </w:pPr>
            <w:r w:rsidRPr="0057720D">
              <w:rPr>
                <w:rFonts w:ascii="Arial" w:hAnsi="Arial" w:cs="Arial"/>
                <w:b/>
                <w:sz w:val="18"/>
                <w:szCs w:val="18"/>
                <w:lang w:val="es-ES"/>
              </w:rPr>
              <w:t>23,</w:t>
            </w:r>
            <w:r>
              <w:rPr>
                <w:rFonts w:ascii="Arial" w:hAnsi="Arial" w:cs="Arial"/>
                <w:b/>
                <w:sz w:val="18"/>
                <w:szCs w:val="18"/>
                <w:lang w:val="es-ES"/>
              </w:rPr>
              <w:t>0</w:t>
            </w:r>
            <w:r w:rsidRPr="0057720D">
              <w:rPr>
                <w:rFonts w:ascii="Arial" w:hAnsi="Arial" w:cs="Arial"/>
                <w:b/>
                <w:sz w:val="18"/>
                <w:szCs w:val="18"/>
                <w:lang w:val="es-ES"/>
              </w:rPr>
              <w:t>10,</w:t>
            </w:r>
            <w:r>
              <w:rPr>
                <w:rFonts w:ascii="Arial" w:hAnsi="Arial" w:cs="Arial"/>
                <w:b/>
                <w:sz w:val="18"/>
                <w:szCs w:val="18"/>
                <w:lang w:val="es-ES"/>
              </w:rPr>
              <w:t>748</w:t>
            </w:r>
          </w:p>
        </w:tc>
        <w:tc>
          <w:tcPr>
            <w:tcW w:w="1277" w:type="dxa"/>
            <w:tcBorders>
              <w:top w:val="double" w:sz="4" w:space="0" w:color="auto"/>
              <w:left w:val="single" w:sz="4" w:space="0" w:color="auto"/>
              <w:bottom w:val="nil"/>
              <w:right w:val="single" w:sz="4" w:space="0" w:color="auto"/>
            </w:tcBorders>
            <w:shd w:val="clear" w:color="auto" w:fill="auto"/>
            <w:vAlign w:val="center"/>
            <w:hideMark/>
          </w:tcPr>
          <w:p w14:paraId="25844A56" w14:textId="77777777" w:rsidR="001107A9" w:rsidRPr="0057720D" w:rsidRDefault="001107A9" w:rsidP="00E73206">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4</w:t>
            </w:r>
            <w:r w:rsidRPr="0057720D">
              <w:rPr>
                <w:rFonts w:ascii="Arial" w:hAnsi="Arial" w:cs="Arial"/>
                <w:b/>
                <w:sz w:val="18"/>
                <w:szCs w:val="18"/>
                <w:lang w:val="es-ES"/>
              </w:rPr>
              <w:t>,</w:t>
            </w:r>
            <w:r>
              <w:rPr>
                <w:rFonts w:ascii="Arial" w:hAnsi="Arial" w:cs="Arial"/>
                <w:b/>
                <w:sz w:val="18"/>
                <w:szCs w:val="18"/>
                <w:lang w:val="es-ES"/>
              </w:rPr>
              <w:t>794</w:t>
            </w:r>
            <w:r w:rsidRPr="0057720D">
              <w:rPr>
                <w:rFonts w:ascii="Arial" w:hAnsi="Arial" w:cs="Arial"/>
                <w:b/>
                <w:sz w:val="18"/>
                <w:szCs w:val="18"/>
                <w:lang w:val="es-ES"/>
              </w:rPr>
              <w:t>,</w:t>
            </w:r>
            <w:r>
              <w:rPr>
                <w:rFonts w:ascii="Arial" w:hAnsi="Arial" w:cs="Arial"/>
                <w:b/>
                <w:sz w:val="18"/>
                <w:szCs w:val="18"/>
                <w:lang w:val="es-ES"/>
              </w:rPr>
              <w:t>734</w:t>
            </w:r>
          </w:p>
        </w:tc>
        <w:tc>
          <w:tcPr>
            <w:tcW w:w="1134" w:type="dxa"/>
            <w:tcBorders>
              <w:top w:val="double" w:sz="4" w:space="0" w:color="auto"/>
              <w:left w:val="single" w:sz="4" w:space="0" w:color="auto"/>
              <w:bottom w:val="nil"/>
              <w:right w:val="double" w:sz="4" w:space="0" w:color="auto"/>
            </w:tcBorders>
            <w:shd w:val="clear" w:color="auto" w:fill="auto"/>
            <w:vAlign w:val="center"/>
            <w:hideMark/>
          </w:tcPr>
          <w:p w14:paraId="5F249497" w14:textId="77777777" w:rsidR="001107A9" w:rsidRPr="0057720D" w:rsidRDefault="001107A9" w:rsidP="00E73206">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3</w:t>
            </w:r>
            <w:r w:rsidRPr="0057720D">
              <w:rPr>
                <w:rFonts w:ascii="Arial" w:hAnsi="Arial" w:cs="Arial"/>
                <w:b/>
                <w:sz w:val="18"/>
                <w:szCs w:val="18"/>
                <w:lang w:val="es-ES"/>
              </w:rPr>
              <w:t>,</w:t>
            </w:r>
            <w:r>
              <w:rPr>
                <w:rFonts w:ascii="Arial" w:hAnsi="Arial" w:cs="Arial"/>
                <w:b/>
                <w:sz w:val="18"/>
                <w:szCs w:val="18"/>
                <w:lang w:val="es-ES"/>
              </w:rPr>
              <w:t>073</w:t>
            </w:r>
            <w:r w:rsidRPr="0057720D">
              <w:rPr>
                <w:rFonts w:ascii="Arial" w:hAnsi="Arial" w:cs="Arial"/>
                <w:b/>
                <w:sz w:val="18"/>
                <w:szCs w:val="18"/>
                <w:lang w:val="es-ES"/>
              </w:rPr>
              <w:t>,</w:t>
            </w:r>
            <w:r>
              <w:rPr>
                <w:rFonts w:ascii="Arial" w:hAnsi="Arial" w:cs="Arial"/>
                <w:b/>
                <w:sz w:val="18"/>
                <w:szCs w:val="18"/>
                <w:lang w:val="es-ES"/>
              </w:rPr>
              <w:t>72</w:t>
            </w:r>
            <w:r w:rsidRPr="0057720D">
              <w:rPr>
                <w:rFonts w:ascii="Arial" w:hAnsi="Arial" w:cs="Arial"/>
                <w:b/>
                <w:sz w:val="18"/>
                <w:szCs w:val="18"/>
                <w:lang w:val="es-ES"/>
              </w:rPr>
              <w:t>7</w:t>
            </w:r>
          </w:p>
        </w:tc>
        <w:tc>
          <w:tcPr>
            <w:tcW w:w="1264" w:type="dxa"/>
            <w:tcBorders>
              <w:top w:val="double" w:sz="4" w:space="0" w:color="auto"/>
              <w:left w:val="single" w:sz="4" w:space="0" w:color="auto"/>
              <w:bottom w:val="nil"/>
              <w:right w:val="double" w:sz="4" w:space="0" w:color="auto"/>
            </w:tcBorders>
            <w:shd w:val="clear" w:color="auto" w:fill="auto"/>
            <w:vAlign w:val="center"/>
          </w:tcPr>
          <w:p w14:paraId="19654C69" w14:textId="77777777" w:rsidR="001107A9" w:rsidRPr="0057720D" w:rsidRDefault="001107A9" w:rsidP="00E73206">
            <w:pPr>
              <w:spacing w:before="60"/>
              <w:jc w:val="right"/>
              <w:rPr>
                <w:rFonts w:ascii="Arial" w:hAnsi="Arial" w:cs="Arial"/>
                <w:b/>
                <w:sz w:val="18"/>
                <w:szCs w:val="18"/>
                <w:lang w:val="es-ES"/>
              </w:rPr>
            </w:pPr>
            <w:r w:rsidRPr="0057720D">
              <w:rPr>
                <w:rFonts w:ascii="Arial" w:hAnsi="Arial" w:cs="Arial"/>
                <w:b/>
                <w:sz w:val="18"/>
                <w:szCs w:val="18"/>
                <w:lang w:val="es-ES"/>
              </w:rPr>
              <w:t>2</w:t>
            </w:r>
            <w:r>
              <w:rPr>
                <w:rFonts w:ascii="Arial" w:hAnsi="Arial" w:cs="Arial"/>
                <w:b/>
                <w:sz w:val="18"/>
                <w:szCs w:val="18"/>
                <w:lang w:val="es-ES"/>
              </w:rPr>
              <w:t>4</w:t>
            </w:r>
            <w:r w:rsidRPr="0057720D">
              <w:rPr>
                <w:rFonts w:ascii="Arial" w:hAnsi="Arial" w:cs="Arial"/>
                <w:b/>
                <w:sz w:val="18"/>
                <w:szCs w:val="18"/>
                <w:lang w:val="es-ES"/>
              </w:rPr>
              <w:t>,</w:t>
            </w:r>
            <w:r>
              <w:rPr>
                <w:rFonts w:ascii="Arial" w:hAnsi="Arial" w:cs="Arial"/>
                <w:b/>
                <w:sz w:val="18"/>
                <w:szCs w:val="18"/>
                <w:lang w:val="es-ES"/>
              </w:rPr>
              <w:t>903</w:t>
            </w:r>
            <w:r w:rsidRPr="0057720D">
              <w:rPr>
                <w:rFonts w:ascii="Arial" w:hAnsi="Arial" w:cs="Arial"/>
                <w:b/>
                <w:sz w:val="18"/>
                <w:szCs w:val="18"/>
                <w:lang w:val="es-ES"/>
              </w:rPr>
              <w:t>,1</w:t>
            </w:r>
            <w:r>
              <w:rPr>
                <w:rFonts w:ascii="Arial" w:hAnsi="Arial" w:cs="Arial"/>
                <w:b/>
                <w:sz w:val="18"/>
                <w:szCs w:val="18"/>
                <w:lang w:val="es-ES"/>
              </w:rPr>
              <w:t>0</w:t>
            </w:r>
            <w:r w:rsidRPr="0057720D">
              <w:rPr>
                <w:rFonts w:ascii="Arial" w:hAnsi="Arial" w:cs="Arial"/>
                <w:b/>
                <w:sz w:val="18"/>
                <w:szCs w:val="18"/>
                <w:lang w:val="es-ES"/>
              </w:rPr>
              <w:t>7</w:t>
            </w:r>
          </w:p>
        </w:tc>
      </w:tr>
      <w:tr w:rsidR="001107A9" w14:paraId="2D0CCC97" w14:textId="77777777" w:rsidTr="00DA3BDB">
        <w:trPr>
          <w:trHeight w:val="201"/>
          <w:jc w:val="center"/>
        </w:trPr>
        <w:tc>
          <w:tcPr>
            <w:tcW w:w="2263" w:type="dxa"/>
            <w:tcBorders>
              <w:top w:val="nil"/>
              <w:left w:val="double" w:sz="4" w:space="0" w:color="auto"/>
              <w:bottom w:val="nil"/>
              <w:right w:val="single" w:sz="4" w:space="0" w:color="auto"/>
            </w:tcBorders>
            <w:shd w:val="clear" w:color="auto" w:fill="auto"/>
            <w:vAlign w:val="center"/>
            <w:hideMark/>
          </w:tcPr>
          <w:p w14:paraId="1ABFE2A0" w14:textId="77777777" w:rsidR="001107A9" w:rsidRPr="0057720D" w:rsidRDefault="001107A9" w:rsidP="00E73206">
            <w:pPr>
              <w:spacing w:before="60"/>
              <w:rPr>
                <w:rFonts w:ascii="Arial" w:hAnsi="Arial" w:cs="Arial"/>
                <w:sz w:val="18"/>
                <w:szCs w:val="18"/>
                <w:lang w:val="es-ES"/>
              </w:rPr>
            </w:pPr>
            <w:r w:rsidRPr="0057720D">
              <w:rPr>
                <w:rFonts w:ascii="Arial" w:hAnsi="Arial" w:cs="Arial"/>
                <w:sz w:val="18"/>
                <w:szCs w:val="18"/>
                <w:lang w:val="es-ES"/>
              </w:rPr>
              <w:t>Ahorro Bruto</w:t>
            </w:r>
          </w:p>
        </w:tc>
        <w:tc>
          <w:tcPr>
            <w:tcW w:w="1134" w:type="dxa"/>
            <w:tcBorders>
              <w:top w:val="nil"/>
              <w:left w:val="double" w:sz="4" w:space="0" w:color="auto"/>
              <w:bottom w:val="nil"/>
              <w:right w:val="single" w:sz="4" w:space="0" w:color="auto"/>
            </w:tcBorders>
            <w:shd w:val="clear" w:color="auto" w:fill="auto"/>
            <w:vAlign w:val="center"/>
            <w:hideMark/>
          </w:tcPr>
          <w:p w14:paraId="4E65DA2F"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4,9</w:t>
            </w:r>
            <w:r>
              <w:rPr>
                <w:rFonts w:ascii="Arial" w:hAnsi="Arial" w:cs="Arial"/>
                <w:sz w:val="18"/>
                <w:szCs w:val="18"/>
                <w:lang w:val="es-ES"/>
              </w:rPr>
              <w:t>55</w:t>
            </w:r>
            <w:r w:rsidRPr="0057720D">
              <w:rPr>
                <w:rFonts w:ascii="Arial" w:hAnsi="Arial" w:cs="Arial"/>
                <w:sz w:val="18"/>
                <w:szCs w:val="18"/>
                <w:lang w:val="es-ES"/>
              </w:rPr>
              <w:t>,</w:t>
            </w:r>
            <w:r>
              <w:rPr>
                <w:rFonts w:ascii="Arial" w:hAnsi="Arial" w:cs="Arial"/>
                <w:sz w:val="18"/>
                <w:szCs w:val="18"/>
                <w:lang w:val="es-ES"/>
              </w:rPr>
              <w:t>171</w:t>
            </w:r>
          </w:p>
        </w:tc>
        <w:tc>
          <w:tcPr>
            <w:tcW w:w="1134" w:type="dxa"/>
            <w:tcBorders>
              <w:top w:val="nil"/>
              <w:left w:val="single" w:sz="4" w:space="0" w:color="auto"/>
              <w:bottom w:val="nil"/>
              <w:right w:val="single" w:sz="4" w:space="0" w:color="auto"/>
            </w:tcBorders>
            <w:shd w:val="clear" w:color="auto" w:fill="auto"/>
            <w:vAlign w:val="center"/>
            <w:hideMark/>
          </w:tcPr>
          <w:p w14:paraId="3470108C"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3,6</w:t>
            </w:r>
            <w:r>
              <w:rPr>
                <w:rFonts w:ascii="Arial" w:hAnsi="Arial" w:cs="Arial"/>
                <w:sz w:val="18"/>
                <w:szCs w:val="18"/>
                <w:lang w:val="es-ES"/>
              </w:rPr>
              <w:t>85</w:t>
            </w:r>
            <w:r w:rsidRPr="0057720D">
              <w:rPr>
                <w:rFonts w:ascii="Arial" w:hAnsi="Arial" w:cs="Arial"/>
                <w:sz w:val="18"/>
                <w:szCs w:val="18"/>
                <w:lang w:val="es-ES"/>
              </w:rPr>
              <w:t>,</w:t>
            </w:r>
            <w:r>
              <w:rPr>
                <w:rFonts w:ascii="Arial" w:hAnsi="Arial" w:cs="Arial"/>
                <w:sz w:val="18"/>
                <w:szCs w:val="18"/>
                <w:lang w:val="es-ES"/>
              </w:rPr>
              <w:t>148</w:t>
            </w:r>
          </w:p>
        </w:tc>
        <w:tc>
          <w:tcPr>
            <w:tcW w:w="1277" w:type="dxa"/>
            <w:tcBorders>
              <w:top w:val="nil"/>
              <w:left w:val="single" w:sz="4" w:space="0" w:color="auto"/>
              <w:bottom w:val="nil"/>
              <w:right w:val="single" w:sz="4" w:space="0" w:color="auto"/>
            </w:tcBorders>
            <w:shd w:val="clear" w:color="auto" w:fill="auto"/>
            <w:vAlign w:val="center"/>
            <w:hideMark/>
          </w:tcPr>
          <w:p w14:paraId="4A378BAC" w14:textId="77777777" w:rsidR="001107A9" w:rsidRPr="0057720D" w:rsidRDefault="001107A9" w:rsidP="00E73206">
            <w:pPr>
              <w:spacing w:before="60"/>
              <w:ind w:right="-57"/>
              <w:jc w:val="right"/>
              <w:rPr>
                <w:rFonts w:ascii="Arial" w:hAnsi="Arial" w:cs="Arial"/>
                <w:sz w:val="18"/>
                <w:szCs w:val="18"/>
                <w:lang w:val="es-ES"/>
              </w:rPr>
            </w:pPr>
            <w:r w:rsidRPr="0057720D">
              <w:rPr>
                <w:rFonts w:ascii="Arial" w:hAnsi="Arial" w:cs="Arial"/>
                <w:sz w:val="18"/>
                <w:szCs w:val="18"/>
                <w:lang w:val="es-ES"/>
              </w:rPr>
              <w:t>4,4</w:t>
            </w:r>
            <w:r>
              <w:rPr>
                <w:rFonts w:ascii="Arial" w:hAnsi="Arial" w:cs="Arial"/>
                <w:sz w:val="18"/>
                <w:szCs w:val="18"/>
                <w:lang w:val="es-ES"/>
              </w:rPr>
              <w:t>88</w:t>
            </w:r>
            <w:r w:rsidRPr="0057720D">
              <w:rPr>
                <w:rFonts w:ascii="Arial" w:hAnsi="Arial" w:cs="Arial"/>
                <w:sz w:val="18"/>
                <w:szCs w:val="18"/>
                <w:lang w:val="es-ES"/>
              </w:rPr>
              <w:t>,</w:t>
            </w:r>
            <w:r>
              <w:rPr>
                <w:rFonts w:ascii="Arial" w:hAnsi="Arial" w:cs="Arial"/>
                <w:sz w:val="18"/>
                <w:szCs w:val="18"/>
                <w:lang w:val="es-ES"/>
              </w:rPr>
              <w:t>4</w:t>
            </w:r>
            <w:r w:rsidRPr="0057720D">
              <w:rPr>
                <w:rFonts w:ascii="Arial" w:hAnsi="Arial" w:cs="Arial"/>
                <w:sz w:val="18"/>
                <w:szCs w:val="18"/>
                <w:lang w:val="es-ES"/>
              </w:rPr>
              <w:t>1</w:t>
            </w:r>
            <w:r>
              <w:rPr>
                <w:rFonts w:ascii="Arial" w:hAnsi="Arial" w:cs="Arial"/>
                <w:sz w:val="18"/>
                <w:szCs w:val="18"/>
                <w:lang w:val="es-ES"/>
              </w:rPr>
              <w:t>9</w:t>
            </w:r>
          </w:p>
        </w:tc>
        <w:tc>
          <w:tcPr>
            <w:tcW w:w="1277" w:type="dxa"/>
            <w:tcBorders>
              <w:top w:val="nil"/>
              <w:left w:val="single" w:sz="4" w:space="0" w:color="auto"/>
              <w:bottom w:val="nil"/>
              <w:right w:val="single" w:sz="4" w:space="0" w:color="auto"/>
            </w:tcBorders>
            <w:shd w:val="clear" w:color="auto" w:fill="auto"/>
            <w:vAlign w:val="center"/>
            <w:hideMark/>
          </w:tcPr>
          <w:p w14:paraId="4FF623E5"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6</w:t>
            </w:r>
            <w:r w:rsidRPr="0057720D">
              <w:rPr>
                <w:rFonts w:ascii="Arial" w:hAnsi="Arial" w:cs="Arial"/>
                <w:sz w:val="18"/>
                <w:szCs w:val="18"/>
                <w:lang w:val="es-ES"/>
              </w:rPr>
              <w:t>9</w:t>
            </w:r>
            <w:r>
              <w:rPr>
                <w:rFonts w:ascii="Arial" w:hAnsi="Arial" w:cs="Arial"/>
                <w:sz w:val="18"/>
                <w:szCs w:val="18"/>
                <w:lang w:val="es-ES"/>
              </w:rPr>
              <w:t>0</w:t>
            </w:r>
            <w:r w:rsidRPr="0057720D">
              <w:rPr>
                <w:rFonts w:ascii="Arial" w:hAnsi="Arial" w:cs="Arial"/>
                <w:sz w:val="18"/>
                <w:szCs w:val="18"/>
                <w:lang w:val="es-ES"/>
              </w:rPr>
              <w:t>,</w:t>
            </w:r>
            <w:r>
              <w:rPr>
                <w:rFonts w:ascii="Arial" w:hAnsi="Arial" w:cs="Arial"/>
                <w:sz w:val="18"/>
                <w:szCs w:val="18"/>
                <w:lang w:val="es-ES"/>
              </w:rPr>
              <w:t>2</w:t>
            </w:r>
            <w:r w:rsidRPr="0057720D">
              <w:rPr>
                <w:rFonts w:ascii="Arial" w:hAnsi="Arial" w:cs="Arial"/>
                <w:sz w:val="18"/>
                <w:szCs w:val="18"/>
                <w:lang w:val="es-ES"/>
              </w:rPr>
              <w:t>7</w:t>
            </w:r>
            <w:r>
              <w:rPr>
                <w:rFonts w:ascii="Arial" w:hAnsi="Arial" w:cs="Arial"/>
                <w:sz w:val="18"/>
                <w:szCs w:val="18"/>
                <w:lang w:val="es-ES"/>
              </w:rPr>
              <w:t>0</w:t>
            </w:r>
          </w:p>
        </w:tc>
        <w:tc>
          <w:tcPr>
            <w:tcW w:w="1134" w:type="dxa"/>
            <w:tcBorders>
              <w:top w:val="nil"/>
              <w:left w:val="single" w:sz="4" w:space="0" w:color="auto"/>
              <w:bottom w:val="nil"/>
              <w:right w:val="double" w:sz="4" w:space="0" w:color="auto"/>
            </w:tcBorders>
            <w:shd w:val="clear" w:color="auto" w:fill="auto"/>
            <w:vAlign w:val="center"/>
            <w:hideMark/>
          </w:tcPr>
          <w:p w14:paraId="30CBDCF0"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4,4</w:t>
            </w:r>
            <w:r>
              <w:rPr>
                <w:rFonts w:ascii="Arial" w:hAnsi="Arial" w:cs="Arial"/>
                <w:sz w:val="18"/>
                <w:szCs w:val="18"/>
                <w:lang w:val="es-ES"/>
              </w:rPr>
              <w:t>54</w:t>
            </w:r>
            <w:r w:rsidRPr="0057720D">
              <w:rPr>
                <w:rFonts w:ascii="Arial" w:hAnsi="Arial" w:cs="Arial"/>
                <w:sz w:val="18"/>
                <w:szCs w:val="18"/>
                <w:lang w:val="es-ES"/>
              </w:rPr>
              <w:t>,</w:t>
            </w:r>
            <w:r>
              <w:rPr>
                <w:rFonts w:ascii="Arial" w:hAnsi="Arial" w:cs="Arial"/>
                <w:sz w:val="18"/>
                <w:szCs w:val="18"/>
                <w:lang w:val="es-ES"/>
              </w:rPr>
              <w:t>752</w:t>
            </w:r>
          </w:p>
        </w:tc>
        <w:tc>
          <w:tcPr>
            <w:tcW w:w="1264" w:type="dxa"/>
            <w:tcBorders>
              <w:top w:val="nil"/>
              <w:left w:val="single" w:sz="4" w:space="0" w:color="auto"/>
              <w:bottom w:val="nil"/>
              <w:right w:val="double" w:sz="4" w:space="0" w:color="auto"/>
            </w:tcBorders>
            <w:shd w:val="clear" w:color="auto" w:fill="auto"/>
            <w:vAlign w:val="center"/>
          </w:tcPr>
          <w:p w14:paraId="17E7A760" w14:textId="77777777" w:rsidR="001107A9" w:rsidRPr="0057720D" w:rsidRDefault="001107A9" w:rsidP="00E73206">
            <w:pPr>
              <w:spacing w:before="60"/>
              <w:jc w:val="right"/>
              <w:rPr>
                <w:rFonts w:ascii="Arial" w:hAnsi="Arial" w:cs="Arial"/>
                <w:sz w:val="18"/>
                <w:szCs w:val="18"/>
                <w:lang w:val="es-ES"/>
              </w:rPr>
            </w:pPr>
            <w:r>
              <w:rPr>
                <w:rFonts w:ascii="Arial" w:hAnsi="Arial" w:cs="Arial"/>
                <w:sz w:val="18"/>
                <w:szCs w:val="18"/>
                <w:lang w:val="es-ES"/>
              </w:rPr>
              <w:t>5</w:t>
            </w:r>
            <w:r w:rsidRPr="0057720D">
              <w:rPr>
                <w:rFonts w:ascii="Arial" w:hAnsi="Arial" w:cs="Arial"/>
                <w:sz w:val="18"/>
                <w:szCs w:val="18"/>
                <w:lang w:val="es-ES"/>
              </w:rPr>
              <w:t>,</w:t>
            </w:r>
            <w:r>
              <w:rPr>
                <w:rFonts w:ascii="Arial" w:hAnsi="Arial" w:cs="Arial"/>
                <w:sz w:val="18"/>
                <w:szCs w:val="18"/>
                <w:lang w:val="es-ES"/>
              </w:rPr>
              <w:t>1</w:t>
            </w:r>
            <w:r w:rsidRPr="0057720D">
              <w:rPr>
                <w:rFonts w:ascii="Arial" w:hAnsi="Arial" w:cs="Arial"/>
                <w:sz w:val="18"/>
                <w:szCs w:val="18"/>
                <w:lang w:val="es-ES"/>
              </w:rPr>
              <w:t>4</w:t>
            </w:r>
            <w:r>
              <w:rPr>
                <w:rFonts w:ascii="Arial" w:hAnsi="Arial" w:cs="Arial"/>
                <w:sz w:val="18"/>
                <w:szCs w:val="18"/>
                <w:lang w:val="es-ES"/>
              </w:rPr>
              <w:t>6</w:t>
            </w:r>
            <w:r w:rsidRPr="0057720D">
              <w:rPr>
                <w:rFonts w:ascii="Arial" w:hAnsi="Arial" w:cs="Arial"/>
                <w:sz w:val="18"/>
                <w:szCs w:val="18"/>
                <w:lang w:val="es-ES"/>
              </w:rPr>
              <w:t>,4</w:t>
            </w:r>
            <w:r>
              <w:rPr>
                <w:rFonts w:ascii="Arial" w:hAnsi="Arial" w:cs="Arial"/>
                <w:sz w:val="18"/>
                <w:szCs w:val="18"/>
                <w:lang w:val="es-ES"/>
              </w:rPr>
              <w:t>7</w:t>
            </w:r>
            <w:r w:rsidRPr="0057720D">
              <w:rPr>
                <w:rFonts w:ascii="Arial" w:hAnsi="Arial" w:cs="Arial"/>
                <w:sz w:val="18"/>
                <w:szCs w:val="18"/>
                <w:lang w:val="es-ES"/>
              </w:rPr>
              <w:t>9</w:t>
            </w:r>
          </w:p>
        </w:tc>
      </w:tr>
      <w:tr w:rsidR="001107A9" w14:paraId="6AECF3B3" w14:textId="77777777" w:rsidTr="00DA3BDB">
        <w:trPr>
          <w:trHeight w:val="201"/>
          <w:jc w:val="center"/>
        </w:trPr>
        <w:tc>
          <w:tcPr>
            <w:tcW w:w="2263" w:type="dxa"/>
            <w:tcBorders>
              <w:top w:val="nil"/>
              <w:left w:val="double" w:sz="4" w:space="0" w:color="auto"/>
              <w:bottom w:val="nil"/>
              <w:right w:val="single" w:sz="4" w:space="0" w:color="auto"/>
            </w:tcBorders>
            <w:shd w:val="clear" w:color="auto" w:fill="auto"/>
            <w:vAlign w:val="center"/>
            <w:hideMark/>
          </w:tcPr>
          <w:p w14:paraId="5F1197F7" w14:textId="77777777" w:rsidR="001107A9" w:rsidRPr="0057720D" w:rsidRDefault="001107A9" w:rsidP="00E73206">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Economía Interna</w:t>
            </w:r>
          </w:p>
        </w:tc>
        <w:tc>
          <w:tcPr>
            <w:tcW w:w="1134" w:type="dxa"/>
            <w:tcBorders>
              <w:top w:val="nil"/>
              <w:left w:val="double" w:sz="4" w:space="0" w:color="auto"/>
              <w:bottom w:val="nil"/>
              <w:right w:val="single" w:sz="4" w:space="0" w:color="auto"/>
            </w:tcBorders>
            <w:shd w:val="clear" w:color="auto" w:fill="auto"/>
            <w:vAlign w:val="center"/>
            <w:hideMark/>
          </w:tcPr>
          <w:p w14:paraId="40FFDA23"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332</w:t>
            </w:r>
            <w:r w:rsidRPr="0057720D">
              <w:rPr>
                <w:rFonts w:ascii="Arial" w:hAnsi="Arial" w:cs="Arial"/>
                <w:sz w:val="18"/>
                <w:szCs w:val="18"/>
                <w:lang w:val="es-ES"/>
              </w:rPr>
              <w:t>,</w:t>
            </w:r>
            <w:r>
              <w:rPr>
                <w:rFonts w:ascii="Arial" w:hAnsi="Arial" w:cs="Arial"/>
                <w:sz w:val="18"/>
                <w:szCs w:val="18"/>
                <w:lang w:val="es-ES"/>
              </w:rPr>
              <w:t>03</w:t>
            </w:r>
            <w:r w:rsidRPr="0057720D">
              <w:rPr>
                <w:rFonts w:ascii="Arial" w:hAnsi="Arial" w:cs="Arial"/>
                <w:sz w:val="18"/>
                <w:szCs w:val="18"/>
                <w:lang w:val="es-ES"/>
              </w:rPr>
              <w:t>4</w:t>
            </w:r>
          </w:p>
        </w:tc>
        <w:tc>
          <w:tcPr>
            <w:tcW w:w="1134" w:type="dxa"/>
            <w:tcBorders>
              <w:top w:val="nil"/>
              <w:left w:val="single" w:sz="4" w:space="0" w:color="auto"/>
              <w:bottom w:val="nil"/>
              <w:right w:val="single" w:sz="4" w:space="0" w:color="auto"/>
            </w:tcBorders>
            <w:shd w:val="clear" w:color="auto" w:fill="auto"/>
            <w:vAlign w:val="center"/>
            <w:hideMark/>
          </w:tcPr>
          <w:p w14:paraId="326050C6"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3,6</w:t>
            </w:r>
            <w:r>
              <w:rPr>
                <w:rFonts w:ascii="Arial" w:hAnsi="Arial" w:cs="Arial"/>
                <w:sz w:val="18"/>
                <w:szCs w:val="18"/>
                <w:lang w:val="es-ES"/>
              </w:rPr>
              <w:t>15</w:t>
            </w:r>
            <w:r w:rsidRPr="0057720D">
              <w:rPr>
                <w:rFonts w:ascii="Arial" w:hAnsi="Arial" w:cs="Arial"/>
                <w:sz w:val="18"/>
                <w:szCs w:val="18"/>
                <w:lang w:val="es-ES"/>
              </w:rPr>
              <w:t>,</w:t>
            </w:r>
            <w:r>
              <w:rPr>
                <w:rFonts w:ascii="Arial" w:hAnsi="Arial" w:cs="Arial"/>
                <w:sz w:val="18"/>
                <w:szCs w:val="18"/>
                <w:lang w:val="es-ES"/>
              </w:rPr>
              <w:t>0</w:t>
            </w:r>
            <w:r w:rsidRPr="0057720D">
              <w:rPr>
                <w:rFonts w:ascii="Arial" w:hAnsi="Arial" w:cs="Arial"/>
                <w:sz w:val="18"/>
                <w:szCs w:val="18"/>
                <w:lang w:val="es-ES"/>
              </w:rPr>
              <w:t>5</w:t>
            </w:r>
            <w:r>
              <w:rPr>
                <w:rFonts w:ascii="Arial" w:hAnsi="Arial" w:cs="Arial"/>
                <w:sz w:val="18"/>
                <w:szCs w:val="18"/>
                <w:lang w:val="es-ES"/>
              </w:rPr>
              <w:t>7</w:t>
            </w:r>
          </w:p>
        </w:tc>
        <w:tc>
          <w:tcPr>
            <w:tcW w:w="1277" w:type="dxa"/>
            <w:tcBorders>
              <w:top w:val="nil"/>
              <w:left w:val="single" w:sz="4" w:space="0" w:color="auto"/>
              <w:bottom w:val="nil"/>
              <w:right w:val="single" w:sz="4" w:space="0" w:color="auto"/>
            </w:tcBorders>
            <w:shd w:val="clear" w:color="auto" w:fill="auto"/>
            <w:vAlign w:val="center"/>
            <w:hideMark/>
          </w:tcPr>
          <w:p w14:paraId="34079086" w14:textId="77777777" w:rsidR="001107A9" w:rsidRPr="0057720D" w:rsidRDefault="001107A9" w:rsidP="00E73206">
            <w:pPr>
              <w:spacing w:before="60"/>
              <w:ind w:right="-57"/>
              <w:jc w:val="right"/>
              <w:rPr>
                <w:rFonts w:ascii="Arial" w:hAnsi="Arial" w:cs="Arial"/>
                <w:sz w:val="18"/>
                <w:szCs w:val="18"/>
                <w:lang w:val="es-ES"/>
              </w:rPr>
            </w:pPr>
            <w:r w:rsidRPr="0057720D">
              <w:rPr>
                <w:rFonts w:ascii="Arial" w:hAnsi="Arial" w:cs="Arial"/>
                <w:sz w:val="18"/>
                <w:szCs w:val="18"/>
                <w:lang w:val="es-ES"/>
              </w:rPr>
              <w:t>5,9</w:t>
            </w:r>
            <w:r>
              <w:rPr>
                <w:rFonts w:ascii="Arial" w:hAnsi="Arial" w:cs="Arial"/>
                <w:sz w:val="18"/>
                <w:szCs w:val="18"/>
                <w:lang w:val="es-ES"/>
              </w:rPr>
              <w:t>57</w:t>
            </w:r>
            <w:r w:rsidRPr="0057720D">
              <w:rPr>
                <w:rFonts w:ascii="Arial" w:hAnsi="Arial" w:cs="Arial"/>
                <w:sz w:val="18"/>
                <w:szCs w:val="18"/>
                <w:lang w:val="es-ES"/>
              </w:rPr>
              <w:t>,</w:t>
            </w:r>
            <w:r>
              <w:rPr>
                <w:rFonts w:ascii="Arial" w:hAnsi="Arial" w:cs="Arial"/>
                <w:sz w:val="18"/>
                <w:szCs w:val="18"/>
                <w:lang w:val="es-ES"/>
              </w:rPr>
              <w:t>3</w:t>
            </w:r>
            <w:r w:rsidRPr="0057720D">
              <w:rPr>
                <w:rFonts w:ascii="Arial" w:hAnsi="Arial" w:cs="Arial"/>
                <w:sz w:val="18"/>
                <w:szCs w:val="18"/>
                <w:lang w:val="es-ES"/>
              </w:rPr>
              <w:t>6</w:t>
            </w:r>
            <w:r>
              <w:rPr>
                <w:rFonts w:ascii="Arial" w:hAnsi="Arial" w:cs="Arial"/>
                <w:sz w:val="18"/>
                <w:szCs w:val="18"/>
                <w:lang w:val="es-ES"/>
              </w:rPr>
              <w:t>4</w:t>
            </w:r>
          </w:p>
        </w:tc>
        <w:tc>
          <w:tcPr>
            <w:tcW w:w="1277" w:type="dxa"/>
            <w:tcBorders>
              <w:top w:val="nil"/>
              <w:left w:val="single" w:sz="4" w:space="0" w:color="auto"/>
              <w:bottom w:val="nil"/>
              <w:right w:val="single" w:sz="4" w:space="0" w:color="auto"/>
            </w:tcBorders>
            <w:shd w:val="clear" w:color="auto" w:fill="auto"/>
            <w:vAlign w:val="center"/>
            <w:hideMark/>
          </w:tcPr>
          <w:p w14:paraId="2140414B" w14:textId="77777777" w:rsidR="001107A9" w:rsidRPr="0057720D" w:rsidRDefault="001107A9" w:rsidP="00E73206">
            <w:pPr>
              <w:spacing w:before="60"/>
              <w:jc w:val="right"/>
              <w:rPr>
                <w:rFonts w:ascii="Arial" w:hAnsi="Arial" w:cs="Arial"/>
                <w:sz w:val="18"/>
                <w:szCs w:val="18"/>
                <w:lang w:val="es-ES"/>
              </w:rPr>
            </w:pPr>
            <w:r>
              <w:rPr>
                <w:rFonts w:ascii="Arial" w:hAnsi="Arial" w:cs="Arial"/>
                <w:sz w:val="18"/>
                <w:szCs w:val="18"/>
                <w:lang w:val="es-ES"/>
              </w:rPr>
              <w:t>6</w:t>
            </w:r>
            <w:r w:rsidRPr="0057720D">
              <w:rPr>
                <w:rFonts w:ascii="Arial" w:hAnsi="Arial" w:cs="Arial"/>
                <w:sz w:val="18"/>
                <w:szCs w:val="18"/>
                <w:lang w:val="es-ES"/>
              </w:rPr>
              <w:t>,</w:t>
            </w:r>
            <w:r>
              <w:rPr>
                <w:rFonts w:ascii="Arial" w:hAnsi="Arial" w:cs="Arial"/>
                <w:sz w:val="18"/>
                <w:szCs w:val="18"/>
                <w:lang w:val="es-ES"/>
              </w:rPr>
              <w:t>0</w:t>
            </w:r>
            <w:r w:rsidRPr="0057720D">
              <w:rPr>
                <w:rFonts w:ascii="Arial" w:hAnsi="Arial" w:cs="Arial"/>
                <w:sz w:val="18"/>
                <w:szCs w:val="18"/>
                <w:lang w:val="es-ES"/>
              </w:rPr>
              <w:t>8</w:t>
            </w:r>
            <w:r>
              <w:rPr>
                <w:rFonts w:ascii="Arial" w:hAnsi="Arial" w:cs="Arial"/>
                <w:sz w:val="18"/>
                <w:szCs w:val="18"/>
                <w:lang w:val="es-ES"/>
              </w:rPr>
              <w:t>3</w:t>
            </w:r>
            <w:r w:rsidRPr="0057720D">
              <w:rPr>
                <w:rFonts w:ascii="Arial" w:hAnsi="Arial" w:cs="Arial"/>
                <w:sz w:val="18"/>
                <w:szCs w:val="18"/>
                <w:lang w:val="es-ES"/>
              </w:rPr>
              <w:t>,</w:t>
            </w:r>
            <w:r>
              <w:rPr>
                <w:rFonts w:ascii="Arial" w:hAnsi="Arial" w:cs="Arial"/>
                <w:sz w:val="18"/>
                <w:szCs w:val="18"/>
                <w:lang w:val="es-ES"/>
              </w:rPr>
              <w:t>53</w:t>
            </w:r>
            <w:r w:rsidRPr="0057720D">
              <w:rPr>
                <w:rFonts w:ascii="Arial" w:hAnsi="Arial" w:cs="Arial"/>
                <w:sz w:val="18"/>
                <w:szCs w:val="18"/>
                <w:lang w:val="es-ES"/>
              </w:rPr>
              <w:t>4</w:t>
            </w:r>
          </w:p>
        </w:tc>
        <w:tc>
          <w:tcPr>
            <w:tcW w:w="1134" w:type="dxa"/>
            <w:tcBorders>
              <w:top w:val="nil"/>
              <w:left w:val="single" w:sz="4" w:space="0" w:color="auto"/>
              <w:bottom w:val="nil"/>
              <w:right w:val="double" w:sz="4" w:space="0" w:color="auto"/>
            </w:tcBorders>
            <w:shd w:val="clear" w:color="auto" w:fill="auto"/>
            <w:vAlign w:val="center"/>
            <w:hideMark/>
          </w:tcPr>
          <w:p w14:paraId="3915A134"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w:t>
            </w:r>
            <w:r>
              <w:rPr>
                <w:rFonts w:ascii="Arial" w:hAnsi="Arial" w:cs="Arial"/>
                <w:sz w:val="18"/>
                <w:szCs w:val="18"/>
                <w:lang w:val="es-ES"/>
              </w:rPr>
              <w:t>996</w:t>
            </w:r>
            <w:r w:rsidRPr="0057720D">
              <w:rPr>
                <w:rFonts w:ascii="Arial" w:hAnsi="Arial" w:cs="Arial"/>
                <w:sz w:val="18"/>
                <w:szCs w:val="18"/>
                <w:lang w:val="es-ES"/>
              </w:rPr>
              <w:t>,</w:t>
            </w:r>
            <w:r>
              <w:rPr>
                <w:rFonts w:ascii="Arial" w:hAnsi="Arial" w:cs="Arial"/>
                <w:sz w:val="18"/>
                <w:szCs w:val="18"/>
                <w:lang w:val="es-ES"/>
              </w:rPr>
              <w:t>99</w:t>
            </w:r>
            <w:r w:rsidRPr="0057720D">
              <w:rPr>
                <w:rFonts w:ascii="Arial" w:hAnsi="Arial" w:cs="Arial"/>
                <w:sz w:val="18"/>
                <w:szCs w:val="18"/>
                <w:lang w:val="es-ES"/>
              </w:rPr>
              <w:t>7</w:t>
            </w:r>
          </w:p>
        </w:tc>
        <w:tc>
          <w:tcPr>
            <w:tcW w:w="1264" w:type="dxa"/>
            <w:tcBorders>
              <w:top w:val="nil"/>
              <w:left w:val="single" w:sz="4" w:space="0" w:color="auto"/>
              <w:bottom w:val="nil"/>
              <w:right w:val="double" w:sz="4" w:space="0" w:color="auto"/>
            </w:tcBorders>
            <w:shd w:val="clear" w:color="auto" w:fill="auto"/>
            <w:vAlign w:val="center"/>
          </w:tcPr>
          <w:p w14:paraId="0DD62242"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4,7</w:t>
            </w:r>
            <w:r>
              <w:rPr>
                <w:rFonts w:ascii="Arial" w:hAnsi="Arial" w:cs="Arial"/>
                <w:sz w:val="18"/>
                <w:szCs w:val="18"/>
                <w:lang w:val="es-ES"/>
              </w:rPr>
              <w:t>1</w:t>
            </w:r>
            <w:r w:rsidRPr="0057720D">
              <w:rPr>
                <w:rFonts w:ascii="Arial" w:hAnsi="Arial" w:cs="Arial"/>
                <w:sz w:val="18"/>
                <w:szCs w:val="18"/>
                <w:lang w:val="es-ES"/>
              </w:rPr>
              <w:t>3,07</w:t>
            </w:r>
            <w:r>
              <w:rPr>
                <w:rFonts w:ascii="Arial" w:hAnsi="Arial" w:cs="Arial"/>
                <w:sz w:val="18"/>
                <w:szCs w:val="18"/>
                <w:lang w:val="es-ES"/>
              </w:rPr>
              <w:t>9</w:t>
            </w:r>
          </w:p>
        </w:tc>
      </w:tr>
      <w:tr w:rsidR="001107A9" w14:paraId="70FF6C76" w14:textId="77777777" w:rsidTr="00DA3BDB">
        <w:trPr>
          <w:trHeight w:val="201"/>
          <w:jc w:val="center"/>
        </w:trPr>
        <w:tc>
          <w:tcPr>
            <w:tcW w:w="2263" w:type="dxa"/>
            <w:tcBorders>
              <w:top w:val="nil"/>
              <w:left w:val="double" w:sz="4" w:space="0" w:color="auto"/>
              <w:bottom w:val="double" w:sz="4" w:space="0" w:color="auto"/>
              <w:right w:val="single" w:sz="4" w:space="0" w:color="auto"/>
            </w:tcBorders>
            <w:shd w:val="clear" w:color="auto" w:fill="auto"/>
            <w:vAlign w:val="center"/>
            <w:hideMark/>
          </w:tcPr>
          <w:p w14:paraId="1F4DFCEF" w14:textId="77777777" w:rsidR="001107A9" w:rsidRPr="0057720D" w:rsidRDefault="001107A9" w:rsidP="00E73206">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Resto del Mundo</w:t>
            </w:r>
          </w:p>
        </w:tc>
        <w:tc>
          <w:tcPr>
            <w:tcW w:w="1134" w:type="dxa"/>
            <w:tcBorders>
              <w:top w:val="nil"/>
              <w:left w:val="double" w:sz="4" w:space="0" w:color="auto"/>
              <w:bottom w:val="double" w:sz="4" w:space="0" w:color="auto"/>
              <w:right w:val="single" w:sz="4" w:space="0" w:color="auto"/>
            </w:tcBorders>
            <w:shd w:val="clear" w:color="auto" w:fill="auto"/>
            <w:vAlign w:val="center"/>
            <w:hideMark/>
          </w:tcPr>
          <w:p w14:paraId="0DED2DAD" w14:textId="77777777" w:rsidR="001107A9" w:rsidRPr="0057720D" w:rsidRDefault="001107A9" w:rsidP="00E73206">
            <w:pPr>
              <w:spacing w:before="60"/>
              <w:jc w:val="right"/>
              <w:rPr>
                <w:rFonts w:ascii="Arial" w:hAnsi="Arial" w:cs="Arial"/>
                <w:sz w:val="18"/>
                <w:szCs w:val="18"/>
                <w:lang w:val="es-ES"/>
              </w:rPr>
            </w:pPr>
            <w:r>
              <w:rPr>
                <w:rFonts w:ascii="Arial" w:hAnsi="Arial" w:cs="Arial"/>
                <w:sz w:val="18"/>
                <w:szCs w:val="18"/>
                <w:lang w:val="es-ES"/>
              </w:rPr>
              <w:t>623</w:t>
            </w:r>
            <w:r w:rsidRPr="0057720D">
              <w:rPr>
                <w:rFonts w:ascii="Arial" w:hAnsi="Arial" w:cs="Arial"/>
                <w:sz w:val="18"/>
                <w:szCs w:val="18"/>
                <w:lang w:val="es-ES"/>
              </w:rPr>
              <w:t>,1</w:t>
            </w:r>
            <w:r>
              <w:rPr>
                <w:rFonts w:ascii="Arial" w:hAnsi="Arial" w:cs="Arial"/>
                <w:sz w:val="18"/>
                <w:szCs w:val="18"/>
                <w:lang w:val="es-ES"/>
              </w:rPr>
              <w:t>37</w:t>
            </w:r>
          </w:p>
        </w:tc>
        <w:tc>
          <w:tcPr>
            <w:tcW w:w="1134" w:type="dxa"/>
            <w:tcBorders>
              <w:top w:val="nil"/>
              <w:left w:val="single" w:sz="4" w:space="0" w:color="auto"/>
              <w:bottom w:val="double" w:sz="4" w:space="0" w:color="auto"/>
              <w:right w:val="single" w:sz="4" w:space="0" w:color="auto"/>
            </w:tcBorders>
            <w:shd w:val="clear" w:color="auto" w:fill="auto"/>
            <w:vAlign w:val="center"/>
            <w:hideMark/>
          </w:tcPr>
          <w:p w14:paraId="5EFDF8F2" w14:textId="77777777" w:rsidR="001107A9" w:rsidRPr="0057720D" w:rsidRDefault="001107A9" w:rsidP="00E73206">
            <w:pPr>
              <w:spacing w:before="60"/>
              <w:jc w:val="right"/>
              <w:rPr>
                <w:rFonts w:ascii="Arial" w:hAnsi="Arial" w:cs="Arial"/>
                <w:sz w:val="18"/>
                <w:szCs w:val="18"/>
                <w:lang w:val="es-ES"/>
              </w:rPr>
            </w:pPr>
            <w:r>
              <w:rPr>
                <w:rFonts w:ascii="Arial" w:hAnsi="Arial" w:cs="Arial"/>
                <w:sz w:val="18"/>
                <w:szCs w:val="18"/>
                <w:lang w:val="es-ES"/>
              </w:rPr>
              <w:t>7</w:t>
            </w:r>
            <w:r w:rsidRPr="0057720D">
              <w:rPr>
                <w:rFonts w:ascii="Arial" w:hAnsi="Arial" w:cs="Arial"/>
                <w:sz w:val="18"/>
                <w:szCs w:val="18"/>
                <w:lang w:val="es-ES"/>
              </w:rPr>
              <w:t>0,</w:t>
            </w:r>
            <w:r>
              <w:rPr>
                <w:rFonts w:ascii="Arial" w:hAnsi="Arial" w:cs="Arial"/>
                <w:sz w:val="18"/>
                <w:szCs w:val="18"/>
                <w:lang w:val="es-ES"/>
              </w:rPr>
              <w:t>091</w:t>
            </w:r>
          </w:p>
        </w:tc>
        <w:tc>
          <w:tcPr>
            <w:tcW w:w="1277" w:type="dxa"/>
            <w:tcBorders>
              <w:top w:val="nil"/>
              <w:left w:val="single" w:sz="4" w:space="0" w:color="auto"/>
              <w:bottom w:val="double" w:sz="4" w:space="0" w:color="auto"/>
              <w:right w:val="single" w:sz="4" w:space="0" w:color="auto"/>
            </w:tcBorders>
            <w:shd w:val="clear" w:color="auto" w:fill="auto"/>
            <w:vAlign w:val="center"/>
            <w:hideMark/>
          </w:tcPr>
          <w:p w14:paraId="50445778" w14:textId="77777777" w:rsidR="001107A9" w:rsidRPr="0057720D" w:rsidRDefault="001107A9" w:rsidP="00E73206">
            <w:pPr>
              <w:spacing w:before="60"/>
              <w:ind w:left="-46" w:right="-57"/>
              <w:jc w:val="right"/>
              <w:rPr>
                <w:rFonts w:ascii="Arial" w:hAnsi="Arial" w:cs="Arial"/>
                <w:sz w:val="18"/>
                <w:szCs w:val="18"/>
                <w:lang w:val="es-ES"/>
              </w:rPr>
            </w:pPr>
            <w:r w:rsidRPr="0057720D">
              <w:rPr>
                <w:rFonts w:ascii="Arial" w:hAnsi="Arial" w:cs="Arial"/>
                <w:sz w:val="18"/>
                <w:szCs w:val="18"/>
                <w:lang w:val="es-ES"/>
              </w:rPr>
              <w:t>(-) 1,</w:t>
            </w:r>
            <w:r>
              <w:rPr>
                <w:rFonts w:ascii="Arial" w:hAnsi="Arial" w:cs="Arial"/>
                <w:sz w:val="18"/>
                <w:szCs w:val="18"/>
                <w:lang w:val="es-ES"/>
              </w:rPr>
              <w:t>46</w:t>
            </w:r>
            <w:r w:rsidRPr="0057720D">
              <w:rPr>
                <w:rFonts w:ascii="Arial" w:hAnsi="Arial" w:cs="Arial"/>
                <w:sz w:val="18"/>
                <w:szCs w:val="18"/>
                <w:lang w:val="es-ES"/>
              </w:rPr>
              <w:t>8,9</w:t>
            </w:r>
            <w:r>
              <w:rPr>
                <w:rFonts w:ascii="Arial" w:hAnsi="Arial" w:cs="Arial"/>
                <w:sz w:val="18"/>
                <w:szCs w:val="18"/>
                <w:lang w:val="es-ES"/>
              </w:rPr>
              <w:t>45</w:t>
            </w:r>
          </w:p>
        </w:tc>
        <w:tc>
          <w:tcPr>
            <w:tcW w:w="1277" w:type="dxa"/>
            <w:tcBorders>
              <w:top w:val="nil"/>
              <w:left w:val="single" w:sz="4" w:space="0" w:color="auto"/>
              <w:bottom w:val="double" w:sz="4" w:space="0" w:color="auto"/>
              <w:right w:val="single" w:sz="4" w:space="0" w:color="auto"/>
            </w:tcBorders>
            <w:shd w:val="clear" w:color="auto" w:fill="auto"/>
            <w:vAlign w:val="center"/>
            <w:hideMark/>
          </w:tcPr>
          <w:p w14:paraId="68DC8496"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 1,</w:t>
            </w:r>
            <w:r>
              <w:rPr>
                <w:rFonts w:ascii="Arial" w:hAnsi="Arial" w:cs="Arial"/>
                <w:sz w:val="18"/>
                <w:szCs w:val="18"/>
                <w:lang w:val="es-ES"/>
              </w:rPr>
              <w:t>393</w:t>
            </w:r>
            <w:r w:rsidRPr="0057720D">
              <w:rPr>
                <w:rFonts w:ascii="Arial" w:hAnsi="Arial" w:cs="Arial"/>
                <w:sz w:val="18"/>
                <w:szCs w:val="18"/>
                <w:lang w:val="es-ES"/>
              </w:rPr>
              <w:t>,</w:t>
            </w:r>
            <w:r>
              <w:rPr>
                <w:rFonts w:ascii="Arial" w:hAnsi="Arial" w:cs="Arial"/>
                <w:sz w:val="18"/>
                <w:szCs w:val="18"/>
                <w:lang w:val="es-ES"/>
              </w:rPr>
              <w:t>264</w:t>
            </w:r>
          </w:p>
        </w:tc>
        <w:tc>
          <w:tcPr>
            <w:tcW w:w="1134" w:type="dxa"/>
            <w:tcBorders>
              <w:top w:val="nil"/>
              <w:left w:val="single" w:sz="4" w:space="0" w:color="auto"/>
              <w:bottom w:val="double" w:sz="4" w:space="0" w:color="auto"/>
              <w:right w:val="double" w:sz="4" w:space="0" w:color="auto"/>
            </w:tcBorders>
            <w:shd w:val="clear" w:color="auto" w:fill="auto"/>
            <w:vAlign w:val="center"/>
            <w:hideMark/>
          </w:tcPr>
          <w:p w14:paraId="6ED76134" w14:textId="77777777" w:rsidR="001107A9" w:rsidRPr="0057720D" w:rsidRDefault="001107A9" w:rsidP="00E73206">
            <w:pPr>
              <w:spacing w:before="60"/>
              <w:jc w:val="right"/>
              <w:rPr>
                <w:rFonts w:ascii="Arial" w:hAnsi="Arial" w:cs="Arial"/>
                <w:sz w:val="18"/>
                <w:szCs w:val="18"/>
                <w:lang w:val="es-ES"/>
              </w:rPr>
            </w:pPr>
            <w:r w:rsidRPr="0057720D">
              <w:rPr>
                <w:rFonts w:ascii="Arial" w:hAnsi="Arial" w:cs="Arial"/>
                <w:sz w:val="18"/>
                <w:szCs w:val="18"/>
                <w:lang w:val="es-ES"/>
              </w:rPr>
              <w:t>(-) 5</w:t>
            </w:r>
            <w:r>
              <w:rPr>
                <w:rFonts w:ascii="Arial" w:hAnsi="Arial" w:cs="Arial"/>
                <w:sz w:val="18"/>
                <w:szCs w:val="18"/>
                <w:lang w:val="es-ES"/>
              </w:rPr>
              <w:t>42</w:t>
            </w:r>
            <w:r w:rsidRPr="0057720D">
              <w:rPr>
                <w:rFonts w:ascii="Arial" w:hAnsi="Arial" w:cs="Arial"/>
                <w:sz w:val="18"/>
                <w:szCs w:val="18"/>
                <w:lang w:val="es-ES"/>
              </w:rPr>
              <w:t>,</w:t>
            </w:r>
            <w:r>
              <w:rPr>
                <w:rFonts w:ascii="Arial" w:hAnsi="Arial" w:cs="Arial"/>
                <w:sz w:val="18"/>
                <w:szCs w:val="18"/>
                <w:lang w:val="es-ES"/>
              </w:rPr>
              <w:t>245</w:t>
            </w:r>
          </w:p>
        </w:tc>
        <w:tc>
          <w:tcPr>
            <w:tcW w:w="1264" w:type="dxa"/>
            <w:tcBorders>
              <w:top w:val="nil"/>
              <w:left w:val="single" w:sz="4" w:space="0" w:color="auto"/>
              <w:bottom w:val="double" w:sz="4" w:space="0" w:color="auto"/>
              <w:right w:val="double" w:sz="4" w:space="0" w:color="auto"/>
            </w:tcBorders>
            <w:shd w:val="clear" w:color="auto" w:fill="auto"/>
            <w:vAlign w:val="center"/>
          </w:tcPr>
          <w:p w14:paraId="57B90B9D" w14:textId="4974ED2B" w:rsidR="001107A9" w:rsidRPr="0057720D" w:rsidRDefault="001107A9" w:rsidP="00E73206">
            <w:pPr>
              <w:spacing w:before="60"/>
              <w:jc w:val="right"/>
              <w:rPr>
                <w:rFonts w:ascii="Arial" w:hAnsi="Arial" w:cs="Arial"/>
                <w:sz w:val="18"/>
                <w:szCs w:val="18"/>
                <w:lang w:val="es-ES"/>
              </w:rPr>
            </w:pPr>
            <w:r>
              <w:rPr>
                <w:rFonts w:ascii="Arial" w:hAnsi="Arial" w:cs="Arial"/>
                <w:sz w:val="18"/>
                <w:szCs w:val="18"/>
                <w:lang w:val="es-ES"/>
              </w:rPr>
              <w:t>4</w:t>
            </w:r>
            <w:r w:rsidRPr="0057720D">
              <w:rPr>
                <w:rFonts w:ascii="Arial" w:hAnsi="Arial" w:cs="Arial"/>
                <w:sz w:val="18"/>
                <w:szCs w:val="18"/>
                <w:lang w:val="es-ES"/>
              </w:rPr>
              <w:t>3</w:t>
            </w:r>
            <w:r>
              <w:rPr>
                <w:rFonts w:ascii="Arial" w:hAnsi="Arial" w:cs="Arial"/>
                <w:sz w:val="18"/>
                <w:szCs w:val="18"/>
                <w:lang w:val="es-ES"/>
              </w:rPr>
              <w:t>3</w:t>
            </w:r>
            <w:r w:rsidRPr="0057720D">
              <w:rPr>
                <w:rFonts w:ascii="Arial" w:hAnsi="Arial" w:cs="Arial"/>
                <w:sz w:val="18"/>
                <w:szCs w:val="18"/>
                <w:lang w:val="es-ES"/>
              </w:rPr>
              <w:t>,</w:t>
            </w:r>
            <w:r>
              <w:rPr>
                <w:rFonts w:ascii="Arial" w:hAnsi="Arial" w:cs="Arial"/>
                <w:sz w:val="18"/>
                <w:szCs w:val="18"/>
                <w:lang w:val="es-ES"/>
              </w:rPr>
              <w:t>400</w:t>
            </w:r>
          </w:p>
        </w:tc>
      </w:tr>
    </w:tbl>
    <w:p w14:paraId="11F0D053" w14:textId="77777777" w:rsidR="001107A9" w:rsidRPr="00CF64DE" w:rsidRDefault="001107A9" w:rsidP="00CF64DE">
      <w:pPr>
        <w:pStyle w:val="Textoindependiente"/>
        <w:spacing w:before="0" w:line="180" w:lineRule="exact"/>
        <w:ind w:left="851" w:hanging="1134"/>
        <w:jc w:val="left"/>
        <w:rPr>
          <w:rFonts w:cs="Arial"/>
          <w:color w:val="000000" w:themeColor="text1"/>
          <w:sz w:val="16"/>
          <w:szCs w:val="16"/>
        </w:rPr>
      </w:pPr>
      <w:r w:rsidRPr="00CF64DE">
        <w:rPr>
          <w:rFonts w:cs="Arial"/>
          <w:color w:val="000000" w:themeColor="text1"/>
          <w:sz w:val="16"/>
          <w:szCs w:val="16"/>
        </w:rPr>
        <w:t>Nota: La suma de los parciales puede no coincidir con el total debido al redondeo.</w:t>
      </w:r>
    </w:p>
    <w:p w14:paraId="5E74B187" w14:textId="77777777" w:rsidR="001107A9" w:rsidRPr="00CF64DE" w:rsidRDefault="001107A9" w:rsidP="00CF64DE">
      <w:pPr>
        <w:pStyle w:val="p0"/>
        <w:keepNext/>
        <w:spacing w:before="0"/>
        <w:ind w:left="851" w:hanging="1134"/>
        <w:rPr>
          <w:rFonts w:cs="Arial"/>
          <w:color w:val="000000" w:themeColor="text1"/>
          <w:sz w:val="16"/>
          <w:szCs w:val="16"/>
        </w:rPr>
      </w:pPr>
      <w:r w:rsidRPr="00CF64DE">
        <w:rPr>
          <w:rFonts w:cs="Arial"/>
          <w:color w:val="000000" w:themeColor="text1"/>
          <w:sz w:val="16"/>
          <w:szCs w:val="16"/>
          <w:vertAlign w:val="superscript"/>
        </w:rPr>
        <w:t>R/</w:t>
      </w:r>
      <w:r w:rsidRPr="00CF64DE">
        <w:rPr>
          <w:rFonts w:cs="Arial"/>
          <w:color w:val="000000" w:themeColor="text1"/>
          <w:sz w:val="16"/>
          <w:szCs w:val="16"/>
        </w:rPr>
        <w:t xml:space="preserve"> Cifras revisadas.</w:t>
      </w:r>
    </w:p>
    <w:p w14:paraId="3DCB7CC8" w14:textId="77777777" w:rsidR="001107A9" w:rsidRPr="00CF64DE" w:rsidRDefault="001107A9" w:rsidP="00CF64DE">
      <w:pPr>
        <w:pStyle w:val="p0"/>
        <w:keepNext/>
        <w:spacing w:before="0"/>
        <w:ind w:left="851" w:hanging="1134"/>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427EDE58" w14:textId="77777777" w:rsidR="001107A9" w:rsidRDefault="001107A9" w:rsidP="00CF64DE">
      <w:pPr>
        <w:pStyle w:val="Textoindependiente"/>
        <w:spacing w:before="0" w:line="180" w:lineRule="exact"/>
        <w:ind w:left="851" w:hanging="1134"/>
        <w:jc w:val="left"/>
        <w:rPr>
          <w:rFonts w:cs="Arial"/>
          <w:color w:val="000000" w:themeColor="text1"/>
          <w:sz w:val="18"/>
          <w:szCs w:val="18"/>
        </w:rPr>
      </w:pPr>
      <w:r w:rsidRPr="00CF64DE">
        <w:rPr>
          <w:rFonts w:cs="Arial"/>
          <w:sz w:val="16"/>
          <w:szCs w:val="16"/>
        </w:rPr>
        <w:t>Fuente: INEGI.</w:t>
      </w:r>
    </w:p>
    <w:p w14:paraId="54E92DCE" w14:textId="77777777" w:rsidR="001107A9" w:rsidRDefault="001107A9" w:rsidP="00CF64DE">
      <w:pPr>
        <w:pStyle w:val="Textoindependiente"/>
        <w:spacing w:before="0"/>
        <w:ind w:left="1276" w:hanging="1134"/>
        <w:jc w:val="center"/>
        <w:rPr>
          <w:rFonts w:cs="Arial"/>
          <w:color w:val="000000" w:themeColor="text1"/>
          <w:sz w:val="18"/>
          <w:szCs w:val="18"/>
        </w:rPr>
      </w:pPr>
      <w:r w:rsidRPr="001E3DC3">
        <w:rPr>
          <w:rFonts w:cs="Arial"/>
          <w:sz w:val="20"/>
          <w:szCs w:val="22"/>
        </w:rPr>
        <w:t xml:space="preserve">Cuadro </w:t>
      </w:r>
      <w:r>
        <w:rPr>
          <w:rFonts w:cs="Arial"/>
          <w:sz w:val="20"/>
          <w:szCs w:val="22"/>
        </w:rPr>
        <w:t>7</w:t>
      </w:r>
    </w:p>
    <w:p w14:paraId="108F2BAE" w14:textId="77777777" w:rsidR="001107A9" w:rsidRDefault="001107A9" w:rsidP="001107A9">
      <w:pPr>
        <w:pStyle w:val="p0"/>
        <w:keepNext/>
        <w:widowControl/>
        <w:spacing w:before="0"/>
        <w:jc w:val="center"/>
        <w:rPr>
          <w:rFonts w:cs="Arial"/>
          <w:b/>
          <w:smallCaps/>
          <w:color w:val="auto"/>
          <w:sz w:val="22"/>
          <w:szCs w:val="22"/>
          <w:lang w:eastAsia="es-MX"/>
        </w:rPr>
      </w:pPr>
      <w:r>
        <w:rPr>
          <w:rFonts w:cs="Arial"/>
          <w:b/>
          <w:smallCaps/>
          <w:color w:val="auto"/>
          <w:sz w:val="22"/>
          <w:szCs w:val="22"/>
          <w:lang w:eastAsia="es-MX"/>
        </w:rPr>
        <w:t xml:space="preserve">Indicador Trimestral del Ahorro Bruto </w:t>
      </w:r>
      <w:r>
        <w:rPr>
          <w:rFonts w:cs="Arial"/>
          <w:b/>
          <w:smallCaps/>
          <w:color w:val="auto"/>
          <w:sz w:val="22"/>
          <w:szCs w:val="22"/>
          <w:lang w:eastAsia="es-MX"/>
        </w:rPr>
        <w:br/>
        <w:t>al primer trimestre de 2021</w:t>
      </w:r>
    </w:p>
    <w:p w14:paraId="5F8B5EA4" w14:textId="77777777" w:rsidR="001107A9" w:rsidRPr="00100026" w:rsidRDefault="001107A9" w:rsidP="001107A9">
      <w:pPr>
        <w:pStyle w:val="p0"/>
        <w:keepNext/>
        <w:widowControl/>
        <w:spacing w:before="0"/>
        <w:jc w:val="center"/>
        <w:rPr>
          <w:rFonts w:cs="Arial"/>
          <w:bCs/>
          <w:color w:val="auto"/>
          <w:sz w:val="18"/>
          <w:szCs w:val="18"/>
          <w:lang w:val="es-MX" w:eastAsia="es-MX"/>
        </w:rPr>
      </w:pPr>
      <w:r w:rsidRPr="00100026">
        <w:rPr>
          <w:rFonts w:cs="Arial"/>
          <w:bCs/>
          <w:color w:val="auto"/>
          <w:sz w:val="18"/>
          <w:szCs w:val="18"/>
          <w:lang w:eastAsia="es-MX"/>
        </w:rPr>
        <w:t>(Porcentajes)</w:t>
      </w:r>
    </w:p>
    <w:tbl>
      <w:tblPr>
        <w:tblStyle w:val="Tablaconcuadrcula"/>
        <w:tblW w:w="9365" w:type="dxa"/>
        <w:jc w:val="center"/>
        <w:tblLayout w:type="fixed"/>
        <w:tblLook w:val="04A0" w:firstRow="1" w:lastRow="0" w:firstColumn="1" w:lastColumn="0" w:noHBand="0" w:noVBand="1"/>
      </w:tblPr>
      <w:tblGrid>
        <w:gridCol w:w="2263"/>
        <w:gridCol w:w="1134"/>
        <w:gridCol w:w="1124"/>
        <w:gridCol w:w="1276"/>
        <w:gridCol w:w="1288"/>
        <w:gridCol w:w="1134"/>
        <w:gridCol w:w="1146"/>
      </w:tblGrid>
      <w:tr w:rsidR="001107A9" w14:paraId="55FD1A33" w14:textId="77777777" w:rsidTr="00E73206">
        <w:trPr>
          <w:trHeight w:val="255"/>
          <w:jc w:val="center"/>
        </w:trPr>
        <w:tc>
          <w:tcPr>
            <w:tcW w:w="2263" w:type="dxa"/>
            <w:vMerge w:val="restart"/>
            <w:tcBorders>
              <w:top w:val="double" w:sz="4" w:space="0" w:color="auto"/>
              <w:left w:val="double" w:sz="4" w:space="0" w:color="auto"/>
              <w:bottom w:val="single" w:sz="4" w:space="0" w:color="auto"/>
              <w:right w:val="single" w:sz="4" w:space="0" w:color="auto"/>
            </w:tcBorders>
            <w:shd w:val="clear" w:color="auto" w:fill="C2D69B" w:themeFill="accent3" w:themeFillTint="99"/>
            <w:vAlign w:val="center"/>
            <w:hideMark/>
          </w:tcPr>
          <w:p w14:paraId="00BAAEC5"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Concepto</w:t>
            </w:r>
          </w:p>
        </w:tc>
        <w:tc>
          <w:tcPr>
            <w:tcW w:w="5956" w:type="dxa"/>
            <w:gridSpan w:val="5"/>
            <w:tcBorders>
              <w:top w:val="double" w:sz="4" w:space="0" w:color="auto"/>
              <w:left w:val="double" w:sz="4" w:space="0" w:color="auto"/>
              <w:bottom w:val="nil"/>
              <w:right w:val="double" w:sz="4" w:space="0" w:color="auto"/>
            </w:tcBorders>
            <w:shd w:val="clear" w:color="auto" w:fill="C2D69B" w:themeFill="accent3" w:themeFillTint="99"/>
            <w:hideMark/>
          </w:tcPr>
          <w:p w14:paraId="14CF7258"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2020</w:t>
            </w:r>
            <w:r w:rsidRPr="0057720D">
              <w:rPr>
                <w:rFonts w:ascii="Arial" w:hAnsi="Arial" w:cs="Arial"/>
                <w:b/>
                <w:sz w:val="18"/>
                <w:szCs w:val="18"/>
                <w:vertAlign w:val="superscript"/>
                <w:lang w:val="es-ES"/>
              </w:rPr>
              <w:t>R/</w:t>
            </w:r>
          </w:p>
        </w:tc>
        <w:tc>
          <w:tcPr>
            <w:tcW w:w="1146" w:type="dxa"/>
            <w:tcBorders>
              <w:top w:val="double" w:sz="4" w:space="0" w:color="auto"/>
              <w:left w:val="double" w:sz="4" w:space="0" w:color="auto"/>
              <w:bottom w:val="nil"/>
              <w:right w:val="double" w:sz="4" w:space="0" w:color="auto"/>
            </w:tcBorders>
            <w:shd w:val="clear" w:color="auto" w:fill="C2D69B" w:themeFill="accent3" w:themeFillTint="99"/>
          </w:tcPr>
          <w:p w14:paraId="756244FA" w14:textId="656CDFDA"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2021</w:t>
            </w:r>
            <w:r w:rsidR="008F0BDC" w:rsidRPr="0057720D">
              <w:rPr>
                <w:rFonts w:ascii="Arial" w:hAnsi="Arial" w:cs="Arial"/>
                <w:b/>
                <w:sz w:val="18"/>
                <w:szCs w:val="18"/>
                <w:vertAlign w:val="superscript"/>
                <w:lang w:val="es-ES"/>
              </w:rPr>
              <w:t>P</w:t>
            </w:r>
            <w:r w:rsidR="008F0BDC">
              <w:rPr>
                <w:rFonts w:ascii="Arial" w:hAnsi="Arial" w:cs="Arial"/>
                <w:b/>
                <w:sz w:val="18"/>
                <w:szCs w:val="18"/>
                <w:vertAlign w:val="superscript"/>
                <w:lang w:val="es-ES"/>
              </w:rPr>
              <w:t>/</w:t>
            </w:r>
          </w:p>
        </w:tc>
      </w:tr>
      <w:tr w:rsidR="001107A9" w14:paraId="34ACC81E" w14:textId="77777777" w:rsidTr="00E73206">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tcPr>
          <w:p w14:paraId="69E303FF" w14:textId="77777777" w:rsidR="001107A9" w:rsidRPr="0057720D" w:rsidRDefault="001107A9" w:rsidP="00E73206">
            <w:pPr>
              <w:rPr>
                <w:rFonts w:ascii="Arial" w:hAnsi="Arial" w:cs="Arial"/>
                <w:b/>
                <w:sz w:val="18"/>
                <w:szCs w:val="18"/>
                <w:lang w:val="es-ES"/>
              </w:rPr>
            </w:pPr>
          </w:p>
        </w:tc>
        <w:tc>
          <w:tcPr>
            <w:tcW w:w="4822" w:type="dxa"/>
            <w:gridSpan w:val="4"/>
            <w:tcBorders>
              <w:top w:val="single" w:sz="4" w:space="0" w:color="auto"/>
              <w:left w:val="double" w:sz="4" w:space="0" w:color="auto"/>
              <w:bottom w:val="single" w:sz="4" w:space="0" w:color="auto"/>
              <w:right w:val="single" w:sz="4" w:space="0" w:color="auto"/>
            </w:tcBorders>
            <w:shd w:val="clear" w:color="auto" w:fill="C2D69B" w:themeFill="accent3" w:themeFillTint="99"/>
            <w:vAlign w:val="center"/>
          </w:tcPr>
          <w:p w14:paraId="451D35F0" w14:textId="77777777"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Trimestre</w:t>
            </w:r>
          </w:p>
        </w:tc>
        <w:tc>
          <w:tcPr>
            <w:tcW w:w="1134" w:type="dxa"/>
            <w:vMerge w:val="restart"/>
            <w:tcBorders>
              <w:top w:val="single" w:sz="4" w:space="0" w:color="auto"/>
              <w:left w:val="single" w:sz="4" w:space="0" w:color="auto"/>
              <w:right w:val="double" w:sz="4" w:space="0" w:color="auto"/>
            </w:tcBorders>
            <w:shd w:val="clear" w:color="auto" w:fill="C2D69B" w:themeFill="accent3" w:themeFillTint="99"/>
            <w:vAlign w:val="center"/>
          </w:tcPr>
          <w:p w14:paraId="0CAB0C09"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Anual</w:t>
            </w:r>
          </w:p>
        </w:tc>
        <w:tc>
          <w:tcPr>
            <w:tcW w:w="1146"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18F97290" w14:textId="77777777"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Trimestre</w:t>
            </w:r>
          </w:p>
        </w:tc>
      </w:tr>
      <w:tr w:rsidR="001107A9" w14:paraId="66068437" w14:textId="77777777" w:rsidTr="00E73206">
        <w:trPr>
          <w:trHeight w:val="229"/>
          <w:jc w:val="center"/>
        </w:trPr>
        <w:tc>
          <w:tcPr>
            <w:tcW w:w="2263" w:type="dxa"/>
            <w:vMerge/>
            <w:tcBorders>
              <w:top w:val="double" w:sz="4" w:space="0" w:color="auto"/>
              <w:left w:val="double" w:sz="4" w:space="0" w:color="auto"/>
              <w:bottom w:val="double" w:sz="4" w:space="0" w:color="auto"/>
              <w:right w:val="single" w:sz="4" w:space="0" w:color="auto"/>
            </w:tcBorders>
            <w:vAlign w:val="center"/>
            <w:hideMark/>
          </w:tcPr>
          <w:p w14:paraId="6385FD84" w14:textId="77777777" w:rsidR="001107A9" w:rsidRPr="0057720D" w:rsidRDefault="001107A9" w:rsidP="00E73206">
            <w:pPr>
              <w:rPr>
                <w:rFonts w:ascii="Arial" w:hAnsi="Arial" w:cs="Arial"/>
                <w:b/>
                <w:sz w:val="18"/>
                <w:szCs w:val="18"/>
                <w:lang w:val="es-ES"/>
              </w:rPr>
            </w:pPr>
          </w:p>
        </w:tc>
        <w:tc>
          <w:tcPr>
            <w:tcW w:w="1134" w:type="dxa"/>
            <w:tcBorders>
              <w:top w:val="single" w:sz="4" w:space="0" w:color="auto"/>
              <w:left w:val="double" w:sz="4" w:space="0" w:color="auto"/>
              <w:bottom w:val="double" w:sz="4" w:space="0" w:color="auto"/>
              <w:right w:val="single" w:sz="4" w:space="0" w:color="auto"/>
            </w:tcBorders>
            <w:shd w:val="clear" w:color="auto" w:fill="C2D69B" w:themeFill="accent3" w:themeFillTint="99"/>
            <w:vAlign w:val="center"/>
            <w:hideMark/>
          </w:tcPr>
          <w:p w14:paraId="265B89E5"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w:t>
            </w:r>
          </w:p>
        </w:tc>
        <w:tc>
          <w:tcPr>
            <w:tcW w:w="1124"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20C5E0F9"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II</w:t>
            </w:r>
          </w:p>
        </w:tc>
        <w:tc>
          <w:tcPr>
            <w:tcW w:w="1276"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62546E92"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III</w:t>
            </w:r>
          </w:p>
        </w:tc>
        <w:tc>
          <w:tcPr>
            <w:tcW w:w="1288" w:type="dxa"/>
            <w:tcBorders>
              <w:top w:val="single" w:sz="4" w:space="0" w:color="auto"/>
              <w:left w:val="single" w:sz="4" w:space="0" w:color="auto"/>
              <w:bottom w:val="double" w:sz="4" w:space="0" w:color="auto"/>
              <w:right w:val="single" w:sz="4" w:space="0" w:color="auto"/>
            </w:tcBorders>
            <w:shd w:val="clear" w:color="auto" w:fill="C2D69B" w:themeFill="accent3" w:themeFillTint="99"/>
            <w:vAlign w:val="center"/>
            <w:hideMark/>
          </w:tcPr>
          <w:p w14:paraId="5C22C721" w14:textId="77777777" w:rsidR="001107A9" w:rsidRPr="0057720D" w:rsidRDefault="001107A9" w:rsidP="00E73206">
            <w:pPr>
              <w:spacing w:before="60"/>
              <w:jc w:val="center"/>
              <w:rPr>
                <w:rFonts w:ascii="Arial" w:hAnsi="Arial" w:cs="Arial"/>
                <w:b/>
                <w:sz w:val="18"/>
                <w:szCs w:val="18"/>
                <w:lang w:val="es-ES"/>
              </w:rPr>
            </w:pPr>
            <w:r w:rsidRPr="0057720D">
              <w:rPr>
                <w:rFonts w:ascii="Arial" w:hAnsi="Arial" w:cs="Arial"/>
                <w:b/>
                <w:sz w:val="18"/>
                <w:szCs w:val="18"/>
                <w:lang w:val="es-ES"/>
              </w:rPr>
              <w:t>IV</w:t>
            </w:r>
          </w:p>
        </w:tc>
        <w:tc>
          <w:tcPr>
            <w:tcW w:w="1134" w:type="dxa"/>
            <w:vMerge/>
            <w:tcBorders>
              <w:left w:val="single" w:sz="4" w:space="0" w:color="auto"/>
              <w:bottom w:val="double" w:sz="4" w:space="0" w:color="auto"/>
              <w:right w:val="double" w:sz="4" w:space="0" w:color="auto"/>
            </w:tcBorders>
            <w:shd w:val="clear" w:color="auto" w:fill="C2D69B" w:themeFill="accent3" w:themeFillTint="99"/>
            <w:vAlign w:val="center"/>
            <w:hideMark/>
          </w:tcPr>
          <w:p w14:paraId="3D3E3300" w14:textId="77777777" w:rsidR="001107A9" w:rsidRPr="0057720D" w:rsidRDefault="001107A9" w:rsidP="00E73206">
            <w:pPr>
              <w:spacing w:before="60"/>
              <w:jc w:val="center"/>
              <w:rPr>
                <w:rFonts w:ascii="Arial" w:hAnsi="Arial" w:cs="Arial"/>
                <w:b/>
                <w:sz w:val="18"/>
                <w:szCs w:val="18"/>
                <w:lang w:val="es-ES"/>
              </w:rPr>
            </w:pPr>
          </w:p>
        </w:tc>
        <w:tc>
          <w:tcPr>
            <w:tcW w:w="1146"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16376410" w14:textId="682819A6" w:rsidR="001107A9" w:rsidRPr="0057720D" w:rsidRDefault="001107A9" w:rsidP="00E73206">
            <w:pPr>
              <w:spacing w:before="60"/>
              <w:jc w:val="center"/>
              <w:rPr>
                <w:rFonts w:ascii="Arial" w:hAnsi="Arial" w:cs="Arial"/>
                <w:b/>
                <w:sz w:val="18"/>
                <w:szCs w:val="18"/>
                <w:lang w:val="es-ES"/>
              </w:rPr>
            </w:pPr>
            <w:r>
              <w:rPr>
                <w:rFonts w:ascii="Arial" w:hAnsi="Arial" w:cs="Arial"/>
                <w:b/>
                <w:sz w:val="18"/>
                <w:szCs w:val="18"/>
                <w:lang w:val="es-ES"/>
              </w:rPr>
              <w:t>I</w:t>
            </w:r>
          </w:p>
        </w:tc>
      </w:tr>
      <w:tr w:rsidR="001107A9" w14:paraId="25524CD7" w14:textId="77777777" w:rsidTr="00E73206">
        <w:trPr>
          <w:trHeight w:val="201"/>
          <w:jc w:val="center"/>
        </w:trPr>
        <w:tc>
          <w:tcPr>
            <w:tcW w:w="2263" w:type="dxa"/>
            <w:tcBorders>
              <w:top w:val="double" w:sz="4" w:space="0" w:color="auto"/>
              <w:left w:val="double" w:sz="4" w:space="0" w:color="auto"/>
              <w:bottom w:val="nil"/>
              <w:right w:val="double" w:sz="4" w:space="0" w:color="auto"/>
            </w:tcBorders>
            <w:shd w:val="clear" w:color="auto" w:fill="FFFFFF" w:themeFill="background1"/>
            <w:vAlign w:val="center"/>
            <w:hideMark/>
          </w:tcPr>
          <w:p w14:paraId="230B19FC" w14:textId="77777777" w:rsidR="001107A9" w:rsidRPr="00DF7FA1" w:rsidRDefault="001107A9" w:rsidP="00E73206">
            <w:pPr>
              <w:rPr>
                <w:rFonts w:ascii="Arial" w:hAnsi="Arial" w:cs="Arial"/>
                <w:b/>
                <w:bCs/>
                <w:sz w:val="18"/>
                <w:szCs w:val="18"/>
                <w:lang w:val="es-ES"/>
              </w:rPr>
            </w:pPr>
            <w:r w:rsidRPr="00DF7FA1">
              <w:rPr>
                <w:rFonts w:ascii="Arial" w:hAnsi="Arial" w:cs="Arial"/>
                <w:b/>
                <w:bCs/>
                <w:sz w:val="18"/>
                <w:szCs w:val="18"/>
                <w:lang w:val="es-ES"/>
              </w:rPr>
              <w:t>Producto Interno Bruto</w:t>
            </w:r>
          </w:p>
        </w:tc>
        <w:tc>
          <w:tcPr>
            <w:tcW w:w="1134" w:type="dxa"/>
            <w:tcBorders>
              <w:top w:val="double" w:sz="4" w:space="0" w:color="auto"/>
              <w:left w:val="double" w:sz="4" w:space="0" w:color="auto"/>
              <w:bottom w:val="nil"/>
              <w:right w:val="single" w:sz="4" w:space="0" w:color="auto"/>
            </w:tcBorders>
            <w:shd w:val="clear" w:color="auto" w:fill="FFFFFF" w:themeFill="background1"/>
            <w:vAlign w:val="center"/>
            <w:hideMark/>
          </w:tcPr>
          <w:p w14:paraId="7BF09084"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24" w:type="dxa"/>
            <w:tcBorders>
              <w:top w:val="double" w:sz="4" w:space="0" w:color="auto"/>
              <w:left w:val="single" w:sz="4" w:space="0" w:color="auto"/>
              <w:bottom w:val="nil"/>
              <w:right w:val="single" w:sz="4" w:space="0" w:color="auto"/>
            </w:tcBorders>
            <w:shd w:val="clear" w:color="auto" w:fill="FFFFFF" w:themeFill="background1"/>
            <w:vAlign w:val="center"/>
            <w:hideMark/>
          </w:tcPr>
          <w:p w14:paraId="56E50C17"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276" w:type="dxa"/>
            <w:tcBorders>
              <w:top w:val="double" w:sz="4" w:space="0" w:color="auto"/>
              <w:left w:val="single" w:sz="4" w:space="0" w:color="auto"/>
              <w:bottom w:val="nil"/>
              <w:right w:val="single" w:sz="4" w:space="0" w:color="auto"/>
            </w:tcBorders>
            <w:shd w:val="clear" w:color="auto" w:fill="FFFFFF" w:themeFill="background1"/>
            <w:vAlign w:val="center"/>
            <w:hideMark/>
          </w:tcPr>
          <w:p w14:paraId="2C0DBD2D"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288" w:type="dxa"/>
            <w:tcBorders>
              <w:top w:val="double" w:sz="4" w:space="0" w:color="auto"/>
              <w:left w:val="single" w:sz="4" w:space="0" w:color="auto"/>
              <w:bottom w:val="nil"/>
              <w:right w:val="single" w:sz="4" w:space="0" w:color="auto"/>
            </w:tcBorders>
            <w:shd w:val="clear" w:color="auto" w:fill="FFFFFF" w:themeFill="background1"/>
            <w:vAlign w:val="center"/>
            <w:hideMark/>
          </w:tcPr>
          <w:p w14:paraId="261F33A0"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34" w:type="dxa"/>
            <w:tcBorders>
              <w:top w:val="double" w:sz="4" w:space="0" w:color="auto"/>
              <w:left w:val="single" w:sz="4" w:space="0" w:color="auto"/>
              <w:bottom w:val="nil"/>
              <w:right w:val="double" w:sz="4" w:space="0" w:color="auto"/>
            </w:tcBorders>
            <w:shd w:val="clear" w:color="auto" w:fill="FFFFFF" w:themeFill="background1"/>
            <w:vAlign w:val="center"/>
            <w:hideMark/>
          </w:tcPr>
          <w:p w14:paraId="160C5785"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c>
          <w:tcPr>
            <w:tcW w:w="1146" w:type="dxa"/>
            <w:tcBorders>
              <w:top w:val="double" w:sz="4" w:space="0" w:color="auto"/>
              <w:left w:val="double" w:sz="4" w:space="0" w:color="auto"/>
              <w:bottom w:val="nil"/>
              <w:right w:val="double" w:sz="4" w:space="0" w:color="auto"/>
            </w:tcBorders>
            <w:shd w:val="clear" w:color="auto" w:fill="FFFFFF" w:themeFill="background1"/>
            <w:vAlign w:val="center"/>
          </w:tcPr>
          <w:p w14:paraId="72864D59" w14:textId="77777777" w:rsidR="001107A9" w:rsidRPr="0057720D" w:rsidRDefault="001107A9" w:rsidP="00E73206">
            <w:pPr>
              <w:spacing w:before="60"/>
              <w:ind w:left="-136" w:right="170"/>
              <w:jc w:val="right"/>
              <w:rPr>
                <w:rFonts w:ascii="Arial" w:hAnsi="Arial" w:cs="Arial"/>
                <w:b/>
                <w:sz w:val="18"/>
                <w:szCs w:val="18"/>
                <w:lang w:val="es-ES"/>
              </w:rPr>
            </w:pPr>
            <w:r w:rsidRPr="0057720D">
              <w:rPr>
                <w:rFonts w:ascii="Arial" w:hAnsi="Arial" w:cs="Arial"/>
                <w:b/>
                <w:sz w:val="18"/>
                <w:szCs w:val="18"/>
                <w:lang w:val="es-ES"/>
              </w:rPr>
              <w:t>100.0</w:t>
            </w:r>
          </w:p>
        </w:tc>
      </w:tr>
      <w:tr w:rsidR="001107A9" w14:paraId="758ABDC8" w14:textId="77777777" w:rsidTr="00DA3BDB">
        <w:trPr>
          <w:trHeight w:val="201"/>
          <w:jc w:val="center"/>
        </w:trPr>
        <w:tc>
          <w:tcPr>
            <w:tcW w:w="2263" w:type="dxa"/>
            <w:tcBorders>
              <w:top w:val="nil"/>
              <w:left w:val="double" w:sz="4" w:space="0" w:color="auto"/>
              <w:bottom w:val="nil"/>
              <w:right w:val="double" w:sz="4" w:space="0" w:color="auto"/>
            </w:tcBorders>
            <w:shd w:val="clear" w:color="auto" w:fill="auto"/>
            <w:vAlign w:val="center"/>
            <w:hideMark/>
          </w:tcPr>
          <w:p w14:paraId="615A912C" w14:textId="77777777" w:rsidR="001107A9" w:rsidRPr="0057720D" w:rsidRDefault="001107A9" w:rsidP="00E73206">
            <w:pPr>
              <w:spacing w:before="60"/>
              <w:rPr>
                <w:rFonts w:ascii="Arial" w:hAnsi="Arial" w:cs="Arial"/>
                <w:sz w:val="18"/>
                <w:szCs w:val="18"/>
                <w:lang w:val="es-ES"/>
              </w:rPr>
            </w:pPr>
            <w:r w:rsidRPr="0057720D">
              <w:rPr>
                <w:rFonts w:ascii="Arial" w:hAnsi="Arial" w:cs="Arial"/>
                <w:sz w:val="18"/>
                <w:szCs w:val="18"/>
                <w:lang w:val="es-ES"/>
              </w:rPr>
              <w:t>Ahorro Bruto</w:t>
            </w:r>
          </w:p>
        </w:tc>
        <w:tc>
          <w:tcPr>
            <w:tcW w:w="1134" w:type="dxa"/>
            <w:tcBorders>
              <w:top w:val="nil"/>
              <w:left w:val="double" w:sz="4" w:space="0" w:color="auto"/>
              <w:bottom w:val="nil"/>
              <w:right w:val="single" w:sz="4" w:space="0" w:color="auto"/>
            </w:tcBorders>
            <w:shd w:val="clear" w:color="auto" w:fill="auto"/>
            <w:vAlign w:val="center"/>
            <w:hideMark/>
          </w:tcPr>
          <w:p w14:paraId="6A80203F"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20.</w:t>
            </w:r>
            <w:r>
              <w:rPr>
                <w:rFonts w:ascii="Arial" w:hAnsi="Arial" w:cs="Arial"/>
                <w:sz w:val="18"/>
                <w:szCs w:val="18"/>
                <w:lang w:val="es-ES"/>
              </w:rPr>
              <w:t>2</w:t>
            </w:r>
          </w:p>
        </w:tc>
        <w:tc>
          <w:tcPr>
            <w:tcW w:w="1124" w:type="dxa"/>
            <w:tcBorders>
              <w:top w:val="nil"/>
              <w:left w:val="single" w:sz="4" w:space="0" w:color="auto"/>
              <w:bottom w:val="nil"/>
              <w:right w:val="single" w:sz="4" w:space="0" w:color="auto"/>
            </w:tcBorders>
            <w:shd w:val="clear" w:color="auto" w:fill="auto"/>
            <w:vAlign w:val="center"/>
            <w:hideMark/>
          </w:tcPr>
          <w:p w14:paraId="5061F3DE"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18.</w:t>
            </w:r>
            <w:r>
              <w:rPr>
                <w:rFonts w:ascii="Arial" w:hAnsi="Arial" w:cs="Arial"/>
                <w:sz w:val="18"/>
                <w:szCs w:val="18"/>
                <w:lang w:val="es-ES"/>
              </w:rPr>
              <w:t>4</w:t>
            </w:r>
          </w:p>
        </w:tc>
        <w:tc>
          <w:tcPr>
            <w:tcW w:w="1276" w:type="dxa"/>
            <w:tcBorders>
              <w:top w:val="nil"/>
              <w:left w:val="single" w:sz="4" w:space="0" w:color="auto"/>
              <w:bottom w:val="nil"/>
              <w:right w:val="single" w:sz="4" w:space="0" w:color="auto"/>
            </w:tcBorders>
            <w:shd w:val="clear" w:color="auto" w:fill="auto"/>
            <w:vAlign w:val="center"/>
            <w:hideMark/>
          </w:tcPr>
          <w:p w14:paraId="58D56377"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19.</w:t>
            </w:r>
            <w:r>
              <w:rPr>
                <w:rFonts w:ascii="Arial" w:hAnsi="Arial" w:cs="Arial"/>
                <w:sz w:val="18"/>
                <w:szCs w:val="18"/>
                <w:lang w:val="es-ES"/>
              </w:rPr>
              <w:t>5</w:t>
            </w:r>
          </w:p>
        </w:tc>
        <w:tc>
          <w:tcPr>
            <w:tcW w:w="1288" w:type="dxa"/>
            <w:tcBorders>
              <w:top w:val="nil"/>
              <w:left w:val="single" w:sz="4" w:space="0" w:color="auto"/>
              <w:bottom w:val="nil"/>
              <w:right w:val="single" w:sz="4" w:space="0" w:color="auto"/>
            </w:tcBorders>
            <w:shd w:val="clear" w:color="auto" w:fill="auto"/>
            <w:vAlign w:val="center"/>
            <w:hideMark/>
          </w:tcPr>
          <w:p w14:paraId="0D55A194"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8</w:t>
            </w:r>
            <w:r w:rsidRPr="0057720D">
              <w:rPr>
                <w:rFonts w:ascii="Arial" w:hAnsi="Arial" w:cs="Arial"/>
                <w:sz w:val="18"/>
                <w:szCs w:val="18"/>
                <w:lang w:val="es-ES"/>
              </w:rPr>
              <w:t>.</w:t>
            </w:r>
            <w:r>
              <w:rPr>
                <w:rFonts w:ascii="Arial" w:hAnsi="Arial" w:cs="Arial"/>
                <w:sz w:val="18"/>
                <w:szCs w:val="18"/>
                <w:lang w:val="es-ES"/>
              </w:rPr>
              <w:t>9</w:t>
            </w:r>
          </w:p>
        </w:tc>
        <w:tc>
          <w:tcPr>
            <w:tcW w:w="1134" w:type="dxa"/>
            <w:tcBorders>
              <w:top w:val="nil"/>
              <w:left w:val="single" w:sz="4" w:space="0" w:color="auto"/>
              <w:bottom w:val="nil"/>
              <w:right w:val="double" w:sz="4" w:space="0" w:color="auto"/>
            </w:tcBorders>
            <w:shd w:val="clear" w:color="auto" w:fill="auto"/>
            <w:vAlign w:val="center"/>
            <w:hideMark/>
          </w:tcPr>
          <w:p w14:paraId="292459F9"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19.3</w:t>
            </w:r>
          </w:p>
        </w:tc>
        <w:tc>
          <w:tcPr>
            <w:tcW w:w="1146" w:type="dxa"/>
            <w:tcBorders>
              <w:top w:val="nil"/>
              <w:left w:val="double" w:sz="4" w:space="0" w:color="auto"/>
              <w:bottom w:val="nil"/>
              <w:right w:val="double" w:sz="4" w:space="0" w:color="auto"/>
            </w:tcBorders>
            <w:shd w:val="clear" w:color="auto" w:fill="auto"/>
            <w:vAlign w:val="center"/>
          </w:tcPr>
          <w:p w14:paraId="729C6990" w14:textId="77777777" w:rsidR="001107A9" w:rsidRPr="0057720D" w:rsidRDefault="001107A9" w:rsidP="00E73206">
            <w:pPr>
              <w:spacing w:before="60"/>
              <w:ind w:left="-136" w:right="170"/>
              <w:jc w:val="right"/>
              <w:rPr>
                <w:rFonts w:ascii="Arial" w:hAnsi="Arial" w:cs="Arial"/>
                <w:sz w:val="18"/>
                <w:szCs w:val="18"/>
                <w:lang w:val="es-ES"/>
              </w:rPr>
            </w:pPr>
            <w:r>
              <w:rPr>
                <w:rFonts w:ascii="Arial" w:hAnsi="Arial" w:cs="Arial"/>
                <w:sz w:val="18"/>
                <w:szCs w:val="18"/>
                <w:lang w:val="es-ES"/>
              </w:rPr>
              <w:t>20</w:t>
            </w:r>
            <w:r w:rsidRPr="0057720D">
              <w:rPr>
                <w:rFonts w:ascii="Arial" w:hAnsi="Arial" w:cs="Arial"/>
                <w:sz w:val="18"/>
                <w:szCs w:val="18"/>
                <w:lang w:val="es-ES"/>
              </w:rPr>
              <w:t>.</w:t>
            </w:r>
            <w:r>
              <w:rPr>
                <w:rFonts w:ascii="Arial" w:hAnsi="Arial" w:cs="Arial"/>
                <w:sz w:val="18"/>
                <w:szCs w:val="18"/>
                <w:lang w:val="es-ES"/>
              </w:rPr>
              <w:t>7</w:t>
            </w:r>
          </w:p>
        </w:tc>
      </w:tr>
      <w:tr w:rsidR="001107A9" w14:paraId="4978BB12" w14:textId="77777777" w:rsidTr="00DA3BDB">
        <w:trPr>
          <w:jc w:val="center"/>
        </w:trPr>
        <w:tc>
          <w:tcPr>
            <w:tcW w:w="2263" w:type="dxa"/>
            <w:tcBorders>
              <w:top w:val="nil"/>
              <w:left w:val="double" w:sz="4" w:space="0" w:color="auto"/>
              <w:bottom w:val="nil"/>
              <w:right w:val="double" w:sz="4" w:space="0" w:color="auto"/>
            </w:tcBorders>
            <w:shd w:val="clear" w:color="auto" w:fill="auto"/>
            <w:vAlign w:val="center"/>
            <w:hideMark/>
          </w:tcPr>
          <w:p w14:paraId="669FA740" w14:textId="77777777" w:rsidR="001107A9" w:rsidRPr="0057720D" w:rsidRDefault="001107A9" w:rsidP="00E73206">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Economía Interna</w:t>
            </w:r>
          </w:p>
        </w:tc>
        <w:tc>
          <w:tcPr>
            <w:tcW w:w="1134" w:type="dxa"/>
            <w:tcBorders>
              <w:top w:val="nil"/>
              <w:left w:val="double" w:sz="4" w:space="0" w:color="auto"/>
              <w:bottom w:val="nil"/>
              <w:right w:val="single" w:sz="4" w:space="0" w:color="auto"/>
            </w:tcBorders>
            <w:shd w:val="clear" w:color="auto" w:fill="auto"/>
            <w:vAlign w:val="center"/>
            <w:hideMark/>
          </w:tcPr>
          <w:p w14:paraId="15E03D5C"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7</w:t>
            </w:r>
            <w:r w:rsidRPr="0057720D">
              <w:rPr>
                <w:rFonts w:ascii="Arial" w:hAnsi="Arial" w:cs="Arial"/>
                <w:sz w:val="18"/>
                <w:szCs w:val="18"/>
                <w:lang w:val="es-ES"/>
              </w:rPr>
              <w:t>.</w:t>
            </w:r>
            <w:r>
              <w:rPr>
                <w:rFonts w:ascii="Arial" w:hAnsi="Arial" w:cs="Arial"/>
                <w:sz w:val="18"/>
                <w:szCs w:val="18"/>
                <w:lang w:val="es-ES"/>
              </w:rPr>
              <w:t>7</w:t>
            </w:r>
          </w:p>
        </w:tc>
        <w:tc>
          <w:tcPr>
            <w:tcW w:w="1124" w:type="dxa"/>
            <w:tcBorders>
              <w:top w:val="nil"/>
              <w:left w:val="single" w:sz="4" w:space="0" w:color="auto"/>
              <w:bottom w:val="nil"/>
              <w:right w:val="single" w:sz="4" w:space="0" w:color="auto"/>
            </w:tcBorders>
            <w:shd w:val="clear" w:color="auto" w:fill="auto"/>
            <w:vAlign w:val="center"/>
            <w:hideMark/>
          </w:tcPr>
          <w:p w14:paraId="569EB69B"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18.</w:t>
            </w:r>
            <w:r>
              <w:rPr>
                <w:rFonts w:ascii="Arial" w:hAnsi="Arial" w:cs="Arial"/>
                <w:sz w:val="18"/>
                <w:szCs w:val="18"/>
                <w:lang w:val="es-ES"/>
              </w:rPr>
              <w:t>1</w:t>
            </w:r>
          </w:p>
        </w:tc>
        <w:tc>
          <w:tcPr>
            <w:tcW w:w="1276" w:type="dxa"/>
            <w:tcBorders>
              <w:top w:val="nil"/>
              <w:left w:val="single" w:sz="4" w:space="0" w:color="auto"/>
              <w:bottom w:val="nil"/>
              <w:right w:val="single" w:sz="4" w:space="0" w:color="auto"/>
            </w:tcBorders>
            <w:shd w:val="clear" w:color="auto" w:fill="auto"/>
            <w:vAlign w:val="center"/>
            <w:hideMark/>
          </w:tcPr>
          <w:p w14:paraId="21D03D64"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25.9</w:t>
            </w:r>
          </w:p>
        </w:tc>
        <w:tc>
          <w:tcPr>
            <w:tcW w:w="1288" w:type="dxa"/>
            <w:tcBorders>
              <w:top w:val="nil"/>
              <w:left w:val="single" w:sz="4" w:space="0" w:color="auto"/>
              <w:bottom w:val="nil"/>
              <w:right w:val="single" w:sz="4" w:space="0" w:color="auto"/>
            </w:tcBorders>
            <w:shd w:val="clear" w:color="auto" w:fill="auto"/>
            <w:vAlign w:val="center"/>
            <w:hideMark/>
          </w:tcPr>
          <w:p w14:paraId="4CCFDA14"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2</w:t>
            </w:r>
            <w:r>
              <w:rPr>
                <w:rFonts w:ascii="Arial" w:hAnsi="Arial" w:cs="Arial"/>
                <w:sz w:val="18"/>
                <w:szCs w:val="18"/>
                <w:lang w:val="es-ES"/>
              </w:rPr>
              <w:t>4</w:t>
            </w:r>
            <w:r w:rsidRPr="0057720D">
              <w:rPr>
                <w:rFonts w:ascii="Arial" w:hAnsi="Arial" w:cs="Arial"/>
                <w:sz w:val="18"/>
                <w:szCs w:val="18"/>
                <w:lang w:val="es-ES"/>
              </w:rPr>
              <w:t>.</w:t>
            </w:r>
            <w:r>
              <w:rPr>
                <w:rFonts w:ascii="Arial" w:hAnsi="Arial" w:cs="Arial"/>
                <w:sz w:val="18"/>
                <w:szCs w:val="18"/>
                <w:lang w:val="es-ES"/>
              </w:rPr>
              <w:t>5</w:t>
            </w:r>
          </w:p>
        </w:tc>
        <w:tc>
          <w:tcPr>
            <w:tcW w:w="1134" w:type="dxa"/>
            <w:tcBorders>
              <w:top w:val="nil"/>
              <w:left w:val="single" w:sz="4" w:space="0" w:color="auto"/>
              <w:bottom w:val="nil"/>
              <w:right w:val="double" w:sz="4" w:space="0" w:color="auto"/>
            </w:tcBorders>
            <w:shd w:val="clear" w:color="auto" w:fill="auto"/>
            <w:vAlign w:val="center"/>
            <w:hideMark/>
          </w:tcPr>
          <w:p w14:paraId="5CEE064F"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21.</w:t>
            </w:r>
            <w:r>
              <w:rPr>
                <w:rFonts w:ascii="Arial" w:hAnsi="Arial" w:cs="Arial"/>
                <w:sz w:val="18"/>
                <w:szCs w:val="18"/>
                <w:lang w:val="es-ES"/>
              </w:rPr>
              <w:t>7</w:t>
            </w:r>
          </w:p>
        </w:tc>
        <w:tc>
          <w:tcPr>
            <w:tcW w:w="1146" w:type="dxa"/>
            <w:tcBorders>
              <w:top w:val="nil"/>
              <w:left w:val="double" w:sz="4" w:space="0" w:color="auto"/>
              <w:bottom w:val="nil"/>
              <w:right w:val="double" w:sz="4" w:space="0" w:color="auto"/>
            </w:tcBorders>
            <w:shd w:val="clear" w:color="auto" w:fill="auto"/>
            <w:vAlign w:val="center"/>
          </w:tcPr>
          <w:p w14:paraId="3274E4C2"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w:t>
            </w:r>
            <w:r>
              <w:rPr>
                <w:rFonts w:ascii="Arial" w:hAnsi="Arial" w:cs="Arial"/>
                <w:sz w:val="18"/>
                <w:szCs w:val="18"/>
                <w:lang w:val="es-ES"/>
              </w:rPr>
              <w:t>8</w:t>
            </w:r>
            <w:r w:rsidRPr="0057720D">
              <w:rPr>
                <w:rFonts w:ascii="Arial" w:hAnsi="Arial" w:cs="Arial"/>
                <w:sz w:val="18"/>
                <w:szCs w:val="18"/>
                <w:lang w:val="es-ES"/>
              </w:rPr>
              <w:t>.</w:t>
            </w:r>
            <w:r>
              <w:rPr>
                <w:rFonts w:ascii="Arial" w:hAnsi="Arial" w:cs="Arial"/>
                <w:sz w:val="18"/>
                <w:szCs w:val="18"/>
                <w:lang w:val="es-ES"/>
              </w:rPr>
              <w:t>9</w:t>
            </w:r>
          </w:p>
        </w:tc>
      </w:tr>
      <w:tr w:rsidR="001107A9" w14:paraId="07023986" w14:textId="77777777" w:rsidTr="00DA3BDB">
        <w:trPr>
          <w:jc w:val="center"/>
        </w:trPr>
        <w:tc>
          <w:tcPr>
            <w:tcW w:w="2263" w:type="dxa"/>
            <w:tcBorders>
              <w:top w:val="nil"/>
              <w:left w:val="double" w:sz="4" w:space="0" w:color="auto"/>
              <w:bottom w:val="double" w:sz="4" w:space="0" w:color="auto"/>
              <w:right w:val="double" w:sz="4" w:space="0" w:color="auto"/>
            </w:tcBorders>
            <w:shd w:val="clear" w:color="auto" w:fill="auto"/>
            <w:vAlign w:val="center"/>
            <w:hideMark/>
          </w:tcPr>
          <w:p w14:paraId="37AD7E27" w14:textId="77777777" w:rsidR="001107A9" w:rsidRPr="0057720D" w:rsidRDefault="001107A9" w:rsidP="00E73206">
            <w:pPr>
              <w:spacing w:before="60"/>
              <w:rPr>
                <w:rFonts w:ascii="Arial" w:hAnsi="Arial" w:cs="Arial"/>
                <w:sz w:val="18"/>
                <w:szCs w:val="18"/>
                <w:lang w:val="es-ES"/>
              </w:rPr>
            </w:pPr>
            <w:r>
              <w:rPr>
                <w:rFonts w:ascii="Arial" w:hAnsi="Arial" w:cs="Arial"/>
                <w:sz w:val="18"/>
                <w:szCs w:val="18"/>
                <w:lang w:val="es-ES"/>
              </w:rPr>
              <w:t xml:space="preserve">  </w:t>
            </w:r>
            <w:r w:rsidRPr="0057720D">
              <w:rPr>
                <w:rFonts w:ascii="Arial" w:hAnsi="Arial" w:cs="Arial"/>
                <w:sz w:val="18"/>
                <w:szCs w:val="18"/>
                <w:lang w:val="es-ES"/>
              </w:rPr>
              <w:t>Resto del Mundo</w:t>
            </w:r>
          </w:p>
        </w:tc>
        <w:tc>
          <w:tcPr>
            <w:tcW w:w="1134" w:type="dxa"/>
            <w:tcBorders>
              <w:top w:val="nil"/>
              <w:left w:val="double" w:sz="4" w:space="0" w:color="auto"/>
              <w:bottom w:val="double" w:sz="4" w:space="0" w:color="auto"/>
              <w:right w:val="single" w:sz="4" w:space="0" w:color="auto"/>
            </w:tcBorders>
            <w:shd w:val="clear" w:color="auto" w:fill="auto"/>
            <w:vAlign w:val="center"/>
            <w:hideMark/>
          </w:tcPr>
          <w:p w14:paraId="15CD6521" w14:textId="77777777" w:rsidR="001107A9" w:rsidRPr="0057720D" w:rsidRDefault="001107A9" w:rsidP="00E73206">
            <w:pPr>
              <w:spacing w:before="60"/>
              <w:ind w:left="-136" w:right="170"/>
              <w:jc w:val="right"/>
              <w:rPr>
                <w:rFonts w:ascii="Arial" w:hAnsi="Arial" w:cs="Arial"/>
                <w:sz w:val="18"/>
                <w:szCs w:val="18"/>
                <w:lang w:val="es-ES"/>
              </w:rPr>
            </w:pPr>
            <w:r>
              <w:rPr>
                <w:rFonts w:ascii="Arial" w:hAnsi="Arial" w:cs="Arial"/>
                <w:sz w:val="18"/>
                <w:szCs w:val="18"/>
                <w:lang w:val="es-ES"/>
              </w:rPr>
              <w:t>2</w:t>
            </w:r>
            <w:r w:rsidRPr="0057720D">
              <w:rPr>
                <w:rFonts w:ascii="Arial" w:hAnsi="Arial" w:cs="Arial"/>
                <w:sz w:val="18"/>
                <w:szCs w:val="18"/>
                <w:lang w:val="es-ES"/>
              </w:rPr>
              <w:t>.5</w:t>
            </w:r>
          </w:p>
        </w:tc>
        <w:tc>
          <w:tcPr>
            <w:tcW w:w="1124" w:type="dxa"/>
            <w:tcBorders>
              <w:top w:val="nil"/>
              <w:left w:val="single" w:sz="4" w:space="0" w:color="auto"/>
              <w:bottom w:val="double" w:sz="4" w:space="0" w:color="auto"/>
              <w:right w:val="single" w:sz="4" w:space="0" w:color="auto"/>
            </w:tcBorders>
            <w:shd w:val="clear" w:color="auto" w:fill="auto"/>
            <w:vAlign w:val="center"/>
            <w:hideMark/>
          </w:tcPr>
          <w:p w14:paraId="03AD56FE"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0.</w:t>
            </w:r>
            <w:r>
              <w:rPr>
                <w:rFonts w:ascii="Arial" w:hAnsi="Arial" w:cs="Arial"/>
                <w:sz w:val="18"/>
                <w:szCs w:val="18"/>
                <w:lang w:val="es-ES"/>
              </w:rPr>
              <w:t>4</w:t>
            </w:r>
          </w:p>
        </w:tc>
        <w:tc>
          <w:tcPr>
            <w:tcW w:w="1276" w:type="dxa"/>
            <w:tcBorders>
              <w:top w:val="nil"/>
              <w:left w:val="single" w:sz="4" w:space="0" w:color="auto"/>
              <w:bottom w:val="double" w:sz="4" w:space="0" w:color="auto"/>
              <w:right w:val="single" w:sz="4" w:space="0" w:color="auto"/>
            </w:tcBorders>
            <w:shd w:val="clear" w:color="auto" w:fill="auto"/>
            <w:vAlign w:val="center"/>
            <w:hideMark/>
          </w:tcPr>
          <w:p w14:paraId="2BEF0400"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 6.</w:t>
            </w:r>
            <w:r>
              <w:rPr>
                <w:rFonts w:ascii="Arial" w:hAnsi="Arial" w:cs="Arial"/>
                <w:sz w:val="18"/>
                <w:szCs w:val="18"/>
                <w:lang w:val="es-ES"/>
              </w:rPr>
              <w:t>4</w:t>
            </w:r>
          </w:p>
        </w:tc>
        <w:tc>
          <w:tcPr>
            <w:tcW w:w="1288" w:type="dxa"/>
            <w:tcBorders>
              <w:top w:val="nil"/>
              <w:left w:val="single" w:sz="4" w:space="0" w:color="auto"/>
              <w:bottom w:val="double" w:sz="4" w:space="0" w:color="auto"/>
              <w:right w:val="single" w:sz="4" w:space="0" w:color="auto"/>
            </w:tcBorders>
            <w:shd w:val="clear" w:color="auto" w:fill="auto"/>
            <w:vAlign w:val="center"/>
            <w:hideMark/>
          </w:tcPr>
          <w:p w14:paraId="0B79308C"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 5</w:t>
            </w:r>
            <w:r>
              <w:rPr>
                <w:rFonts w:ascii="Arial" w:hAnsi="Arial" w:cs="Arial"/>
                <w:sz w:val="18"/>
                <w:szCs w:val="18"/>
                <w:lang w:val="es-ES"/>
              </w:rPr>
              <w:t>.6</w:t>
            </w:r>
          </w:p>
        </w:tc>
        <w:tc>
          <w:tcPr>
            <w:tcW w:w="1134" w:type="dxa"/>
            <w:tcBorders>
              <w:top w:val="nil"/>
              <w:left w:val="single" w:sz="4" w:space="0" w:color="auto"/>
              <w:bottom w:val="double" w:sz="4" w:space="0" w:color="auto"/>
              <w:right w:val="double" w:sz="4" w:space="0" w:color="auto"/>
            </w:tcBorders>
            <w:shd w:val="clear" w:color="auto" w:fill="auto"/>
            <w:vAlign w:val="center"/>
            <w:hideMark/>
          </w:tcPr>
          <w:p w14:paraId="43481558" w14:textId="77777777"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 xml:space="preserve">(-) </w:t>
            </w:r>
            <w:r>
              <w:rPr>
                <w:rFonts w:ascii="Arial" w:hAnsi="Arial" w:cs="Arial"/>
                <w:sz w:val="18"/>
                <w:szCs w:val="18"/>
                <w:lang w:val="es-ES"/>
              </w:rPr>
              <w:t>2</w:t>
            </w:r>
            <w:r w:rsidRPr="0057720D">
              <w:rPr>
                <w:rFonts w:ascii="Arial" w:hAnsi="Arial" w:cs="Arial"/>
                <w:sz w:val="18"/>
                <w:szCs w:val="18"/>
                <w:lang w:val="es-ES"/>
              </w:rPr>
              <w:t>.</w:t>
            </w:r>
            <w:r>
              <w:rPr>
                <w:rFonts w:ascii="Arial" w:hAnsi="Arial" w:cs="Arial"/>
                <w:sz w:val="18"/>
                <w:szCs w:val="18"/>
                <w:lang w:val="es-ES"/>
              </w:rPr>
              <w:t>4</w:t>
            </w:r>
          </w:p>
        </w:tc>
        <w:tc>
          <w:tcPr>
            <w:tcW w:w="1146" w:type="dxa"/>
            <w:tcBorders>
              <w:top w:val="nil"/>
              <w:left w:val="double" w:sz="4" w:space="0" w:color="auto"/>
              <w:bottom w:val="double" w:sz="4" w:space="0" w:color="auto"/>
              <w:right w:val="double" w:sz="4" w:space="0" w:color="auto"/>
            </w:tcBorders>
            <w:shd w:val="clear" w:color="auto" w:fill="auto"/>
            <w:vAlign w:val="center"/>
          </w:tcPr>
          <w:p w14:paraId="3F67AA6F" w14:textId="76C6F369" w:rsidR="001107A9" w:rsidRPr="0057720D" w:rsidRDefault="001107A9" w:rsidP="00E73206">
            <w:pPr>
              <w:spacing w:before="60"/>
              <w:ind w:left="-136" w:right="170"/>
              <w:jc w:val="right"/>
              <w:rPr>
                <w:rFonts w:ascii="Arial" w:hAnsi="Arial" w:cs="Arial"/>
                <w:sz w:val="18"/>
                <w:szCs w:val="18"/>
                <w:lang w:val="es-ES"/>
              </w:rPr>
            </w:pPr>
            <w:r w:rsidRPr="0057720D">
              <w:rPr>
                <w:rFonts w:ascii="Arial" w:hAnsi="Arial" w:cs="Arial"/>
                <w:sz w:val="18"/>
                <w:szCs w:val="18"/>
                <w:lang w:val="es-ES"/>
              </w:rPr>
              <w:t>1.7</w:t>
            </w:r>
          </w:p>
        </w:tc>
      </w:tr>
    </w:tbl>
    <w:p w14:paraId="7B656AF2" w14:textId="77777777" w:rsidR="001107A9" w:rsidRPr="00CF64DE" w:rsidRDefault="001107A9" w:rsidP="00CF64DE">
      <w:pPr>
        <w:pStyle w:val="Textoindependiente"/>
        <w:spacing w:before="0" w:line="180" w:lineRule="exact"/>
        <w:ind w:left="993" w:hanging="1134"/>
        <w:jc w:val="left"/>
        <w:rPr>
          <w:rFonts w:cs="Arial"/>
          <w:color w:val="000000" w:themeColor="text1"/>
          <w:sz w:val="16"/>
          <w:szCs w:val="16"/>
        </w:rPr>
      </w:pPr>
      <w:r w:rsidRPr="00CF64DE">
        <w:rPr>
          <w:rFonts w:cs="Arial"/>
          <w:color w:val="000000" w:themeColor="text1"/>
          <w:sz w:val="16"/>
          <w:szCs w:val="16"/>
        </w:rPr>
        <w:t>Nota: La suma de los parciales puede no coincidir con el total debido al redondeo.</w:t>
      </w:r>
    </w:p>
    <w:p w14:paraId="7CC4B8A0" w14:textId="77777777" w:rsidR="001107A9" w:rsidRPr="00CF64DE" w:rsidRDefault="001107A9" w:rsidP="00CF64DE">
      <w:pPr>
        <w:pStyle w:val="p0"/>
        <w:keepNext/>
        <w:spacing w:before="0"/>
        <w:ind w:left="993" w:hanging="1134"/>
        <w:rPr>
          <w:rFonts w:cs="Arial"/>
          <w:color w:val="000000" w:themeColor="text1"/>
          <w:sz w:val="16"/>
          <w:szCs w:val="16"/>
        </w:rPr>
      </w:pPr>
      <w:r w:rsidRPr="00CF64DE">
        <w:rPr>
          <w:rFonts w:cs="Arial"/>
          <w:color w:val="000000" w:themeColor="text1"/>
          <w:sz w:val="16"/>
          <w:szCs w:val="16"/>
          <w:vertAlign w:val="superscript"/>
        </w:rPr>
        <w:t>R/</w:t>
      </w:r>
      <w:r w:rsidRPr="00CF64DE">
        <w:rPr>
          <w:rFonts w:cs="Arial"/>
          <w:color w:val="000000" w:themeColor="text1"/>
          <w:sz w:val="16"/>
          <w:szCs w:val="16"/>
        </w:rPr>
        <w:t xml:space="preserve"> Cifras revisadas.</w:t>
      </w:r>
    </w:p>
    <w:p w14:paraId="21EBD5ED" w14:textId="77777777" w:rsidR="001107A9" w:rsidRPr="00CF64DE" w:rsidRDefault="001107A9" w:rsidP="00CF64DE">
      <w:pPr>
        <w:pStyle w:val="p0"/>
        <w:keepNext/>
        <w:spacing w:before="0"/>
        <w:ind w:left="993" w:hanging="1134"/>
        <w:rPr>
          <w:rFonts w:cs="Arial"/>
          <w:color w:val="auto"/>
          <w:sz w:val="16"/>
          <w:szCs w:val="16"/>
        </w:rPr>
      </w:pPr>
      <w:r w:rsidRPr="00CF64DE">
        <w:rPr>
          <w:rFonts w:cs="Arial"/>
          <w:color w:val="auto"/>
          <w:sz w:val="16"/>
          <w:szCs w:val="16"/>
          <w:vertAlign w:val="superscript"/>
        </w:rPr>
        <w:t>P/</w:t>
      </w:r>
      <w:r w:rsidRPr="00CF64DE">
        <w:rPr>
          <w:rFonts w:cs="Arial"/>
          <w:sz w:val="16"/>
          <w:szCs w:val="16"/>
        </w:rPr>
        <w:t xml:space="preserve"> </w:t>
      </w:r>
      <w:r w:rsidRPr="00CF64DE">
        <w:rPr>
          <w:rFonts w:cs="Arial"/>
          <w:color w:val="auto"/>
          <w:sz w:val="16"/>
          <w:szCs w:val="16"/>
        </w:rPr>
        <w:t>Cifras preliminares.</w:t>
      </w:r>
    </w:p>
    <w:p w14:paraId="09D9478C" w14:textId="6F7AAC0D" w:rsidR="00215B14" w:rsidRDefault="001107A9" w:rsidP="00CF64DE">
      <w:pPr>
        <w:pStyle w:val="p0"/>
        <w:keepNext/>
        <w:spacing w:before="0"/>
        <w:ind w:left="993" w:hanging="1134"/>
        <w:rPr>
          <w:rFonts w:cs="Arial"/>
          <w:color w:val="auto"/>
          <w:sz w:val="16"/>
          <w:szCs w:val="16"/>
        </w:rPr>
      </w:pPr>
      <w:r w:rsidRPr="00CF64DE">
        <w:rPr>
          <w:rFonts w:cs="Arial"/>
          <w:color w:val="auto"/>
          <w:sz w:val="16"/>
          <w:szCs w:val="16"/>
        </w:rPr>
        <w:t>Fuente: INEGI.</w:t>
      </w:r>
    </w:p>
    <w:p w14:paraId="0396DFCB" w14:textId="77BE0DE8" w:rsidR="00215435" w:rsidRPr="00696FDA" w:rsidRDefault="00215435" w:rsidP="005D2DE3">
      <w:pPr>
        <w:pStyle w:val="p0"/>
        <w:spacing w:before="180"/>
        <w:rPr>
          <w:b/>
          <w:i/>
          <w:color w:val="auto"/>
        </w:rPr>
      </w:pPr>
      <w:r w:rsidRPr="00696FDA">
        <w:rPr>
          <w:b/>
          <w:i/>
          <w:color w:val="auto"/>
        </w:rPr>
        <w:t>Nota al usuario</w:t>
      </w:r>
    </w:p>
    <w:p w14:paraId="3FF9A89F" w14:textId="50ACC4F1" w:rsidR="00696FDA" w:rsidRPr="00754C47" w:rsidRDefault="00696FDA" w:rsidP="00696FDA">
      <w:pPr>
        <w:spacing w:before="240"/>
        <w:jc w:val="both"/>
        <w:rPr>
          <w:rFonts w:ascii="Arial" w:eastAsiaTheme="minorHAnsi" w:hAnsi="Arial" w:cs="Arial"/>
          <w:sz w:val="24"/>
          <w:szCs w:val="24"/>
        </w:rPr>
      </w:pPr>
      <w:r w:rsidRPr="00754C47">
        <w:rPr>
          <w:rFonts w:ascii="Arial" w:eastAsiaTheme="minorHAnsi" w:hAnsi="Arial" w:cs="Arial"/>
          <w:sz w:val="24"/>
          <w:szCs w:val="24"/>
        </w:rPr>
        <w:t>Con base en los “Lineamientos de cambios a la información divulgada en las publicaciones estadísticas y geográficas del INEGI”</w:t>
      </w:r>
      <w:r w:rsidR="001C0AA0">
        <w:rPr>
          <w:rFonts w:ascii="Arial" w:eastAsiaTheme="minorHAnsi" w:hAnsi="Arial" w:cs="Arial"/>
          <w:sz w:val="24"/>
          <w:szCs w:val="24"/>
        </w:rPr>
        <w:t>,</w:t>
      </w:r>
      <w:r w:rsidRPr="00754C47">
        <w:rPr>
          <w:rFonts w:ascii="Arial" w:eastAsiaTheme="minorHAnsi" w:hAnsi="Arial" w:cs="Arial"/>
          <w:sz w:val="24"/>
          <w:szCs w:val="24"/>
        </w:rPr>
        <w:t xml:space="preserve"> que se complementan con las “Normas Especiales para la Divulgación de Datos” del Fondo Monetario Internacional (FMI), al disponer de un dato más reciente generado por </w:t>
      </w:r>
      <w:r w:rsidR="007F705D">
        <w:rPr>
          <w:rFonts w:ascii="Arial" w:eastAsiaTheme="minorHAnsi" w:hAnsi="Arial" w:cs="Arial"/>
          <w:sz w:val="24"/>
          <w:szCs w:val="24"/>
        </w:rPr>
        <w:t xml:space="preserve">la versión revisada de </w:t>
      </w:r>
      <w:r w:rsidRPr="00754C47">
        <w:rPr>
          <w:rFonts w:ascii="Arial" w:eastAsiaTheme="minorHAnsi" w:hAnsi="Arial" w:cs="Arial"/>
          <w:sz w:val="24"/>
          <w:szCs w:val="24"/>
        </w:rPr>
        <w:t>las Cuentas de Bienes y Servicios</w:t>
      </w:r>
      <w:r w:rsidR="007F705D">
        <w:rPr>
          <w:rFonts w:ascii="Arial" w:eastAsiaTheme="minorHAnsi" w:hAnsi="Arial" w:cs="Arial"/>
          <w:sz w:val="24"/>
          <w:szCs w:val="24"/>
        </w:rPr>
        <w:t xml:space="preserve"> (en este caso de 2019),</w:t>
      </w:r>
      <w:r w:rsidRPr="00754C47">
        <w:rPr>
          <w:rFonts w:ascii="Arial" w:eastAsiaTheme="minorHAnsi" w:hAnsi="Arial" w:cs="Arial"/>
          <w:sz w:val="24"/>
          <w:szCs w:val="24"/>
        </w:rPr>
        <w:t xml:space="preserve"> </w:t>
      </w:r>
      <w:r w:rsidR="009B29D4">
        <w:rPr>
          <w:rFonts w:ascii="Arial" w:eastAsiaTheme="minorHAnsi" w:hAnsi="Arial" w:cs="Arial"/>
          <w:sz w:val="24"/>
          <w:szCs w:val="24"/>
        </w:rPr>
        <w:t>más</w:t>
      </w:r>
      <w:r w:rsidR="007F705D">
        <w:rPr>
          <w:rFonts w:ascii="Arial" w:eastAsiaTheme="minorHAnsi" w:hAnsi="Arial" w:cs="Arial"/>
          <w:sz w:val="24"/>
          <w:szCs w:val="24"/>
        </w:rPr>
        <w:t xml:space="preserve"> </w:t>
      </w:r>
      <w:r w:rsidRPr="00754C47">
        <w:rPr>
          <w:rFonts w:ascii="Arial" w:eastAsiaTheme="minorHAnsi" w:hAnsi="Arial" w:cs="Arial"/>
          <w:sz w:val="24"/>
          <w:szCs w:val="24"/>
        </w:rPr>
        <w:t xml:space="preserve">la incorporación de la construcción del Aeropuerto Internacional Felipe Ángeles </w:t>
      </w:r>
      <w:r w:rsidR="007F705D">
        <w:rPr>
          <w:rFonts w:ascii="Arial" w:eastAsiaTheme="minorHAnsi" w:hAnsi="Arial" w:cs="Arial"/>
          <w:sz w:val="24"/>
          <w:szCs w:val="24"/>
        </w:rPr>
        <w:t>en</w:t>
      </w:r>
      <w:r w:rsidRPr="00754C47">
        <w:rPr>
          <w:rFonts w:ascii="Arial" w:eastAsiaTheme="minorHAnsi" w:hAnsi="Arial" w:cs="Arial"/>
          <w:sz w:val="24"/>
          <w:szCs w:val="24"/>
        </w:rPr>
        <w:t xml:space="preserve"> la Encuesta Nacional de Empresas Constructoras (ENEC) desde octubre </w:t>
      </w:r>
      <w:r w:rsidR="007F705D">
        <w:rPr>
          <w:rFonts w:ascii="Arial" w:eastAsiaTheme="minorHAnsi" w:hAnsi="Arial" w:cs="Arial"/>
          <w:sz w:val="24"/>
          <w:szCs w:val="24"/>
        </w:rPr>
        <w:t xml:space="preserve">de </w:t>
      </w:r>
      <w:r w:rsidRPr="00754C47">
        <w:rPr>
          <w:rFonts w:ascii="Arial" w:eastAsiaTheme="minorHAnsi" w:hAnsi="Arial" w:cs="Arial"/>
          <w:sz w:val="24"/>
          <w:szCs w:val="24"/>
        </w:rPr>
        <w:t>2019</w:t>
      </w:r>
      <w:r w:rsidR="007F705D">
        <w:rPr>
          <w:rFonts w:ascii="Arial" w:eastAsiaTheme="minorHAnsi" w:hAnsi="Arial" w:cs="Arial"/>
          <w:sz w:val="24"/>
          <w:szCs w:val="24"/>
        </w:rPr>
        <w:t>,</w:t>
      </w:r>
      <w:r w:rsidRPr="00754C47">
        <w:rPr>
          <w:rFonts w:ascii="Arial" w:eastAsiaTheme="minorHAnsi" w:hAnsi="Arial" w:cs="Arial"/>
          <w:sz w:val="24"/>
          <w:szCs w:val="24"/>
        </w:rPr>
        <w:t xml:space="preserve"> </w:t>
      </w:r>
      <w:r w:rsidR="009B29D4">
        <w:rPr>
          <w:rFonts w:ascii="Arial" w:eastAsiaTheme="minorHAnsi" w:hAnsi="Arial" w:cs="Arial"/>
          <w:sz w:val="24"/>
          <w:szCs w:val="24"/>
        </w:rPr>
        <w:t>y</w:t>
      </w:r>
      <w:r w:rsidRPr="00754C47">
        <w:rPr>
          <w:rFonts w:ascii="Arial" w:eastAsiaTheme="minorHAnsi" w:hAnsi="Arial" w:cs="Arial"/>
          <w:sz w:val="24"/>
          <w:szCs w:val="24"/>
        </w:rPr>
        <w:t xml:space="preserve"> </w:t>
      </w:r>
      <w:r w:rsidR="007F705D">
        <w:rPr>
          <w:rFonts w:ascii="Arial" w:eastAsiaTheme="minorHAnsi" w:hAnsi="Arial" w:cs="Arial"/>
          <w:sz w:val="24"/>
          <w:szCs w:val="24"/>
        </w:rPr>
        <w:t>con</w:t>
      </w:r>
      <w:r w:rsidRPr="00754C47">
        <w:rPr>
          <w:rFonts w:ascii="Arial" w:eastAsiaTheme="minorHAnsi" w:hAnsi="Arial" w:cs="Arial"/>
          <w:sz w:val="24"/>
          <w:szCs w:val="24"/>
        </w:rPr>
        <w:t xml:space="preserve"> la incorporación de la más reciente información estadística disponible de las </w:t>
      </w:r>
      <w:r>
        <w:rPr>
          <w:rFonts w:ascii="Arial" w:eastAsiaTheme="minorHAnsi" w:hAnsi="Arial" w:cs="Arial"/>
          <w:sz w:val="24"/>
          <w:szCs w:val="24"/>
        </w:rPr>
        <w:t>e</w:t>
      </w:r>
      <w:r w:rsidRPr="00754C47">
        <w:rPr>
          <w:rFonts w:ascii="Arial" w:eastAsiaTheme="minorHAnsi" w:hAnsi="Arial" w:cs="Arial"/>
          <w:sz w:val="24"/>
          <w:szCs w:val="24"/>
        </w:rPr>
        <w:t xml:space="preserve">ncuestas en </w:t>
      </w:r>
      <w:r>
        <w:rPr>
          <w:rFonts w:ascii="Arial" w:eastAsiaTheme="minorHAnsi" w:hAnsi="Arial" w:cs="Arial"/>
          <w:sz w:val="24"/>
          <w:szCs w:val="24"/>
        </w:rPr>
        <w:t>e</w:t>
      </w:r>
      <w:r w:rsidRPr="00754C47">
        <w:rPr>
          <w:rFonts w:ascii="Arial" w:eastAsiaTheme="minorHAnsi" w:hAnsi="Arial" w:cs="Arial"/>
          <w:sz w:val="24"/>
          <w:szCs w:val="24"/>
        </w:rPr>
        <w:t xml:space="preserve">stablecimientos y en hogares, de los </w:t>
      </w:r>
      <w:r>
        <w:rPr>
          <w:rFonts w:ascii="Arial" w:eastAsiaTheme="minorHAnsi" w:hAnsi="Arial" w:cs="Arial"/>
          <w:sz w:val="24"/>
          <w:szCs w:val="24"/>
        </w:rPr>
        <w:t>r</w:t>
      </w:r>
      <w:r w:rsidRPr="00754C47">
        <w:rPr>
          <w:rFonts w:ascii="Arial" w:eastAsiaTheme="minorHAnsi" w:hAnsi="Arial" w:cs="Arial"/>
          <w:sz w:val="24"/>
          <w:szCs w:val="24"/>
        </w:rPr>
        <w:t>egistros administrativos</w:t>
      </w:r>
      <w:r w:rsidR="001C0AA0">
        <w:rPr>
          <w:rFonts w:ascii="Arial" w:eastAsiaTheme="minorHAnsi" w:hAnsi="Arial" w:cs="Arial"/>
          <w:sz w:val="24"/>
          <w:szCs w:val="24"/>
        </w:rPr>
        <w:t xml:space="preserve"> y</w:t>
      </w:r>
      <w:r w:rsidR="009B29D4">
        <w:rPr>
          <w:rFonts w:ascii="Arial" w:eastAsiaTheme="minorHAnsi" w:hAnsi="Arial" w:cs="Arial"/>
          <w:sz w:val="24"/>
          <w:szCs w:val="24"/>
        </w:rPr>
        <w:t xml:space="preserve"> de la </w:t>
      </w:r>
      <w:r w:rsidRPr="00754C47">
        <w:rPr>
          <w:rFonts w:ascii="Arial" w:eastAsiaTheme="minorHAnsi" w:hAnsi="Arial" w:cs="Arial"/>
          <w:sz w:val="24"/>
          <w:szCs w:val="24"/>
        </w:rPr>
        <w:t>Balanza de Pagos, entre otr</w:t>
      </w:r>
      <w:r w:rsidR="00DC536A">
        <w:rPr>
          <w:rFonts w:ascii="Arial" w:eastAsiaTheme="minorHAnsi" w:hAnsi="Arial" w:cs="Arial"/>
          <w:sz w:val="24"/>
          <w:szCs w:val="24"/>
        </w:rPr>
        <w:t>as</w:t>
      </w:r>
      <w:r w:rsidRPr="00754C47">
        <w:rPr>
          <w:rFonts w:ascii="Arial" w:eastAsiaTheme="minorHAnsi" w:hAnsi="Arial" w:cs="Arial"/>
          <w:sz w:val="24"/>
          <w:szCs w:val="24"/>
        </w:rPr>
        <w:t xml:space="preserve">, </w:t>
      </w:r>
      <w:r w:rsidR="007F705D">
        <w:rPr>
          <w:rFonts w:ascii="Arial" w:eastAsiaTheme="minorHAnsi" w:hAnsi="Arial" w:cs="Arial"/>
          <w:sz w:val="24"/>
          <w:szCs w:val="24"/>
        </w:rPr>
        <w:t xml:space="preserve">se </w:t>
      </w:r>
      <w:r w:rsidRPr="00754C47">
        <w:rPr>
          <w:rFonts w:ascii="Arial" w:eastAsiaTheme="minorHAnsi" w:hAnsi="Arial" w:cs="Arial"/>
          <w:sz w:val="24"/>
          <w:szCs w:val="24"/>
        </w:rPr>
        <w:t>actualiza</w:t>
      </w:r>
      <w:r w:rsidR="007F705D">
        <w:rPr>
          <w:rFonts w:ascii="Arial" w:eastAsiaTheme="minorHAnsi" w:hAnsi="Arial" w:cs="Arial"/>
          <w:sz w:val="24"/>
          <w:szCs w:val="24"/>
        </w:rPr>
        <w:t>ron</w:t>
      </w:r>
      <w:r w:rsidRPr="00754C47">
        <w:rPr>
          <w:rFonts w:ascii="Arial" w:eastAsiaTheme="minorHAnsi" w:hAnsi="Arial" w:cs="Arial"/>
          <w:sz w:val="24"/>
          <w:szCs w:val="24"/>
        </w:rPr>
        <w:t xml:space="preserve"> los Indicadores de Corto Plazo</w:t>
      </w:r>
      <w:r w:rsidR="009B29D4">
        <w:rPr>
          <w:rFonts w:ascii="Arial" w:eastAsiaTheme="minorHAnsi" w:hAnsi="Arial" w:cs="Arial"/>
          <w:sz w:val="24"/>
          <w:szCs w:val="24"/>
        </w:rPr>
        <w:t xml:space="preserve"> derivados del SCNM</w:t>
      </w:r>
      <w:r w:rsidRPr="00754C47">
        <w:rPr>
          <w:rFonts w:ascii="Arial" w:eastAsiaTheme="minorHAnsi" w:hAnsi="Arial" w:cs="Arial"/>
          <w:sz w:val="24"/>
          <w:szCs w:val="24"/>
        </w:rPr>
        <w:t xml:space="preserve">. Como resultado de incorporar dicha información, se identifican diferencias en niveles y variaciones de la Oferta y Demanda Global Trimestral (ODGT) </w:t>
      </w:r>
      <w:r>
        <w:rPr>
          <w:rFonts w:ascii="Arial" w:eastAsiaTheme="minorHAnsi" w:hAnsi="Arial" w:cs="Arial"/>
          <w:sz w:val="24"/>
          <w:szCs w:val="24"/>
        </w:rPr>
        <w:t xml:space="preserve">y del </w:t>
      </w:r>
      <w:r w:rsidR="002442B9">
        <w:rPr>
          <w:rFonts w:ascii="Arial" w:eastAsiaTheme="minorHAnsi" w:hAnsi="Arial" w:cs="Arial"/>
          <w:sz w:val="24"/>
          <w:szCs w:val="24"/>
        </w:rPr>
        <w:t xml:space="preserve">Indicador Trimestral del </w:t>
      </w:r>
      <w:r>
        <w:rPr>
          <w:rFonts w:ascii="Arial" w:eastAsiaTheme="minorHAnsi" w:hAnsi="Arial" w:cs="Arial"/>
          <w:sz w:val="24"/>
          <w:szCs w:val="24"/>
        </w:rPr>
        <w:t>Ahorro Bruto</w:t>
      </w:r>
      <w:r w:rsidR="00DC536A">
        <w:rPr>
          <w:rFonts w:ascii="Arial" w:eastAsiaTheme="minorHAnsi" w:hAnsi="Arial" w:cs="Arial"/>
          <w:sz w:val="24"/>
          <w:szCs w:val="24"/>
        </w:rPr>
        <w:t xml:space="preserve"> </w:t>
      </w:r>
      <w:r>
        <w:rPr>
          <w:rFonts w:ascii="Arial" w:eastAsiaTheme="minorHAnsi" w:hAnsi="Arial" w:cs="Arial"/>
          <w:sz w:val="24"/>
          <w:szCs w:val="24"/>
        </w:rPr>
        <w:t xml:space="preserve">(ITAB) </w:t>
      </w:r>
      <w:r w:rsidRPr="00754C47">
        <w:rPr>
          <w:rFonts w:ascii="Arial" w:eastAsiaTheme="minorHAnsi" w:hAnsi="Arial" w:cs="Arial"/>
          <w:sz w:val="24"/>
          <w:szCs w:val="24"/>
        </w:rPr>
        <w:t>comparadas con las que fueron publicadas oportunamente.</w:t>
      </w:r>
    </w:p>
    <w:p w14:paraId="1395C8BA" w14:textId="77777777" w:rsidR="00696FDA" w:rsidRDefault="00696FDA" w:rsidP="00696FDA">
      <w:pPr>
        <w:pStyle w:val="p0"/>
        <w:spacing w:before="120"/>
        <w:rPr>
          <w:color w:val="auto"/>
        </w:rPr>
      </w:pPr>
      <w:bookmarkStart w:id="2" w:name="_Hlk72483532"/>
    </w:p>
    <w:p w14:paraId="04C4E1F0" w14:textId="77777777" w:rsidR="00ED66CD" w:rsidRDefault="00ED66CD" w:rsidP="00696FDA">
      <w:pPr>
        <w:pStyle w:val="p0"/>
        <w:spacing w:before="120"/>
        <w:rPr>
          <w:color w:val="auto"/>
        </w:rPr>
      </w:pPr>
    </w:p>
    <w:p w14:paraId="0190CADD" w14:textId="796DCFAC" w:rsidR="00215435" w:rsidRPr="00696FDA" w:rsidRDefault="00696FDA" w:rsidP="00ED66CD">
      <w:pPr>
        <w:pStyle w:val="p0"/>
        <w:spacing w:before="0"/>
        <w:rPr>
          <w:color w:val="auto"/>
        </w:rPr>
      </w:pPr>
      <w:r w:rsidRPr="00696FDA">
        <w:rPr>
          <w:color w:val="auto"/>
        </w:rPr>
        <w:t xml:space="preserve">La Tasa de No Respuesta en la captación de las encuestas: ENEC, la Encuesta Mensual de la Industria Manufacturera (EMIM), la Encuesta Mensual sobre Empresas Comerciales (EMEC) y la Encuesta Mensual de Servicios (EMS), </w:t>
      </w:r>
      <w:r>
        <w:rPr>
          <w:color w:val="auto"/>
        </w:rPr>
        <w:t xml:space="preserve">así como las encuestas económicas que se consideraron para la integración del ITAB </w:t>
      </w:r>
      <w:r w:rsidRPr="00696FDA">
        <w:rPr>
          <w:color w:val="auto"/>
        </w:rPr>
        <w:t>en el primer trimestre de 2021 registraron porcentajes apropiados de acuerdo con el diseño estadístico de las muestras; se complementa</w:t>
      </w:r>
      <w:r>
        <w:rPr>
          <w:color w:val="auto"/>
        </w:rPr>
        <w:t>ron</w:t>
      </w:r>
      <w:r w:rsidRPr="00696FDA">
        <w:rPr>
          <w:color w:val="auto"/>
        </w:rPr>
        <w:t xml:space="preserve"> con la recepción oportuna vía correo electrónico y captación por </w:t>
      </w:r>
      <w:r>
        <w:rPr>
          <w:color w:val="auto"/>
        </w:rPr>
        <w:t>i</w:t>
      </w:r>
      <w:r w:rsidRPr="00696FDA">
        <w:rPr>
          <w:color w:val="auto"/>
        </w:rPr>
        <w:t>nternet de los registros administrativos; lo que permitió la generación de estadísticas con niveles altos de cobertura y precisión para su inclusión en la ODGT</w:t>
      </w:r>
      <w:r>
        <w:rPr>
          <w:color w:val="auto"/>
        </w:rPr>
        <w:t xml:space="preserve"> y el ITAB</w:t>
      </w:r>
      <w:r w:rsidRPr="00696FDA">
        <w:rPr>
          <w:color w:val="auto"/>
        </w:rPr>
        <w:t xml:space="preserve"> del trimestre de referencia.</w:t>
      </w:r>
      <w:bookmarkEnd w:id="2"/>
    </w:p>
    <w:p w14:paraId="4A48449D" w14:textId="77777777" w:rsidR="00215435" w:rsidRDefault="00215435" w:rsidP="00921772">
      <w:pPr>
        <w:pStyle w:val="p0"/>
        <w:spacing w:before="120"/>
        <w:rPr>
          <w:color w:val="auto"/>
        </w:rPr>
      </w:pPr>
      <w:r w:rsidRPr="00696FDA">
        <w:rPr>
          <w:color w:val="auto"/>
        </w:rPr>
        <w:t>Asimismo,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A3BDB">
        <w:rPr>
          <w:i/>
          <w:iCs/>
          <w:color w:val="auto"/>
        </w:rPr>
        <w:t>outliers</w:t>
      </w:r>
      <w:proofErr w:type="spellEnd"/>
      <w:r w:rsidRPr="00696FDA">
        <w:rPr>
          <w:color w:val="auto"/>
        </w:rPr>
        <w:t>) en los modelos de ajuste estacional para los meses de la contingencia. Lo anterior con el objetivo de que los grandes cambios en las cifras originales no influyan de manera desproporcionada en los factores estacionales utilizados.</w:t>
      </w:r>
    </w:p>
    <w:p w14:paraId="323F91ED" w14:textId="5764736D" w:rsidR="002D42A9" w:rsidRPr="005D2DE3" w:rsidRDefault="00D1653B" w:rsidP="005D2DE3">
      <w:pPr>
        <w:pStyle w:val="p0"/>
        <w:spacing w:before="180"/>
        <w:rPr>
          <w:b/>
          <w:i/>
          <w:color w:val="auto"/>
        </w:rPr>
      </w:pPr>
      <w:r w:rsidRPr="005D2DE3">
        <w:rPr>
          <w:b/>
          <w:i/>
          <w:color w:val="auto"/>
        </w:rPr>
        <w:t>Nota metodológica</w:t>
      </w:r>
    </w:p>
    <w:p w14:paraId="59234D89" w14:textId="7BF31D2C" w:rsidR="00915112" w:rsidRPr="00D82B83" w:rsidRDefault="00915112" w:rsidP="0077005E">
      <w:pPr>
        <w:pStyle w:val="p0"/>
        <w:rPr>
          <w:b/>
          <w:bCs/>
          <w:i/>
          <w:iCs/>
          <w:color w:val="auto"/>
        </w:rPr>
      </w:pPr>
      <w:r w:rsidRPr="00D82B83">
        <w:rPr>
          <w:b/>
          <w:bCs/>
          <w:i/>
          <w:iCs/>
          <w:color w:val="auto"/>
        </w:rPr>
        <w:t xml:space="preserve">Oferta y Demanda Global de Bienes y Servicios </w:t>
      </w:r>
    </w:p>
    <w:p w14:paraId="6A0AEE8E" w14:textId="5454998D" w:rsidR="005D2DE3" w:rsidRDefault="0077005E" w:rsidP="00701B2D">
      <w:pPr>
        <w:pStyle w:val="p0"/>
        <w:spacing w:before="120"/>
        <w:rPr>
          <w:color w:val="auto"/>
        </w:rPr>
      </w:pPr>
      <w:r>
        <w:rPr>
          <w:color w:val="auto"/>
        </w:rPr>
        <w:t xml:space="preserve">La </w:t>
      </w:r>
      <w:r w:rsidR="00701B2D" w:rsidRPr="00701B2D">
        <w:rPr>
          <w:color w:val="auto"/>
        </w:rPr>
        <w:t>cobertura geográfica</w:t>
      </w:r>
      <w:r>
        <w:rPr>
          <w:color w:val="auto"/>
        </w:rPr>
        <w:t xml:space="preserve"> de los resultados de la </w:t>
      </w:r>
      <w:r w:rsidRPr="0077005E">
        <w:rPr>
          <w:color w:val="auto"/>
        </w:rPr>
        <w:t>Oferta y Demanda Global</w:t>
      </w:r>
      <w:r w:rsidR="00701B2D" w:rsidRPr="00701B2D">
        <w:rPr>
          <w:color w:val="auto"/>
        </w:rPr>
        <w:t xml:space="preserve"> </w:t>
      </w:r>
      <w:r>
        <w:rPr>
          <w:color w:val="auto"/>
        </w:rPr>
        <w:t xml:space="preserve">Trimestral expresada </w:t>
      </w:r>
      <w:r w:rsidR="0054119B">
        <w:rPr>
          <w:color w:val="auto"/>
        </w:rPr>
        <w:t>en</w:t>
      </w:r>
      <w:r>
        <w:rPr>
          <w:color w:val="auto"/>
        </w:rPr>
        <w:t xml:space="preserve"> valores </w:t>
      </w:r>
      <w:r w:rsidR="006C4BA7">
        <w:rPr>
          <w:color w:val="auto"/>
        </w:rPr>
        <w:t xml:space="preserve">a precios </w:t>
      </w:r>
      <w:r>
        <w:rPr>
          <w:color w:val="auto"/>
        </w:rPr>
        <w:t xml:space="preserve">corrientes y constantes </w:t>
      </w:r>
      <w:r w:rsidR="00701B2D" w:rsidRPr="00701B2D">
        <w:rPr>
          <w:color w:val="auto"/>
        </w:rPr>
        <w:t xml:space="preserve">es nacional y alcanza una representación del 94.6% de la oferta y demanda global en el año base 2013. Presenta como componentes por el lado de la oferta </w:t>
      </w:r>
      <w:r>
        <w:rPr>
          <w:color w:val="auto"/>
        </w:rPr>
        <w:t>a</w:t>
      </w:r>
      <w:r w:rsidR="00701B2D" w:rsidRPr="00701B2D">
        <w:rPr>
          <w:color w:val="auto"/>
        </w:rPr>
        <w:t xml:space="preserve">l PIB y las importaciones de bienes y servicios, </w:t>
      </w:r>
      <w:r>
        <w:rPr>
          <w:color w:val="auto"/>
        </w:rPr>
        <w:t xml:space="preserve">mientras que </w:t>
      </w:r>
      <w:r w:rsidR="00701B2D" w:rsidRPr="00701B2D">
        <w:rPr>
          <w:color w:val="auto"/>
        </w:rPr>
        <w:t xml:space="preserve">por </w:t>
      </w:r>
      <w:r>
        <w:rPr>
          <w:color w:val="auto"/>
        </w:rPr>
        <w:t xml:space="preserve">el lado de </w:t>
      </w:r>
      <w:r w:rsidR="00701B2D" w:rsidRPr="00701B2D">
        <w:rPr>
          <w:color w:val="auto"/>
        </w:rPr>
        <w:t>la demanda global: el consumo privado, el consumo de gobierno, la formación bruta de capital, la variación de existencias, las exportaciones de bienes y servicios y discrepancia estadística.</w:t>
      </w:r>
    </w:p>
    <w:p w14:paraId="70D07E22" w14:textId="691ACE94"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Para la elaboración de las cifras originales, se siguen los conceptos, criterios metodológicos, clasificadores y datos fuente que se emplean en los cálculos anuales de las Cuentas de Bienes y Servicios del SCNM base 2013. Asimismo, </w:t>
      </w:r>
      <w:r w:rsidR="0077005E">
        <w:rPr>
          <w:rFonts w:ascii="Arial" w:hAnsi="Arial" w:cs="Arial"/>
          <w:sz w:val="24"/>
          <w:szCs w:val="24"/>
        </w:rPr>
        <w:t xml:space="preserve">se </w:t>
      </w:r>
      <w:r w:rsidRPr="001F741F">
        <w:rPr>
          <w:rFonts w:ascii="Arial" w:hAnsi="Arial" w:cs="Arial"/>
          <w:sz w:val="24"/>
          <w:szCs w:val="24"/>
        </w:rPr>
        <w:t>incorpora</w:t>
      </w:r>
      <w:r w:rsidR="0077005E">
        <w:rPr>
          <w:rFonts w:ascii="Arial" w:hAnsi="Arial" w:cs="Arial"/>
          <w:sz w:val="24"/>
          <w:szCs w:val="24"/>
        </w:rPr>
        <w:t>n</w:t>
      </w:r>
      <w:r w:rsidRPr="001F741F">
        <w:rPr>
          <w:rFonts w:ascii="Arial" w:hAnsi="Arial" w:cs="Arial"/>
          <w:sz w:val="24"/>
          <w:szCs w:val="24"/>
        </w:rPr>
        <w:t xml:space="preserve"> los lineamientos internacionales sobre contabilidad nacional, que han establecido las Naciones Unidas (NU), la Organización para la Cooperación y Desarrollo Económicos (OCDE), el Banco Mundial (BM), el Fondo Monetario Internacional (FMI) y la Comisión Europea</w:t>
      </w:r>
      <w:r w:rsidR="0077005E">
        <w:rPr>
          <w:rFonts w:ascii="Arial" w:hAnsi="Arial" w:cs="Arial"/>
          <w:sz w:val="24"/>
          <w:szCs w:val="24"/>
        </w:rPr>
        <w:t>. D</w:t>
      </w:r>
      <w:r w:rsidRPr="001F741F">
        <w:rPr>
          <w:rFonts w:ascii="Arial" w:hAnsi="Arial" w:cs="Arial"/>
          <w:sz w:val="24"/>
          <w:szCs w:val="24"/>
        </w:rPr>
        <w:t xml:space="preserve">ichas recomendaciones se encuentran difundidas en: Sistema de Cuentas Nacionales 2008 (SCN2008) y </w:t>
      </w:r>
      <w:proofErr w:type="spellStart"/>
      <w:r w:rsidRPr="00C2557F">
        <w:rPr>
          <w:rFonts w:ascii="Arial" w:hAnsi="Arial" w:cs="Arial"/>
          <w:i/>
          <w:iCs/>
          <w:sz w:val="24"/>
          <w:szCs w:val="24"/>
        </w:rPr>
        <w:t>Quarterly</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w:t>
      </w:r>
      <w:r w:rsidRPr="00DC30BD">
        <w:rPr>
          <w:rFonts w:ascii="Arial" w:hAnsi="Arial" w:cs="Arial"/>
          <w:i/>
          <w:iCs/>
          <w:sz w:val="24"/>
          <w:szCs w:val="24"/>
        </w:rPr>
        <w:t xml:space="preserve">Manual-2017 </w:t>
      </w:r>
      <w:proofErr w:type="spellStart"/>
      <w:r w:rsidRPr="00DC30BD">
        <w:rPr>
          <w:rFonts w:ascii="Arial" w:hAnsi="Arial" w:cs="Arial"/>
          <w:i/>
          <w:iCs/>
          <w:sz w:val="24"/>
          <w:szCs w:val="24"/>
        </w:rPr>
        <w:t>Edition</w:t>
      </w:r>
      <w:proofErr w:type="spellEnd"/>
      <w:r w:rsidRPr="001F741F">
        <w:rPr>
          <w:rFonts w:ascii="Arial" w:hAnsi="Arial" w:cs="Arial"/>
          <w:sz w:val="24"/>
          <w:szCs w:val="24"/>
        </w:rPr>
        <w:t xml:space="preserve"> (QNA 2017) editado por el Fondo Monetario Internacional y </w:t>
      </w:r>
      <w:proofErr w:type="spellStart"/>
      <w:r w:rsidRPr="00C2557F">
        <w:rPr>
          <w:rFonts w:ascii="Arial" w:hAnsi="Arial" w:cs="Arial"/>
          <w:i/>
          <w:iCs/>
          <w:sz w:val="24"/>
          <w:szCs w:val="24"/>
        </w:rPr>
        <w:t>Handbook</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on</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prices</w:t>
      </w:r>
      <w:proofErr w:type="spellEnd"/>
      <w:r w:rsidRPr="00C2557F">
        <w:rPr>
          <w:rFonts w:ascii="Arial" w:hAnsi="Arial" w:cs="Arial"/>
          <w:i/>
          <w:iCs/>
          <w:sz w:val="24"/>
          <w:szCs w:val="24"/>
        </w:rPr>
        <w:t xml:space="preserve"> and </w:t>
      </w:r>
      <w:proofErr w:type="spellStart"/>
      <w:r w:rsidRPr="00C2557F">
        <w:rPr>
          <w:rFonts w:ascii="Arial" w:hAnsi="Arial" w:cs="Arial"/>
          <w:i/>
          <w:iCs/>
          <w:sz w:val="24"/>
          <w:szCs w:val="24"/>
        </w:rPr>
        <w:t>volumes</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measures</w:t>
      </w:r>
      <w:proofErr w:type="spellEnd"/>
      <w:r w:rsidRPr="00C2557F">
        <w:rPr>
          <w:rFonts w:ascii="Arial" w:hAnsi="Arial" w:cs="Arial"/>
          <w:i/>
          <w:iCs/>
          <w:sz w:val="24"/>
          <w:szCs w:val="24"/>
        </w:rPr>
        <w:t xml:space="preserve"> in </w:t>
      </w:r>
      <w:proofErr w:type="spellStart"/>
      <w:r w:rsidRPr="00C2557F">
        <w:rPr>
          <w:rFonts w:ascii="Arial" w:hAnsi="Arial" w:cs="Arial"/>
          <w:i/>
          <w:iCs/>
          <w:sz w:val="24"/>
          <w:szCs w:val="24"/>
        </w:rPr>
        <w:t>national</w:t>
      </w:r>
      <w:proofErr w:type="spellEnd"/>
      <w:r w:rsidRPr="00C2557F">
        <w:rPr>
          <w:rFonts w:ascii="Arial" w:hAnsi="Arial" w:cs="Arial"/>
          <w:i/>
          <w:iCs/>
          <w:sz w:val="24"/>
          <w:szCs w:val="24"/>
        </w:rPr>
        <w:t xml:space="preserve"> </w:t>
      </w:r>
      <w:proofErr w:type="spellStart"/>
      <w:r w:rsidRPr="00C2557F">
        <w:rPr>
          <w:rFonts w:ascii="Arial" w:hAnsi="Arial" w:cs="Arial"/>
          <w:i/>
          <w:iCs/>
          <w:sz w:val="24"/>
          <w:szCs w:val="24"/>
        </w:rPr>
        <w:t>accounts</w:t>
      </w:r>
      <w:proofErr w:type="spellEnd"/>
      <w:r w:rsidRPr="001F741F">
        <w:rPr>
          <w:rFonts w:ascii="Arial" w:hAnsi="Arial" w:cs="Arial"/>
          <w:sz w:val="24"/>
          <w:szCs w:val="24"/>
        </w:rPr>
        <w:t xml:space="preserve"> 2016, publicado por Eurostat.</w:t>
      </w:r>
    </w:p>
    <w:p w14:paraId="570A291E" w14:textId="77777777" w:rsidR="00CF64DE" w:rsidRDefault="00CF64DE">
      <w:pPr>
        <w:widowControl/>
        <w:rPr>
          <w:rFonts w:ascii="Arial" w:hAnsi="Arial" w:cs="Arial"/>
          <w:sz w:val="24"/>
          <w:szCs w:val="24"/>
        </w:rPr>
      </w:pPr>
      <w:bookmarkStart w:id="3" w:name="_Hlk69381383"/>
      <w:r>
        <w:rPr>
          <w:rFonts w:ascii="Arial" w:hAnsi="Arial" w:cs="Arial"/>
          <w:sz w:val="24"/>
          <w:szCs w:val="24"/>
        </w:rPr>
        <w:br w:type="page"/>
      </w:r>
    </w:p>
    <w:p w14:paraId="7599813B" w14:textId="77777777" w:rsidR="00CF64DE" w:rsidRDefault="00CF64DE" w:rsidP="006C4BA7">
      <w:pPr>
        <w:spacing w:before="240"/>
        <w:jc w:val="both"/>
        <w:rPr>
          <w:rFonts w:ascii="Arial" w:hAnsi="Arial" w:cs="Arial"/>
          <w:sz w:val="24"/>
          <w:szCs w:val="24"/>
        </w:rPr>
      </w:pPr>
    </w:p>
    <w:p w14:paraId="0983C84E" w14:textId="3BD8574A" w:rsidR="001F741F" w:rsidRPr="001F741F" w:rsidRDefault="0077005E" w:rsidP="00CF64DE">
      <w:pPr>
        <w:spacing w:before="120"/>
        <w:jc w:val="both"/>
        <w:rPr>
          <w:rFonts w:ascii="Arial" w:hAnsi="Arial" w:cs="Arial"/>
          <w:color w:val="000000"/>
          <w:sz w:val="24"/>
          <w:szCs w:val="24"/>
        </w:rPr>
      </w:pPr>
      <w:r>
        <w:rPr>
          <w:rFonts w:ascii="Arial" w:hAnsi="Arial" w:cs="Arial"/>
          <w:sz w:val="24"/>
          <w:szCs w:val="24"/>
        </w:rPr>
        <w:t>Como se mencionó anteriormente, l</w:t>
      </w:r>
      <w:r w:rsidR="001F741F" w:rsidRPr="001F741F">
        <w:rPr>
          <w:rFonts w:ascii="Arial" w:hAnsi="Arial" w:cs="Arial"/>
          <w:sz w:val="24"/>
          <w:szCs w:val="24"/>
        </w:rPr>
        <w:t>a Oferta incluye al Producto Interno Bruto (</w:t>
      </w:r>
      <w:r>
        <w:rPr>
          <w:rFonts w:ascii="Arial" w:hAnsi="Arial" w:cs="Arial"/>
          <w:sz w:val="24"/>
          <w:szCs w:val="24"/>
        </w:rPr>
        <w:t>cuyo</w:t>
      </w:r>
      <w:r w:rsidR="001F741F" w:rsidRPr="001F741F">
        <w:rPr>
          <w:rFonts w:ascii="Arial" w:hAnsi="Arial" w:cs="Arial"/>
          <w:sz w:val="24"/>
          <w:szCs w:val="24"/>
        </w:rPr>
        <w:t xml:space="preserve"> método de cálculo está incluido en </w:t>
      </w:r>
      <w:r>
        <w:rPr>
          <w:rFonts w:ascii="Arial" w:hAnsi="Arial" w:cs="Arial"/>
          <w:sz w:val="24"/>
          <w:szCs w:val="24"/>
        </w:rPr>
        <w:t>su</w:t>
      </w:r>
      <w:r w:rsidR="001F741F" w:rsidRPr="001F741F">
        <w:rPr>
          <w:rFonts w:ascii="Arial" w:hAnsi="Arial" w:cs="Arial"/>
          <w:color w:val="000000"/>
          <w:sz w:val="24"/>
          <w:szCs w:val="24"/>
        </w:rPr>
        <w:t xml:space="preserve"> comunicado de prensa correspondiente al día 26 de mayo de este año), y la Importación de los Bienes y Servicios.</w:t>
      </w:r>
    </w:p>
    <w:p w14:paraId="1FA805D2" w14:textId="77777777"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Las importaciones son los bienes y servicios introducidos a un país mediante el comercio internacional. Junto con la producción, es uno de los componentes de la oferta. Representa el valor CIF (costos, seguros y fletes, por sus siglas en inglés) de los bienes importados, así como de los servicios por fletes y seguros, servicios de esparcimiento y compras directas de los hogares, y del gobierno en el exterior.</w:t>
      </w:r>
    </w:p>
    <w:p w14:paraId="0BF40695" w14:textId="4EA4B8F6"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Se preparó una clasificación de los bienes importados FOB (libre a bordo, por sus siglas en inglés) según su destino económico: bienes de consumo intermedio de las actividades internas de producción</w:t>
      </w:r>
      <w:r w:rsidR="006C4BA7">
        <w:rPr>
          <w:rFonts w:ascii="Arial" w:hAnsi="Arial" w:cs="Arial"/>
          <w:sz w:val="24"/>
          <w:szCs w:val="24"/>
        </w:rPr>
        <w:t>,</w:t>
      </w:r>
      <w:r w:rsidRPr="001F741F">
        <w:rPr>
          <w:rFonts w:ascii="Arial" w:hAnsi="Arial" w:cs="Arial"/>
          <w:sz w:val="24"/>
          <w:szCs w:val="24"/>
        </w:rPr>
        <w:t xml:space="preserve"> bienes de consumo final directo de los hogares y del gobierno y</w:t>
      </w:r>
      <w:r w:rsidR="006C4BA7">
        <w:rPr>
          <w:rFonts w:ascii="Arial" w:hAnsi="Arial" w:cs="Arial"/>
          <w:sz w:val="24"/>
          <w:szCs w:val="24"/>
        </w:rPr>
        <w:t>,</w:t>
      </w:r>
      <w:r w:rsidRPr="001F741F">
        <w:rPr>
          <w:rFonts w:ascii="Arial" w:hAnsi="Arial" w:cs="Arial"/>
          <w:sz w:val="24"/>
          <w:szCs w:val="24"/>
        </w:rPr>
        <w:t xml:space="preserve"> por último, se agruparon los bienes que son destinados a la formación de capital, es decir, la maquinaria y equipo, y el equipo de transporte constituido por: aeronaves, barcos, vehículos automóviles, locomotoras, vagones ferroviarios, etc., tal como lo recomienda el Sistema de Cuentas Nacionales 2008.</w:t>
      </w:r>
      <w:r w:rsidRPr="001F741F">
        <w:rPr>
          <w:rFonts w:ascii="Arial" w:hAnsi="Arial" w:cs="Arial"/>
          <w:color w:val="000000"/>
          <w:sz w:val="24"/>
          <w:szCs w:val="24"/>
        </w:rPr>
        <w:t xml:space="preserve"> Se calcula a partir de los datos en dólares de la balanza comercial y de pagos utilizando el tipo de cambio promedio del mes por subsector de actividad SCIAN.</w:t>
      </w:r>
    </w:p>
    <w:p w14:paraId="2BAD4BEF" w14:textId="5F848588" w:rsidR="001F741F" w:rsidRPr="001F741F" w:rsidRDefault="001F741F" w:rsidP="001F741F">
      <w:pPr>
        <w:spacing w:before="240"/>
        <w:jc w:val="both"/>
        <w:rPr>
          <w:rFonts w:ascii="Arial" w:hAnsi="Arial" w:cs="Arial"/>
          <w:color w:val="000000"/>
          <w:sz w:val="24"/>
          <w:szCs w:val="24"/>
        </w:rPr>
      </w:pPr>
      <w:r w:rsidRPr="001F741F">
        <w:rPr>
          <w:rFonts w:ascii="Arial" w:hAnsi="Arial" w:cs="Arial"/>
          <w:sz w:val="24"/>
          <w:szCs w:val="24"/>
        </w:rPr>
        <w:t>La Demanda Global de Bienes y Servicios en valores corrientes</w:t>
      </w:r>
      <w:r w:rsidR="00C2557F">
        <w:rPr>
          <w:rFonts w:ascii="Arial" w:hAnsi="Arial" w:cs="Arial"/>
          <w:sz w:val="24"/>
          <w:szCs w:val="24"/>
        </w:rPr>
        <w:t xml:space="preserve"> y </w:t>
      </w:r>
      <w:r w:rsidR="00323D86">
        <w:rPr>
          <w:rFonts w:ascii="Arial" w:hAnsi="Arial" w:cs="Arial"/>
          <w:sz w:val="24"/>
          <w:szCs w:val="24"/>
        </w:rPr>
        <w:t>constantes de 2013</w:t>
      </w:r>
      <w:r w:rsidRPr="001F741F">
        <w:rPr>
          <w:rFonts w:ascii="Arial" w:hAnsi="Arial" w:cs="Arial"/>
          <w:color w:val="000000"/>
          <w:sz w:val="24"/>
          <w:szCs w:val="24"/>
        </w:rPr>
        <w:t>, se integra por: el Consumo privado, el Consumo del gobierno, la Formación bruta de capital fijo, la Variación de existencias, las Exportaciones de bienes y servicios y la Discrepancia estadística.</w:t>
      </w:r>
    </w:p>
    <w:p w14:paraId="3246E671" w14:textId="77777777" w:rsidR="001F741F" w:rsidRPr="001F741F" w:rsidRDefault="001F741F" w:rsidP="001F741F">
      <w:pPr>
        <w:spacing w:before="240"/>
        <w:jc w:val="both"/>
        <w:rPr>
          <w:rFonts w:ascii="Arial" w:hAnsi="Arial" w:cs="Arial"/>
          <w:color w:val="000000"/>
          <w:sz w:val="24"/>
          <w:szCs w:val="24"/>
        </w:rPr>
      </w:pPr>
      <w:r w:rsidRPr="001F741F">
        <w:rPr>
          <w:rFonts w:ascii="Arial" w:hAnsi="Arial" w:cs="Arial"/>
          <w:color w:val="000000"/>
          <w:sz w:val="24"/>
          <w:szCs w:val="24"/>
        </w:rPr>
        <w:t>Consumo privado. Comprende el valor de las compras de bienes, cualquiera que sea su duración, y de servicios, hechas por las unidades familiares y las instituciones privadas sin fines de lucro que sirven a los hogares. Tales compras pueden ser hechas tanto en el mercado interno como en el exterior e incluyen las remuneraciones de asalariados recibidas en especie, la producción de artículos para autoconsumo y el valor imputado por las viviendas que son ocupadas por los propios dueños, conceptos éstos, que se encuentran también comprendidos en la producción. Se excluyen de estos gastos las compras de tierra y de edificios para vivienda.</w:t>
      </w:r>
    </w:p>
    <w:p w14:paraId="650355FD"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consumo privado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a nivel detallado de las 473 clases que componen este cálculo de acuerdo con el SCIAN 2013, utilizando un índice de precios semejante a su composición.</w:t>
      </w:r>
    </w:p>
    <w:p w14:paraId="1F1A6192" w14:textId="77777777" w:rsidR="00CF64DE" w:rsidRDefault="00CF64DE" w:rsidP="00B3030A">
      <w:pPr>
        <w:widowControl/>
        <w:autoSpaceDE w:val="0"/>
        <w:autoSpaceDN w:val="0"/>
        <w:adjustRightInd w:val="0"/>
        <w:spacing w:before="240"/>
        <w:jc w:val="both"/>
        <w:rPr>
          <w:rFonts w:ascii="Arial" w:hAnsi="Arial" w:cs="Arial"/>
          <w:color w:val="000000"/>
          <w:sz w:val="24"/>
          <w:szCs w:val="24"/>
        </w:rPr>
      </w:pPr>
    </w:p>
    <w:p w14:paraId="5E8834C7" w14:textId="77777777" w:rsidR="00CF64DE" w:rsidRDefault="00CF64DE" w:rsidP="00B3030A">
      <w:pPr>
        <w:widowControl/>
        <w:autoSpaceDE w:val="0"/>
        <w:autoSpaceDN w:val="0"/>
        <w:adjustRightInd w:val="0"/>
        <w:spacing w:before="240"/>
        <w:jc w:val="both"/>
        <w:rPr>
          <w:rFonts w:ascii="Arial" w:hAnsi="Arial" w:cs="Arial"/>
          <w:color w:val="000000"/>
          <w:sz w:val="24"/>
          <w:szCs w:val="24"/>
        </w:rPr>
      </w:pPr>
    </w:p>
    <w:p w14:paraId="78331B82" w14:textId="521DDBDB" w:rsidR="00323D86" w:rsidRDefault="00323D86" w:rsidP="00CF64DE">
      <w:pPr>
        <w:widowControl/>
        <w:autoSpaceDE w:val="0"/>
        <w:autoSpaceDN w:val="0"/>
        <w:adjustRightInd w:val="0"/>
        <w:spacing w:before="120"/>
        <w:jc w:val="both"/>
        <w:rPr>
          <w:rFonts w:ascii="Arial" w:hAnsi="Arial" w:cs="Arial"/>
          <w:color w:val="000000"/>
          <w:sz w:val="24"/>
          <w:szCs w:val="24"/>
        </w:rPr>
      </w:pPr>
      <w:r w:rsidRPr="00323D86">
        <w:rPr>
          <w:rFonts w:ascii="Arial" w:hAnsi="Arial" w:cs="Arial"/>
          <w:color w:val="000000"/>
          <w:sz w:val="24"/>
          <w:szCs w:val="24"/>
        </w:rPr>
        <w:t>El método de cálculo empleado para obtener los valores constantes consist</w:t>
      </w:r>
      <w:r w:rsidR="0077005E">
        <w:rPr>
          <w:rFonts w:ascii="Arial" w:hAnsi="Arial" w:cs="Arial"/>
          <w:color w:val="000000"/>
          <w:sz w:val="24"/>
          <w:szCs w:val="24"/>
        </w:rPr>
        <w:t>e</w:t>
      </w:r>
      <w:r w:rsidRPr="00323D86">
        <w:rPr>
          <w:rFonts w:ascii="Arial" w:hAnsi="Arial" w:cs="Arial"/>
          <w:color w:val="000000"/>
          <w:sz w:val="24"/>
          <w:szCs w:val="24"/>
        </w:rPr>
        <w:t xml:space="preserve"> en elaborar índices de ventas reales o de producción para extrapolar los valores del año de la base de las 473 clases que se integran en esta variable, cuando no se dispuso del primer concepto, para las clases de actividad cuya producción de bienes o servicios se destina al consumo privado, método conocido como el de fluir de bienes.</w:t>
      </w:r>
    </w:p>
    <w:p w14:paraId="4C06BC0D" w14:textId="7A03A08C" w:rsidR="001F741F" w:rsidRP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Al total de gastos en el mercado interior se adicionan las importaciones que realizan los hogares, para distinguir los bienes y servicios de origen nacional e importado. También se incorporan las compras netas de los hogares en el mercado exterior, que consiste en restar las compras de los no residentes en el país de las compras que los residentes realizan en otros países.</w:t>
      </w:r>
    </w:p>
    <w:p w14:paraId="39692334" w14:textId="729CCE03" w:rsidR="001F741F" w:rsidRP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Consumo del gobierno. Comprende el gasto corriente total del gobierno en todos sus niveles institucionales: el Gobierno Federal</w:t>
      </w:r>
      <w:r w:rsidR="007242AA">
        <w:rPr>
          <w:rFonts w:ascii="Arial" w:hAnsi="Arial" w:cs="Arial"/>
          <w:color w:val="000000"/>
          <w:sz w:val="24"/>
          <w:szCs w:val="24"/>
        </w:rPr>
        <w:t>,</w:t>
      </w:r>
      <w:r w:rsidRPr="001F741F">
        <w:rPr>
          <w:rFonts w:ascii="Arial" w:hAnsi="Arial" w:cs="Arial"/>
          <w:color w:val="000000"/>
          <w:sz w:val="24"/>
          <w:szCs w:val="24"/>
        </w:rPr>
        <w:t xml:space="preserve"> el gobierno de los estados y de los municipios incluido el Gobierno de la Ciudad de México, así como las instituciones de seguridad social. Se excluyen de los gastos corrientes del gobierno general los que efectúan organismos tales como: el correo y los distritos de riego, que se presentan en los subsectores de “comunicaciones” y “agricultura” respectivamente.</w:t>
      </w:r>
    </w:p>
    <w:p w14:paraId="11784BA0" w14:textId="27D51F67" w:rsid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Los valores corrientes del consumo de gobierno se obtienen de extrapolar los valores corrientes de las 42 actividades económicas que componen este cálculo de acuerdo con el SCIAN 2013, con un índice nacional de precios productor (INPP) o índice nacional precios consumidor (INPC).</w:t>
      </w:r>
    </w:p>
    <w:p w14:paraId="362283DE" w14:textId="2370722E" w:rsidR="00323D86" w:rsidRPr="001F741F" w:rsidRDefault="00323D86" w:rsidP="00CF64DE">
      <w:pPr>
        <w:widowControl/>
        <w:autoSpaceDE w:val="0"/>
        <w:autoSpaceDN w:val="0"/>
        <w:adjustRightInd w:val="0"/>
        <w:spacing w:before="180"/>
        <w:jc w:val="both"/>
        <w:rPr>
          <w:rFonts w:ascii="Arial" w:hAnsi="Arial" w:cs="Arial"/>
          <w:color w:val="000000"/>
          <w:sz w:val="24"/>
          <w:szCs w:val="24"/>
        </w:rPr>
      </w:pPr>
      <w:r w:rsidRPr="00323D86">
        <w:rPr>
          <w:rFonts w:ascii="Arial" w:hAnsi="Arial" w:cs="Arial"/>
          <w:color w:val="000000"/>
          <w:sz w:val="24"/>
          <w:szCs w:val="24"/>
        </w:rPr>
        <w:t>Los índices a precios constantes se calculan para las 42 actividades económicas que se incluyen en el indicador del consumo en bienes o servicios del sector gobierno y son utilizados para extrapolar el valor registrado por cada clase en el año base constante 2013.</w:t>
      </w:r>
    </w:p>
    <w:p w14:paraId="4EF9E269" w14:textId="77777777" w:rsidR="001F741F" w:rsidRP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El cálculo trimestral se realizó con datos de las estadísticas de finanzas públicas de la Secretaría de Hacienda y Crédito Público relativas al Gobierno Federal, el Gobierno de la Ciudad de México y las instituciones de seguridad social, que se complementan con información de la ocupación del gobierno, los estados y municipios.</w:t>
      </w:r>
    </w:p>
    <w:p w14:paraId="636FB334" w14:textId="77777777" w:rsidR="001F741F" w:rsidRPr="001F741F" w:rsidRDefault="001F741F" w:rsidP="00CF64DE">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 xml:space="preserve">Formación bruta de capital fijo. En esta partida, se incluye la compra de bienes que los productores realizan para incrementar sus activos fijos, se incluyen los gastos en mejoras y/o reformas que prolonguen la vida útil o la productividad del bien, valuadas a precios de comprador. Los bienes pueden ser comprados o producirse por cuenta propia. También puede tratarse de artículos producidos en el país, en cuyo caso debe tratarse de bienes nuevos (no usados), o de origen importado, aun cuando sean de segunda mano. Los bienes comprendidos aquí, son las construcciones y obras de todo tipo, maquinaria y equipos en general, </w:t>
      </w:r>
      <w:r w:rsidRPr="001F741F">
        <w:rPr>
          <w:rFonts w:ascii="Arial" w:hAnsi="Arial" w:cs="Arial"/>
          <w:color w:val="000000"/>
          <w:sz w:val="24"/>
          <w:szCs w:val="24"/>
        </w:rPr>
        <w:lastRenderedPageBreak/>
        <w:t>incluso los de transporte. Se incluyen los terrenos, yacimientos mineros, bosques maderables y ciertos gastos militares.</w:t>
      </w:r>
    </w:p>
    <w:p w14:paraId="4F3AC2A8"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componente doméstico -o nacional- de la formación bruta de capital fijo, incluye resultados provenientes del valor de la producción trimestral de la construcción, más los bienes que se venden o producen con destino al stock de capital, empleando para ello el método de fluir de bienes.</w:t>
      </w:r>
    </w:p>
    <w:p w14:paraId="1C4A8F09"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Las partidas correspondientes al gasto de capital del sector público se obtuvieron de las estadísticas de finanzas públicas de la SHCP, que abarcan al Gobierno Federal, al Gobierno de la Ciudad de México, al sector paraestatal controlado y al no controlado presupuestalmente, los estados y municipios.</w:t>
      </w:r>
    </w:p>
    <w:p w14:paraId="735E043D" w14:textId="5DAE7D1E" w:rsidR="001F741F" w:rsidRPr="001F741F" w:rsidRDefault="001F741F" w:rsidP="00901E0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Los valores corrientes del cálculo de la formación bruta de capital fijo se obtienen de </w:t>
      </w:r>
      <w:proofErr w:type="spellStart"/>
      <w:r w:rsidRPr="001F741F">
        <w:rPr>
          <w:rFonts w:ascii="Arial" w:hAnsi="Arial" w:cs="Arial"/>
          <w:color w:val="000000"/>
          <w:sz w:val="24"/>
          <w:szCs w:val="24"/>
        </w:rPr>
        <w:t>inflactar</w:t>
      </w:r>
      <w:proofErr w:type="spellEnd"/>
      <w:r w:rsidRPr="001F741F">
        <w:rPr>
          <w:rFonts w:ascii="Arial" w:hAnsi="Arial" w:cs="Arial"/>
          <w:color w:val="000000"/>
          <w:sz w:val="24"/>
          <w:szCs w:val="24"/>
        </w:rPr>
        <w:t xml:space="preserve"> los valores constantes de las 109 clases que componen este cálculo de acuerdo con el SCIAN 2013.</w:t>
      </w:r>
    </w:p>
    <w:p w14:paraId="657A8E80" w14:textId="0F465608" w:rsidR="006625EE" w:rsidRDefault="006625EE" w:rsidP="001F741F">
      <w:pPr>
        <w:widowControl/>
        <w:autoSpaceDE w:val="0"/>
        <w:autoSpaceDN w:val="0"/>
        <w:adjustRightInd w:val="0"/>
        <w:spacing w:before="240"/>
        <w:jc w:val="both"/>
        <w:rPr>
          <w:rFonts w:ascii="Arial" w:hAnsi="Arial" w:cs="Arial"/>
          <w:color w:val="000000"/>
          <w:sz w:val="24"/>
          <w:szCs w:val="24"/>
        </w:rPr>
      </w:pPr>
      <w:r w:rsidRPr="006625EE">
        <w:rPr>
          <w:rFonts w:ascii="Arial" w:hAnsi="Arial" w:cs="Arial"/>
          <w:color w:val="000000"/>
          <w:sz w:val="24"/>
          <w:szCs w:val="24"/>
        </w:rPr>
        <w:t>La medición de la formación bruta de capital fijo consiste en el cálculo de índices de ventas reales por clase de actividad, o de producción cuando no se dispone del primer concepto, para cada una de las 109 clase</w:t>
      </w:r>
      <w:r w:rsidR="00DA3BDB">
        <w:rPr>
          <w:rFonts w:ascii="Arial" w:hAnsi="Arial" w:cs="Arial"/>
          <w:color w:val="000000"/>
          <w:sz w:val="24"/>
          <w:szCs w:val="24"/>
        </w:rPr>
        <w:t>s</w:t>
      </w:r>
      <w:r w:rsidRPr="006625EE">
        <w:rPr>
          <w:rFonts w:ascii="Arial" w:hAnsi="Arial" w:cs="Arial"/>
          <w:color w:val="000000"/>
          <w:sz w:val="24"/>
          <w:szCs w:val="24"/>
        </w:rPr>
        <w:t xml:space="preserve"> de actividad, y son utilizados para extrapolar el valor registrado por cada clase en el año base 2013.</w:t>
      </w:r>
    </w:p>
    <w:p w14:paraId="78D58C4C" w14:textId="3FA5F77A"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Variación de existencias: es la diferencia en el volumen de mercancías existente entre principio y fin de cada período contable valuado a los precios promedio vigentes durante el lapso. Se deben incluir los bienes producidos, los que se encuentran en proceso de elaboración y los bienes terminados que estén en poder de los productores</w:t>
      </w:r>
      <w:r w:rsidR="00EB582D">
        <w:rPr>
          <w:rFonts w:ascii="Arial" w:hAnsi="Arial" w:cs="Arial"/>
          <w:color w:val="000000"/>
          <w:sz w:val="24"/>
          <w:szCs w:val="24"/>
        </w:rPr>
        <w:t>.</w:t>
      </w:r>
    </w:p>
    <w:p w14:paraId="33742E6E" w14:textId="7378BD39"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bookmarkStart w:id="4" w:name="_Hlk73686306"/>
      <w:r w:rsidRPr="001F741F">
        <w:rPr>
          <w:rFonts w:ascii="Arial" w:hAnsi="Arial" w:cs="Arial"/>
          <w:color w:val="000000"/>
          <w:sz w:val="24"/>
          <w:szCs w:val="24"/>
        </w:rPr>
        <w:t xml:space="preserve">La medición de la variación de las existencias </w:t>
      </w:r>
      <w:bookmarkEnd w:id="4"/>
      <w:r w:rsidRPr="001F741F">
        <w:rPr>
          <w:rFonts w:ascii="Arial" w:hAnsi="Arial" w:cs="Arial"/>
          <w:color w:val="000000"/>
          <w:sz w:val="24"/>
          <w:szCs w:val="24"/>
        </w:rPr>
        <w:t xml:space="preserve">considera la elaboración de balances físicos para algunos productos seleccionados representativos de los sectores: 11 agricultura, cría y explotación de animales, aprovechamiento forestal, pesca y caza, y 21 minería, partiendo de los balances físicos que fueron </w:t>
      </w:r>
      <w:r w:rsidR="00D82B83">
        <w:rPr>
          <w:rFonts w:ascii="Arial" w:hAnsi="Arial" w:cs="Arial"/>
          <w:color w:val="000000"/>
          <w:sz w:val="24"/>
          <w:szCs w:val="24"/>
        </w:rPr>
        <w:t>calculados</w:t>
      </w:r>
      <w:r w:rsidRPr="001F741F">
        <w:rPr>
          <w:rFonts w:ascii="Arial" w:hAnsi="Arial" w:cs="Arial"/>
          <w:color w:val="000000"/>
          <w:sz w:val="24"/>
          <w:szCs w:val="24"/>
        </w:rPr>
        <w:t xml:space="preserve"> para más de 200 actividades en el año base 2013, en el marco de la elaboración de los cuadros de la oferta y utilización 2013.</w:t>
      </w:r>
    </w:p>
    <w:p w14:paraId="0B25FE51" w14:textId="02E20CFD"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 xml:space="preserve">En el caso de las industrias manufactureras, en donde se concentran la mayor parte de los inventarios, el valor de las existencias se calcula como un saldo entre el valor de la producción y el valor de las ventas, empleando para ello la información disponible proveniente de la Encuesta Mensual de la Industria Manufacturera. </w:t>
      </w:r>
      <w:r w:rsidR="006625EE" w:rsidRPr="006625EE">
        <w:rPr>
          <w:rFonts w:ascii="Arial" w:hAnsi="Arial" w:cs="Arial"/>
          <w:color w:val="000000"/>
          <w:sz w:val="24"/>
          <w:szCs w:val="24"/>
        </w:rPr>
        <w:t>Los valores corrientes se deflactan con índices de precios.</w:t>
      </w:r>
      <w:r w:rsidR="006625EE">
        <w:rPr>
          <w:color w:val="000000"/>
        </w:rPr>
        <w:t xml:space="preserve">  </w:t>
      </w:r>
      <w:r w:rsidRPr="001F741F">
        <w:rPr>
          <w:rFonts w:ascii="Arial" w:hAnsi="Arial" w:cs="Arial"/>
          <w:color w:val="000000"/>
          <w:sz w:val="24"/>
          <w:szCs w:val="24"/>
        </w:rPr>
        <w:t>De esta forma se busca reflejar de una mejor manera la evolución que en el corto plazo presenta esta variable, componente de la formación de capital, atendiendo con ello un requerimiento de los usuarios.</w:t>
      </w:r>
    </w:p>
    <w:p w14:paraId="21939BA3" w14:textId="77777777" w:rsidR="00901E0F" w:rsidRDefault="00901E0F">
      <w:pPr>
        <w:widowControl/>
        <w:rPr>
          <w:rFonts w:ascii="Arial" w:hAnsi="Arial" w:cs="Arial"/>
          <w:color w:val="000000"/>
          <w:sz w:val="24"/>
          <w:szCs w:val="24"/>
        </w:rPr>
      </w:pPr>
      <w:r>
        <w:rPr>
          <w:rFonts w:ascii="Arial" w:hAnsi="Arial" w:cs="Arial"/>
          <w:color w:val="000000"/>
          <w:sz w:val="24"/>
          <w:szCs w:val="24"/>
        </w:rPr>
        <w:br w:type="page"/>
      </w:r>
    </w:p>
    <w:p w14:paraId="75F9C7FF" w14:textId="77777777" w:rsidR="00901E0F" w:rsidRDefault="00901E0F" w:rsidP="00B3030A">
      <w:pPr>
        <w:widowControl/>
        <w:autoSpaceDE w:val="0"/>
        <w:autoSpaceDN w:val="0"/>
        <w:adjustRightInd w:val="0"/>
        <w:spacing w:before="240"/>
        <w:jc w:val="both"/>
        <w:rPr>
          <w:rFonts w:ascii="Arial" w:hAnsi="Arial" w:cs="Arial"/>
          <w:color w:val="000000"/>
          <w:sz w:val="24"/>
          <w:szCs w:val="24"/>
        </w:rPr>
      </w:pPr>
    </w:p>
    <w:p w14:paraId="4B9A206C" w14:textId="70915869" w:rsidR="001F741F" w:rsidRPr="001F741F" w:rsidRDefault="001F741F" w:rsidP="00901E0F">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t>Exportaciones de bienes y servicios: Las exportaciones de bienes consisten generalmente en la salida de mercancías por las aduanas del país, incluidas las compras directas en el país, efectuadas por las instituciones extraterritoriales y las personas no residentes. Comprende el valor FOB de las exportaciones de bienes</w:t>
      </w:r>
      <w:r w:rsidR="0052690D">
        <w:rPr>
          <w:rFonts w:ascii="Arial" w:hAnsi="Arial" w:cs="Arial"/>
          <w:color w:val="000000"/>
          <w:sz w:val="24"/>
          <w:szCs w:val="24"/>
        </w:rPr>
        <w:t>,</w:t>
      </w:r>
      <w:r w:rsidRPr="001F741F">
        <w:rPr>
          <w:rFonts w:ascii="Arial" w:hAnsi="Arial" w:cs="Arial"/>
          <w:color w:val="000000"/>
          <w:sz w:val="24"/>
          <w:szCs w:val="24"/>
        </w:rPr>
        <w:t xml:space="preserve"> la exportación de plata y oro no monetario y otros servicios de exportación que se venden al exterior del país. Los datos empleados provienen de la balanza de pagos.</w:t>
      </w:r>
    </w:p>
    <w:p w14:paraId="72DAB582" w14:textId="43D1F19C"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El valor de las exportaciones de bienes expresadas en pesos corrientes se obtiene de la información mensual generada por el grupo de trabajo conformado por Banco de México, Secretaría de Economía, Sistema de Administración Tributaria e INEGI, para más de 9,500 Fracciones Arancelarias.</w:t>
      </w:r>
      <w:r w:rsidR="009745CF" w:rsidRPr="009745CF">
        <w:rPr>
          <w:color w:val="000000"/>
        </w:rPr>
        <w:t xml:space="preserve"> </w:t>
      </w:r>
      <w:r w:rsidR="009745CF" w:rsidRPr="009745CF">
        <w:rPr>
          <w:rFonts w:ascii="Arial" w:hAnsi="Arial" w:cs="Arial"/>
          <w:color w:val="000000"/>
          <w:sz w:val="24"/>
          <w:szCs w:val="24"/>
        </w:rPr>
        <w:t>Para obtener el valor de las exportación de mercancías en precios constante</w:t>
      </w:r>
      <w:r w:rsidR="00D82B83">
        <w:rPr>
          <w:rFonts w:ascii="Arial" w:hAnsi="Arial" w:cs="Arial"/>
          <w:color w:val="000000"/>
          <w:sz w:val="24"/>
          <w:szCs w:val="24"/>
        </w:rPr>
        <w:t>s</w:t>
      </w:r>
      <w:r w:rsidR="009745CF" w:rsidRPr="009745CF">
        <w:rPr>
          <w:rFonts w:ascii="Arial" w:hAnsi="Arial" w:cs="Arial"/>
          <w:color w:val="000000"/>
          <w:sz w:val="24"/>
          <w:szCs w:val="24"/>
        </w:rPr>
        <w:t>, se elaboraron índices de precios ajustados por el tipo de cambio por subsector de actividad SCIAN, realizándose las agrupaciones pertinentes a efecto de obtener resultados según el origen sectorial de los productos provenientes de: la agricultura, cría y explotación de animales, aprovechamiento forestal, pesca y caza; la minería; las industrias manufactureras; el petróleo crudo y gas natural se obtiene mediante índices de volumen físico, que se pondera</w:t>
      </w:r>
      <w:r w:rsidR="007242AA">
        <w:rPr>
          <w:rFonts w:ascii="Arial" w:hAnsi="Arial" w:cs="Arial"/>
          <w:color w:val="000000"/>
          <w:sz w:val="24"/>
          <w:szCs w:val="24"/>
        </w:rPr>
        <w:t>n</w:t>
      </w:r>
      <w:r w:rsidR="009745CF" w:rsidRPr="009745CF">
        <w:rPr>
          <w:rFonts w:ascii="Arial" w:hAnsi="Arial" w:cs="Arial"/>
          <w:color w:val="000000"/>
          <w:sz w:val="24"/>
          <w:szCs w:val="24"/>
        </w:rPr>
        <w:t xml:space="preserve"> por el valor de 2013 por tipo de crudo.</w:t>
      </w:r>
      <w:r w:rsidRPr="001F741F">
        <w:rPr>
          <w:rFonts w:ascii="Arial" w:hAnsi="Arial" w:cs="Arial"/>
          <w:color w:val="000000"/>
          <w:sz w:val="24"/>
          <w:szCs w:val="24"/>
        </w:rPr>
        <w:t xml:space="preserve"> </w:t>
      </w:r>
    </w:p>
    <w:p w14:paraId="4B723A1B" w14:textId="3D9474A1"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Los otros servicios de exportación incluyen: pasajes internacionales, gastos portuarios, alquiler de películas y de medios de transporte, telecomunicaciones, reaseguros y gastos diversos</w:t>
      </w:r>
      <w:r w:rsidR="009745CF">
        <w:rPr>
          <w:rFonts w:ascii="Arial" w:hAnsi="Arial" w:cs="Arial"/>
          <w:color w:val="000000"/>
          <w:sz w:val="24"/>
          <w:szCs w:val="24"/>
        </w:rPr>
        <w:t>;</w:t>
      </w:r>
      <w:r w:rsidRPr="001F741F">
        <w:rPr>
          <w:rFonts w:ascii="Arial" w:hAnsi="Arial" w:cs="Arial"/>
          <w:color w:val="000000"/>
          <w:sz w:val="24"/>
          <w:szCs w:val="24"/>
        </w:rPr>
        <w:t xml:space="preserve"> </w:t>
      </w:r>
      <w:r w:rsidR="009745CF" w:rsidRPr="009745CF">
        <w:rPr>
          <w:rFonts w:ascii="Arial" w:hAnsi="Arial" w:cs="Arial"/>
          <w:color w:val="000000"/>
          <w:sz w:val="24"/>
          <w:szCs w:val="24"/>
        </w:rPr>
        <w:t xml:space="preserve">los precios constantes se deflactaron con índices de precios ajustados por el tipo de cambio. </w:t>
      </w:r>
      <w:r w:rsidRPr="001F741F">
        <w:rPr>
          <w:rFonts w:ascii="Arial" w:hAnsi="Arial" w:cs="Arial"/>
          <w:color w:val="000000"/>
          <w:sz w:val="24"/>
          <w:szCs w:val="24"/>
        </w:rPr>
        <w:t>En este concepto también se incluye una estimación de las compras de no residentes en el mercado interior.</w:t>
      </w:r>
    </w:p>
    <w:p w14:paraId="782BFDA4" w14:textId="77777777" w:rsidR="001F741F" w:rsidRPr="001F741F" w:rsidRDefault="001F741F" w:rsidP="001F741F">
      <w:pPr>
        <w:widowControl/>
        <w:autoSpaceDE w:val="0"/>
        <w:autoSpaceDN w:val="0"/>
        <w:adjustRightInd w:val="0"/>
        <w:spacing w:before="240"/>
        <w:jc w:val="both"/>
        <w:rPr>
          <w:rFonts w:ascii="Arial" w:hAnsi="Arial" w:cs="Arial"/>
          <w:color w:val="000000"/>
          <w:sz w:val="24"/>
          <w:szCs w:val="24"/>
        </w:rPr>
      </w:pPr>
      <w:r w:rsidRPr="001F741F">
        <w:rPr>
          <w:rFonts w:ascii="Arial" w:hAnsi="Arial" w:cs="Arial"/>
          <w:color w:val="000000"/>
          <w:sz w:val="24"/>
          <w:szCs w:val="24"/>
        </w:rPr>
        <w:t>La Discrepancia Estadística es un concepto que concentra las diferencias de las fuentes estadísticas, métodos de cálculo, momentos de registro y tipos de valoración que se presentan en la medición de los distintos componentes de la oferta y demanda global, los cuales deben converger a una igualdad.</w:t>
      </w:r>
    </w:p>
    <w:p w14:paraId="4AAE62A1" w14:textId="380EAA16" w:rsidR="001F741F" w:rsidRPr="001F741F" w:rsidRDefault="001F741F" w:rsidP="001F741F">
      <w:pPr>
        <w:spacing w:before="240"/>
        <w:jc w:val="both"/>
        <w:rPr>
          <w:rFonts w:ascii="Arial" w:hAnsi="Arial" w:cs="Arial"/>
          <w:sz w:val="24"/>
          <w:szCs w:val="24"/>
        </w:rPr>
      </w:pPr>
      <w:r w:rsidRPr="001F741F">
        <w:rPr>
          <w:rFonts w:ascii="Arial" w:hAnsi="Arial" w:cs="Arial"/>
          <w:sz w:val="24"/>
          <w:szCs w:val="24"/>
        </w:rPr>
        <w:t xml:space="preserve">Las principales fuentes de información son: BANXICO, que proporciona información de la Balanza de Pagos y el Tipo de Cambio; </w:t>
      </w:r>
      <w:r w:rsidR="00D82B83">
        <w:rPr>
          <w:rFonts w:ascii="Arial" w:hAnsi="Arial" w:cs="Arial"/>
          <w:sz w:val="24"/>
          <w:szCs w:val="24"/>
        </w:rPr>
        <w:t xml:space="preserve">BANXICO, </w:t>
      </w:r>
      <w:r w:rsidRPr="001F741F">
        <w:rPr>
          <w:rFonts w:ascii="Arial" w:hAnsi="Arial" w:cs="Arial"/>
          <w:sz w:val="24"/>
          <w:szCs w:val="24"/>
        </w:rPr>
        <w:t>Instituto Nacional de Estadística y Geografía (INEGI)</w:t>
      </w:r>
      <w:r w:rsidR="007242AA">
        <w:rPr>
          <w:rFonts w:ascii="Arial" w:hAnsi="Arial" w:cs="Arial"/>
          <w:sz w:val="24"/>
          <w:szCs w:val="24"/>
        </w:rPr>
        <w:t>,</w:t>
      </w:r>
      <w:r w:rsidRPr="001F741F">
        <w:rPr>
          <w:rFonts w:ascii="Arial" w:hAnsi="Arial" w:cs="Arial"/>
          <w:sz w:val="24"/>
          <w:szCs w:val="24"/>
        </w:rPr>
        <w:t xml:space="preserve"> Servicio de Administración Tributaria (SAT) y Secretaría de Economía (SE). Balanza Comercial de Mercancías de México; </w:t>
      </w:r>
      <w:r w:rsidRPr="009745CF">
        <w:rPr>
          <w:rFonts w:ascii="Arial" w:hAnsi="Arial" w:cs="Arial"/>
          <w:i/>
          <w:iCs/>
          <w:sz w:val="24"/>
          <w:szCs w:val="24"/>
        </w:rPr>
        <w:t xml:space="preserve">Bureau </w:t>
      </w:r>
      <w:proofErr w:type="spellStart"/>
      <w:r w:rsidRPr="009745CF">
        <w:rPr>
          <w:rFonts w:ascii="Arial" w:hAnsi="Arial" w:cs="Arial"/>
          <w:i/>
          <w:iCs/>
          <w:sz w:val="24"/>
          <w:szCs w:val="24"/>
        </w:rPr>
        <w:t>of</w:t>
      </w:r>
      <w:proofErr w:type="spellEnd"/>
      <w:r w:rsidRPr="009745CF">
        <w:rPr>
          <w:rFonts w:ascii="Arial" w:hAnsi="Arial" w:cs="Arial"/>
          <w:i/>
          <w:iCs/>
          <w:sz w:val="24"/>
          <w:szCs w:val="24"/>
        </w:rPr>
        <w:t xml:space="preserve"> Labor </w:t>
      </w:r>
      <w:proofErr w:type="spellStart"/>
      <w:r w:rsidRPr="009745CF">
        <w:rPr>
          <w:rFonts w:ascii="Arial" w:hAnsi="Arial" w:cs="Arial"/>
          <w:i/>
          <w:iCs/>
          <w:sz w:val="24"/>
          <w:szCs w:val="24"/>
        </w:rPr>
        <w:t>Statistics</w:t>
      </w:r>
      <w:proofErr w:type="spellEnd"/>
      <w:r w:rsidRPr="001F741F">
        <w:rPr>
          <w:rFonts w:ascii="Arial" w:hAnsi="Arial" w:cs="Arial"/>
          <w:sz w:val="24"/>
          <w:szCs w:val="24"/>
        </w:rPr>
        <w:t>; INEGI: Encuesta Nacional de Empresas Constructoras (ENEC), Encuesta Mensual de la Industria Manufacturera (EMIM)</w:t>
      </w:r>
      <w:r w:rsidR="00D82B83">
        <w:rPr>
          <w:rFonts w:ascii="Arial" w:hAnsi="Arial" w:cs="Arial"/>
          <w:sz w:val="24"/>
          <w:szCs w:val="24"/>
        </w:rPr>
        <w:t>,</w:t>
      </w:r>
      <w:r w:rsidRPr="001F741F">
        <w:rPr>
          <w:rFonts w:ascii="Arial" w:hAnsi="Arial" w:cs="Arial"/>
          <w:sz w:val="24"/>
          <w:szCs w:val="24"/>
        </w:rPr>
        <w:t xml:space="preserve"> Encuesta Mensual de Servicios (EMS), Índice </w:t>
      </w:r>
      <w:r w:rsidR="00B84C63">
        <w:rPr>
          <w:rFonts w:ascii="Arial" w:hAnsi="Arial" w:cs="Arial"/>
          <w:sz w:val="24"/>
          <w:szCs w:val="24"/>
        </w:rPr>
        <w:t xml:space="preserve">Nacional </w:t>
      </w:r>
      <w:r w:rsidRPr="001F741F">
        <w:rPr>
          <w:rFonts w:ascii="Arial" w:hAnsi="Arial" w:cs="Arial"/>
          <w:sz w:val="24"/>
          <w:szCs w:val="24"/>
        </w:rPr>
        <w:t>de Precios Productor (I</w:t>
      </w:r>
      <w:r w:rsidR="00B84C63">
        <w:rPr>
          <w:rFonts w:ascii="Arial" w:hAnsi="Arial" w:cs="Arial"/>
          <w:sz w:val="24"/>
          <w:szCs w:val="24"/>
        </w:rPr>
        <w:t>N</w:t>
      </w:r>
      <w:r w:rsidRPr="001F741F">
        <w:rPr>
          <w:rFonts w:ascii="Arial" w:hAnsi="Arial" w:cs="Arial"/>
          <w:sz w:val="24"/>
          <w:szCs w:val="24"/>
        </w:rPr>
        <w:t>PP), Índice</w:t>
      </w:r>
      <w:r w:rsidR="00B84C63">
        <w:rPr>
          <w:rFonts w:ascii="Arial" w:hAnsi="Arial" w:cs="Arial"/>
          <w:sz w:val="24"/>
          <w:szCs w:val="24"/>
        </w:rPr>
        <w:t xml:space="preserve"> Nacional </w:t>
      </w:r>
      <w:r w:rsidRPr="001F741F">
        <w:rPr>
          <w:rFonts w:ascii="Arial" w:hAnsi="Arial" w:cs="Arial"/>
          <w:sz w:val="24"/>
          <w:szCs w:val="24"/>
        </w:rPr>
        <w:t>de Precios al Consumidor (INPC); Secretaría de Agricultura y Desarrollo Rural (SADER), así como registros administrativos provenientes de empresas e instituciones públicas y privadas.</w:t>
      </w:r>
    </w:p>
    <w:p w14:paraId="763391CD" w14:textId="77777777" w:rsidR="001F741F" w:rsidRPr="001F741F" w:rsidRDefault="001F741F" w:rsidP="001A76C0">
      <w:pPr>
        <w:spacing w:before="240"/>
        <w:jc w:val="both"/>
        <w:rPr>
          <w:rFonts w:ascii="Arial" w:hAnsi="Arial" w:cs="Arial"/>
          <w:sz w:val="24"/>
          <w:szCs w:val="24"/>
          <w:highlight w:val="green"/>
        </w:rPr>
      </w:pPr>
      <w:r w:rsidRPr="001F741F">
        <w:rPr>
          <w:rFonts w:ascii="Arial" w:hAnsi="Arial" w:cs="Arial"/>
          <w:sz w:val="24"/>
          <w:szCs w:val="24"/>
        </w:rPr>
        <w:t xml:space="preserve">Un mayor detalle de la descripción metodológica se puede consultar en: </w:t>
      </w:r>
      <w:hyperlink r:id="rId31" w:history="1">
        <w:r w:rsidRPr="001F741F">
          <w:rPr>
            <w:rStyle w:val="Hipervnculo"/>
            <w:rFonts w:ascii="Arial" w:hAnsi="Arial" w:cs="Arial"/>
            <w:sz w:val="24"/>
            <w:szCs w:val="24"/>
          </w:rPr>
          <w:t>https://www.inegi.org.mx/contenidos/programas/ofyd/2013/doc/met_oubst.pdf</w:t>
        </w:r>
      </w:hyperlink>
    </w:p>
    <w:bookmarkEnd w:id="3"/>
    <w:p w14:paraId="2E590EB1" w14:textId="77777777" w:rsidR="00901E0F" w:rsidRDefault="00901E0F" w:rsidP="00B3030A">
      <w:pPr>
        <w:widowControl/>
        <w:autoSpaceDE w:val="0"/>
        <w:autoSpaceDN w:val="0"/>
        <w:adjustRightInd w:val="0"/>
        <w:spacing w:before="240"/>
        <w:jc w:val="both"/>
        <w:rPr>
          <w:rFonts w:ascii="Arial" w:hAnsi="Arial" w:cs="Arial"/>
          <w:color w:val="000000"/>
          <w:sz w:val="24"/>
          <w:szCs w:val="24"/>
        </w:rPr>
      </w:pPr>
    </w:p>
    <w:p w14:paraId="336D6886" w14:textId="32D991D9" w:rsidR="001F741F" w:rsidRPr="001F741F" w:rsidRDefault="001F741F" w:rsidP="00901E0F">
      <w:pPr>
        <w:widowControl/>
        <w:autoSpaceDE w:val="0"/>
        <w:autoSpaceDN w:val="0"/>
        <w:adjustRightInd w:val="0"/>
        <w:spacing w:before="120"/>
        <w:jc w:val="both"/>
        <w:rPr>
          <w:rFonts w:ascii="Arial" w:hAnsi="Arial" w:cs="Arial"/>
          <w:color w:val="000000"/>
          <w:sz w:val="24"/>
          <w:szCs w:val="24"/>
        </w:rPr>
      </w:pPr>
      <w:r w:rsidRPr="001F741F">
        <w:rPr>
          <w:rFonts w:ascii="Arial" w:hAnsi="Arial" w:cs="Arial"/>
          <w:color w:val="000000"/>
          <w:sz w:val="24"/>
          <w:szCs w:val="24"/>
        </w:rPr>
        <w:t>Para evitar los problemas derivados del uso de metodologías y/o fuentes de información diferentes, l</w:t>
      </w:r>
      <w:r w:rsidRPr="001F741F">
        <w:rPr>
          <w:rFonts w:ascii="Arial" w:hAnsi="Arial" w:cs="Arial"/>
          <w:sz w:val="24"/>
          <w:szCs w:val="24"/>
        </w:rPr>
        <w:t>os cálculos de corto plazo se alinean con las cifras anuales de las Cuentas de Bienes y Servicios, aplicando la técnica Denton a nivel de clase y subsector de actividad económica</w:t>
      </w:r>
      <w:r w:rsidR="00D82B83">
        <w:rPr>
          <w:rFonts w:ascii="Arial" w:hAnsi="Arial" w:cs="Arial"/>
          <w:sz w:val="24"/>
          <w:szCs w:val="24"/>
        </w:rPr>
        <w:t>.</w:t>
      </w:r>
      <w:r w:rsidRPr="001F741F">
        <w:rPr>
          <w:rFonts w:ascii="Arial" w:hAnsi="Arial" w:cs="Arial"/>
          <w:sz w:val="24"/>
          <w:szCs w:val="24"/>
        </w:rPr>
        <w:t xml:space="preserve"> </w:t>
      </w:r>
      <w:r w:rsidR="0054119B">
        <w:rPr>
          <w:rFonts w:ascii="Arial" w:hAnsi="Arial" w:cs="Arial"/>
          <w:sz w:val="24"/>
          <w:szCs w:val="24"/>
        </w:rPr>
        <w:t>Cabe mencionar que la base conceptual no varía.</w:t>
      </w:r>
    </w:p>
    <w:p w14:paraId="074FAAAF" w14:textId="77777777" w:rsidR="001F741F" w:rsidRPr="001F741F" w:rsidRDefault="001F741F" w:rsidP="00DC30BD">
      <w:pPr>
        <w:widowControl/>
        <w:autoSpaceDE w:val="0"/>
        <w:autoSpaceDN w:val="0"/>
        <w:adjustRightInd w:val="0"/>
        <w:spacing w:before="180"/>
        <w:jc w:val="both"/>
        <w:rPr>
          <w:rFonts w:ascii="Arial" w:hAnsi="Arial" w:cs="Arial"/>
          <w:color w:val="000000"/>
          <w:sz w:val="24"/>
          <w:szCs w:val="24"/>
        </w:rPr>
      </w:pPr>
      <w:r w:rsidRPr="001F741F">
        <w:rPr>
          <w:rFonts w:ascii="Arial" w:hAnsi="Arial" w:cs="Arial"/>
          <w:color w:val="000000"/>
          <w:sz w:val="24"/>
          <w:szCs w:val="24"/>
        </w:rPr>
        <w:t>También, se estable una mecánica recurrente y sistemática para la incorporación de la última información estadística básica en los cálculos.</w:t>
      </w:r>
    </w:p>
    <w:p w14:paraId="53F3D24B" w14:textId="63D93429" w:rsidR="005D2DE3" w:rsidRPr="00701B2D" w:rsidRDefault="001F741F" w:rsidP="007242AA">
      <w:pPr>
        <w:pStyle w:val="p0"/>
        <w:rPr>
          <w:rStyle w:val="Hipervnculo"/>
          <w:szCs w:val="24"/>
        </w:rPr>
      </w:pPr>
      <w:r w:rsidRPr="001F741F">
        <w:rPr>
          <w:rFonts w:cs="Arial"/>
          <w:color w:val="auto"/>
          <w:szCs w:val="24"/>
        </w:rPr>
        <w:t xml:space="preserve">Las series de la Oferta y Utilización Trimestral, pueden ser consultadas en la sección PIB y Cuentas Nacionales de México </w:t>
      </w:r>
      <w:hyperlink r:id="rId32" w:history="1">
        <w:r w:rsidRPr="001F741F">
          <w:rPr>
            <w:rStyle w:val="Hipervnculo"/>
            <w:rFonts w:cs="Arial"/>
            <w:szCs w:val="24"/>
          </w:rPr>
          <w:t>https://www.inegi.org.mx/temas/ofyd/</w:t>
        </w:r>
      </w:hyperlink>
      <w:r w:rsidRPr="001F741F">
        <w:rPr>
          <w:rStyle w:val="Hipervnculo"/>
          <w:rFonts w:cs="Arial"/>
          <w:szCs w:val="24"/>
        </w:rPr>
        <w:t>,</w:t>
      </w:r>
      <w:r w:rsidRPr="001F741F">
        <w:rPr>
          <w:rFonts w:cs="Arial"/>
          <w:szCs w:val="24"/>
        </w:rPr>
        <w:t xml:space="preserve"> </w:t>
      </w:r>
      <w:r w:rsidRPr="001F741F">
        <w:rPr>
          <w:rFonts w:cs="Arial"/>
          <w:color w:val="auto"/>
          <w:szCs w:val="24"/>
        </w:rPr>
        <w:t>en el Banco de Información Económica (BIE)</w:t>
      </w:r>
      <w:r w:rsidRPr="001F741F">
        <w:rPr>
          <w:rFonts w:cs="Arial"/>
          <w:szCs w:val="24"/>
        </w:rPr>
        <w:t xml:space="preserve"> </w:t>
      </w:r>
      <w:hyperlink r:id="rId33" w:history="1">
        <w:r w:rsidRPr="001F741F">
          <w:rPr>
            <w:rStyle w:val="Hipervnculo"/>
            <w:rFonts w:cs="Arial"/>
            <w:szCs w:val="24"/>
          </w:rPr>
          <w:t>https://www.inegi.org.mx/app/indicadores/bie.html</w:t>
        </w:r>
      </w:hyperlink>
      <w:r w:rsidRPr="001F741F">
        <w:rPr>
          <w:rFonts w:cs="Arial"/>
          <w:szCs w:val="24"/>
        </w:rPr>
        <w:t xml:space="preserve">, </w:t>
      </w:r>
      <w:r w:rsidRPr="001F741F">
        <w:rPr>
          <w:rFonts w:cs="Arial"/>
          <w:color w:val="auto"/>
          <w:szCs w:val="24"/>
        </w:rPr>
        <w:t>en la página en Internet del Instituto</w:t>
      </w:r>
      <w:r w:rsidRPr="001F741F">
        <w:rPr>
          <w:rFonts w:cs="Arial"/>
          <w:szCs w:val="24"/>
        </w:rPr>
        <w:t xml:space="preserve"> </w:t>
      </w:r>
      <w:r w:rsidRPr="001F741F">
        <w:rPr>
          <w:rStyle w:val="Hipervnculo"/>
          <w:rFonts w:cs="Arial"/>
          <w:szCs w:val="24"/>
        </w:rPr>
        <w:t>https://</w:t>
      </w:r>
      <w:hyperlink r:id="rId34" w:history="1">
        <w:r w:rsidRPr="001F741F">
          <w:rPr>
            <w:rStyle w:val="Hipervnculo"/>
            <w:rFonts w:cs="Arial"/>
            <w:szCs w:val="24"/>
          </w:rPr>
          <w:t>www.inegi.org.mx</w:t>
        </w:r>
      </w:hyperlink>
      <w:r w:rsidRPr="001F741F">
        <w:rPr>
          <w:rStyle w:val="Hipervnculo"/>
          <w:rFonts w:cs="Arial"/>
          <w:szCs w:val="24"/>
        </w:rPr>
        <w:t>.</w:t>
      </w:r>
    </w:p>
    <w:p w14:paraId="3BD0B098" w14:textId="5EE469BB" w:rsidR="00B80710" w:rsidRPr="00D82B83" w:rsidRDefault="00B80710" w:rsidP="00D82B83">
      <w:pPr>
        <w:pStyle w:val="p0"/>
        <w:rPr>
          <w:b/>
          <w:bCs/>
          <w:i/>
          <w:iCs/>
          <w:color w:val="auto"/>
        </w:rPr>
      </w:pPr>
      <w:r w:rsidRPr="00D82B83">
        <w:rPr>
          <w:b/>
          <w:bCs/>
          <w:i/>
          <w:iCs/>
          <w:color w:val="auto"/>
        </w:rPr>
        <w:t>Indicador Trimestral del Ahorro Bruto</w:t>
      </w:r>
    </w:p>
    <w:p w14:paraId="40FB7AEF" w14:textId="4258DDF4" w:rsidR="00B80710" w:rsidRPr="00B80710" w:rsidRDefault="00C557D0" w:rsidP="00DC30BD">
      <w:pPr>
        <w:spacing w:before="180"/>
        <w:jc w:val="both"/>
        <w:rPr>
          <w:rFonts w:ascii="Arial" w:hAnsi="Arial"/>
          <w:sz w:val="24"/>
        </w:rPr>
      </w:pPr>
      <w:r>
        <w:rPr>
          <w:rFonts w:ascii="Arial" w:hAnsi="Arial"/>
          <w:sz w:val="24"/>
        </w:rPr>
        <w:t xml:space="preserve">Por su parte, </w:t>
      </w:r>
      <w:r w:rsidR="00AD2EC1">
        <w:rPr>
          <w:rFonts w:ascii="Arial" w:hAnsi="Arial"/>
          <w:sz w:val="24"/>
        </w:rPr>
        <w:t>e</w:t>
      </w:r>
      <w:r w:rsidR="00B80710" w:rsidRPr="00B80710">
        <w:rPr>
          <w:rFonts w:ascii="Arial" w:hAnsi="Arial"/>
          <w:sz w:val="24"/>
        </w:rPr>
        <w:t xml:space="preserve">l Indicador Trimestral del Ahorro Bruto (ITAB) tiene como propósito disponer de una medición del ahorro bruto el cual representa la parte del ingreso disponible que no se gasta en bienes y servicios de consumo final, permitiendo con estos recursos la adquisición de activos por parte de los agentes económicos. </w:t>
      </w:r>
    </w:p>
    <w:p w14:paraId="359C2287" w14:textId="0AA7EE48" w:rsidR="00915112" w:rsidRPr="00B80710" w:rsidRDefault="005B62F1" w:rsidP="007242AA">
      <w:pPr>
        <w:pStyle w:val="p0"/>
        <w:rPr>
          <w:color w:val="auto"/>
        </w:rPr>
      </w:pPr>
      <w:hyperlink w:anchor="page3" w:history="1">
        <w:r w:rsidR="00B80710" w:rsidRPr="00B80710">
          <w:rPr>
            <w:color w:val="auto"/>
          </w:rPr>
          <w:t>Su cobertura geográfica es nacional y se</w:t>
        </w:r>
      </w:hyperlink>
      <w:r w:rsidR="00B80710" w:rsidRPr="00B80710">
        <w:rPr>
          <w:color w:val="auto"/>
        </w:rPr>
        <w:t xml:space="preserve"> </w:t>
      </w:r>
      <w:hyperlink w:anchor="page3" w:history="1">
        <w:r w:rsidR="00B80710" w:rsidRPr="00B80710">
          <w:rPr>
            <w:color w:val="auto"/>
          </w:rPr>
          <w:t xml:space="preserve">identifica en dos componentes de acuerdo con su origen Economía interna y Resto del mundo, expresándose sus resultados en valores corrientes y como participación porcentual respecto al Producto Interno Bruto (PIB). </w:t>
        </w:r>
      </w:hyperlink>
    </w:p>
    <w:p w14:paraId="58D4C569" w14:textId="3A1FDDCF" w:rsidR="00B80710" w:rsidRPr="00B80710" w:rsidRDefault="00B80710" w:rsidP="00DC30BD">
      <w:pPr>
        <w:pStyle w:val="p0"/>
        <w:keepLines w:val="0"/>
        <w:spacing w:before="180"/>
        <w:rPr>
          <w:color w:val="auto"/>
        </w:rPr>
      </w:pPr>
      <w:r w:rsidRPr="00B80710">
        <w:rPr>
          <w:color w:val="auto"/>
        </w:rPr>
        <w:t xml:space="preserve">Para la elaboración de las cifras originales del Indicador, se siguen los conceptos, criterios metodológicos, clasificadores y datos fuente que se emplean en los cálculos anuales del Ahorro bruto. Asimismo, incorpora los lineamientos internacionales sobre contabilidad nacional que han establecido las Naciones Unidas (NU), la Organización para la Cooperación y Desarrollo Económicos (OCDE), el Banco Mundial (BM), el Fondo Monetario Internacional (FMI), y la Comisión Europea; dichas recomendaciones se encuentran difundidas en: Sistema de Cuentas Nacionales 2008 (SCN2008) y </w:t>
      </w:r>
      <w:proofErr w:type="spellStart"/>
      <w:r w:rsidRPr="00AD2EC1">
        <w:rPr>
          <w:i/>
          <w:iCs/>
          <w:color w:val="auto"/>
        </w:rPr>
        <w:t>Quarterly</w:t>
      </w:r>
      <w:proofErr w:type="spellEnd"/>
      <w:r w:rsidRPr="00AD2EC1">
        <w:rPr>
          <w:i/>
          <w:iCs/>
          <w:color w:val="auto"/>
        </w:rPr>
        <w:t xml:space="preserve">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w:t>
      </w:r>
      <w:r w:rsidRPr="00DC30BD">
        <w:rPr>
          <w:i/>
          <w:iCs/>
          <w:color w:val="auto"/>
        </w:rPr>
        <w:t xml:space="preserve">Manual-2017 </w:t>
      </w:r>
      <w:proofErr w:type="spellStart"/>
      <w:r w:rsidRPr="00DC30BD">
        <w:rPr>
          <w:i/>
          <w:iCs/>
          <w:color w:val="auto"/>
        </w:rPr>
        <w:t>Edition</w:t>
      </w:r>
      <w:proofErr w:type="spellEnd"/>
      <w:r w:rsidRPr="00B80710">
        <w:rPr>
          <w:color w:val="auto"/>
        </w:rPr>
        <w:t xml:space="preserve"> (QNA 2017) editado por el Fondo Monetario Internacional y </w:t>
      </w:r>
      <w:proofErr w:type="spellStart"/>
      <w:r w:rsidRPr="00AD2EC1">
        <w:rPr>
          <w:i/>
          <w:iCs/>
          <w:color w:val="auto"/>
        </w:rPr>
        <w:t>Handbook</w:t>
      </w:r>
      <w:proofErr w:type="spellEnd"/>
      <w:r w:rsidRPr="00AD2EC1">
        <w:rPr>
          <w:i/>
          <w:iCs/>
          <w:color w:val="auto"/>
        </w:rPr>
        <w:t xml:space="preserve"> </w:t>
      </w:r>
      <w:proofErr w:type="spellStart"/>
      <w:r w:rsidRPr="00AD2EC1">
        <w:rPr>
          <w:i/>
          <w:iCs/>
          <w:color w:val="auto"/>
        </w:rPr>
        <w:t>on</w:t>
      </w:r>
      <w:proofErr w:type="spellEnd"/>
      <w:r w:rsidRPr="00AD2EC1">
        <w:rPr>
          <w:i/>
          <w:iCs/>
          <w:color w:val="auto"/>
        </w:rPr>
        <w:t xml:space="preserve"> </w:t>
      </w:r>
      <w:proofErr w:type="spellStart"/>
      <w:r w:rsidRPr="00AD2EC1">
        <w:rPr>
          <w:i/>
          <w:iCs/>
          <w:color w:val="auto"/>
        </w:rPr>
        <w:t>prices</w:t>
      </w:r>
      <w:proofErr w:type="spellEnd"/>
      <w:r w:rsidRPr="00AD2EC1">
        <w:rPr>
          <w:i/>
          <w:iCs/>
          <w:color w:val="auto"/>
        </w:rPr>
        <w:t xml:space="preserve"> and </w:t>
      </w:r>
      <w:proofErr w:type="spellStart"/>
      <w:r w:rsidRPr="00AD2EC1">
        <w:rPr>
          <w:i/>
          <w:iCs/>
          <w:color w:val="auto"/>
        </w:rPr>
        <w:t>volumes</w:t>
      </w:r>
      <w:proofErr w:type="spellEnd"/>
      <w:r w:rsidRPr="00AD2EC1">
        <w:rPr>
          <w:i/>
          <w:iCs/>
          <w:color w:val="auto"/>
        </w:rPr>
        <w:t xml:space="preserve"> </w:t>
      </w:r>
      <w:proofErr w:type="spellStart"/>
      <w:r w:rsidRPr="00AD2EC1">
        <w:rPr>
          <w:i/>
          <w:iCs/>
          <w:color w:val="auto"/>
        </w:rPr>
        <w:t>measures</w:t>
      </w:r>
      <w:proofErr w:type="spellEnd"/>
      <w:r w:rsidRPr="00AD2EC1">
        <w:rPr>
          <w:i/>
          <w:iCs/>
          <w:color w:val="auto"/>
        </w:rPr>
        <w:t xml:space="preserve"> in </w:t>
      </w:r>
      <w:proofErr w:type="spellStart"/>
      <w:r w:rsidRPr="00AD2EC1">
        <w:rPr>
          <w:i/>
          <w:iCs/>
          <w:color w:val="auto"/>
        </w:rPr>
        <w:t>national</w:t>
      </w:r>
      <w:proofErr w:type="spellEnd"/>
      <w:r w:rsidRPr="00AD2EC1">
        <w:rPr>
          <w:i/>
          <w:iCs/>
          <w:color w:val="auto"/>
        </w:rPr>
        <w:t xml:space="preserve"> </w:t>
      </w:r>
      <w:proofErr w:type="spellStart"/>
      <w:r w:rsidRPr="00AD2EC1">
        <w:rPr>
          <w:i/>
          <w:iCs/>
          <w:color w:val="auto"/>
        </w:rPr>
        <w:t>accounts</w:t>
      </w:r>
      <w:proofErr w:type="spellEnd"/>
      <w:r w:rsidRPr="00B80710">
        <w:rPr>
          <w:color w:val="auto"/>
        </w:rPr>
        <w:t xml:space="preserve"> 2016, publicado por Eurostat.</w:t>
      </w:r>
    </w:p>
    <w:p w14:paraId="75A62EFF" w14:textId="6F65B5B1" w:rsidR="00B80710" w:rsidRPr="00B80710" w:rsidRDefault="00B80710" w:rsidP="00B3030A">
      <w:pPr>
        <w:pStyle w:val="p0"/>
        <w:rPr>
          <w:color w:val="auto"/>
        </w:rPr>
      </w:pPr>
      <w:r w:rsidRPr="00B80710">
        <w:rPr>
          <w:color w:val="auto"/>
        </w:rPr>
        <w:t xml:space="preserve">Las principales fuentes de información para este indicador son los cuadros de Oferta y Utilización Trimestral, la Balanza de Pagos publicada por el Banco de México, así como los resultados del Producto Interno Bruto Trimestral (PIB). </w:t>
      </w:r>
    </w:p>
    <w:p w14:paraId="6360AF28" w14:textId="77777777" w:rsidR="00CF64DE" w:rsidRDefault="00CF64DE" w:rsidP="00921772">
      <w:pPr>
        <w:pStyle w:val="p0"/>
        <w:spacing w:before="120"/>
        <w:rPr>
          <w:color w:val="auto"/>
        </w:rPr>
      </w:pPr>
    </w:p>
    <w:p w14:paraId="3BABED4C" w14:textId="77777777" w:rsidR="00CF64DE" w:rsidRDefault="00CF64DE" w:rsidP="00921772">
      <w:pPr>
        <w:pStyle w:val="p0"/>
        <w:spacing w:before="120"/>
        <w:rPr>
          <w:color w:val="auto"/>
        </w:rPr>
      </w:pPr>
    </w:p>
    <w:p w14:paraId="267D50A0" w14:textId="77777777" w:rsidR="00CF64DE" w:rsidRDefault="00CF64DE" w:rsidP="00921772">
      <w:pPr>
        <w:pStyle w:val="p0"/>
        <w:spacing w:before="120"/>
        <w:rPr>
          <w:color w:val="auto"/>
        </w:rPr>
      </w:pPr>
    </w:p>
    <w:p w14:paraId="7983771B" w14:textId="4DBB5373" w:rsidR="00B80710" w:rsidRPr="00B80710" w:rsidRDefault="00B80710" w:rsidP="00921772">
      <w:pPr>
        <w:pStyle w:val="p0"/>
        <w:spacing w:before="120"/>
        <w:rPr>
          <w:color w:val="auto"/>
        </w:rPr>
      </w:pPr>
      <w:r w:rsidRPr="00B80710">
        <w:rPr>
          <w:color w:val="auto"/>
        </w:rPr>
        <w:t xml:space="preserve">De acuerdo con la identidad que señala que el Ahorro es igual a la Inversión, se asume que el nivel que corresponde a la Inversión Bruta Total es igual al nivel del Ahorro Bruto Total. Con el objeto de obtener la Inversión Bruta Total se suman los niveles de la Formación Bruta de Capital Fijo y de la Variación de Existencias. El Ahorro para la economía interna, se obtiene por diferencia entre el Ahorro Bruto Total y la cuantificación del ahorro que corresponde al resto del mundo. </w:t>
      </w:r>
    </w:p>
    <w:p w14:paraId="37A9F4CE" w14:textId="51966BE2" w:rsidR="00B80710" w:rsidRPr="00B80710" w:rsidRDefault="00B80710" w:rsidP="00901E0F">
      <w:pPr>
        <w:pStyle w:val="p0"/>
        <w:rPr>
          <w:color w:val="auto"/>
        </w:rPr>
      </w:pPr>
      <w:r w:rsidRPr="00B80710">
        <w:rPr>
          <w:color w:val="auto"/>
        </w:rPr>
        <w:t>Para calcular el Ahorro Externo, se considera el Saldo de la Cuenta Corriente de la Balanza de Pagos, el cual, para expresarlo en cifras anualizadas, se multiplica por cuatro y se incluye en el cálculo del Ahorro con signo contrario. Lo anterior debido a que si el saldo de la Cuenta Corriente de la Balanza de Pagos es negativo representa que el resto del mundo financia nuestra inversión y, por el contrario, si el saldo es positivo significa que nuestra economía financia al resto del mundo.</w:t>
      </w:r>
    </w:p>
    <w:p w14:paraId="31F2BEC1" w14:textId="6647C3E3" w:rsidR="00B80710" w:rsidRPr="00B80710" w:rsidRDefault="00B80710" w:rsidP="00AA3903">
      <w:pPr>
        <w:spacing w:before="240" w:after="240"/>
        <w:rPr>
          <w:rFonts w:ascii="Arial" w:hAnsi="Arial" w:cs="Arial"/>
          <w:sz w:val="24"/>
          <w:szCs w:val="32"/>
        </w:rPr>
      </w:pPr>
      <w:r w:rsidRPr="00B80710">
        <w:rPr>
          <w:rFonts w:ascii="Arial" w:hAnsi="Arial" w:cs="Arial"/>
          <w:sz w:val="24"/>
          <w:szCs w:val="24"/>
        </w:rPr>
        <w:t xml:space="preserve">Un mayor detalle de la descripción metodológica se puede consultar en: </w:t>
      </w:r>
      <w:hyperlink r:id="rId35" w:history="1">
        <w:r w:rsidRPr="00B80710">
          <w:rPr>
            <w:rStyle w:val="Hipervnculo"/>
            <w:rFonts w:ascii="Arial" w:hAnsi="Arial" w:cs="Arial"/>
            <w:sz w:val="24"/>
            <w:szCs w:val="32"/>
          </w:rPr>
          <w:t>https://www.inegi.org.mx/contenidos/programas/itab/2013/doc/met_itab.pdf</w:t>
        </w:r>
      </w:hyperlink>
    </w:p>
    <w:p w14:paraId="488CADC2" w14:textId="785B518B" w:rsidR="00B80710" w:rsidRPr="00B80710" w:rsidRDefault="00B80710" w:rsidP="00AA3903">
      <w:pPr>
        <w:pStyle w:val="p0"/>
        <w:rPr>
          <w:color w:val="auto"/>
        </w:rPr>
      </w:pPr>
      <w:r w:rsidRPr="00B80710">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r w:rsidR="00AA3903">
        <w:rPr>
          <w:color w:val="auto"/>
        </w:rPr>
        <w:t>. É</w:t>
      </w:r>
      <w:r w:rsidRPr="00B80710">
        <w:rPr>
          <w:color w:val="auto"/>
        </w:rPr>
        <w:t>ste es el caso para la formación bruta de capital y la variación de existencias como componentes del ITAB.</w:t>
      </w:r>
    </w:p>
    <w:p w14:paraId="0858A29A" w14:textId="6BF85A40" w:rsidR="00B80710" w:rsidRPr="00B80710" w:rsidRDefault="00B80710" w:rsidP="00921772">
      <w:pPr>
        <w:pStyle w:val="p0"/>
        <w:spacing w:before="120"/>
        <w:rPr>
          <w:color w:val="auto"/>
        </w:rPr>
      </w:pPr>
      <w:r w:rsidRPr="00B80710">
        <w:rPr>
          <w:color w:val="auto"/>
        </w:rPr>
        <w:t>Los datos trimestrales del ITAB están disponibles desde el primer trimestre de 1993 y se expresan en millones de pesos, así como la participación porcentual respecto al Producto Interno Bruto (PIB), nominal.</w:t>
      </w:r>
    </w:p>
    <w:p w14:paraId="24BFFC6A" w14:textId="0FC2BEE6" w:rsidR="00B80710" w:rsidRPr="00B80710" w:rsidRDefault="00B80710" w:rsidP="00921772">
      <w:pPr>
        <w:pStyle w:val="parrafo1"/>
        <w:widowControl w:val="0"/>
        <w:spacing w:before="120"/>
        <w:ind w:left="0" w:right="51"/>
        <w:rPr>
          <w:szCs w:val="24"/>
        </w:rPr>
      </w:pPr>
      <w:r w:rsidRPr="00B80710">
        <w:rPr>
          <w:szCs w:val="24"/>
          <w:lang w:val="es-MX"/>
        </w:rPr>
        <w:t xml:space="preserve">Las series del ITAB pueden ser consultadas en la sección PIB y Cuentas Nacionales de México </w:t>
      </w:r>
      <w:hyperlink r:id="rId36" w:history="1">
        <w:r w:rsidRPr="00B80710">
          <w:rPr>
            <w:rStyle w:val="Hipervnculo"/>
            <w:szCs w:val="24"/>
          </w:rPr>
          <w:t>https://www.inegi.org.mx/temas/itab/</w:t>
        </w:r>
      </w:hyperlink>
      <w:r w:rsidRPr="00B80710">
        <w:rPr>
          <w:szCs w:val="24"/>
        </w:rPr>
        <w:t xml:space="preserve">, en el Banco de Información Económica (BIE) </w:t>
      </w:r>
      <w:hyperlink r:id="rId37" w:history="1">
        <w:r w:rsidRPr="00B80710">
          <w:rPr>
            <w:rStyle w:val="Hipervnculo"/>
            <w:szCs w:val="24"/>
          </w:rPr>
          <w:t>https://www.inegi.org.mx/app/indicadores/bie.html</w:t>
        </w:r>
      </w:hyperlink>
      <w:r w:rsidRPr="00B80710">
        <w:rPr>
          <w:szCs w:val="24"/>
        </w:rPr>
        <w:t xml:space="preserve">, en la página en Internet del Instituto </w:t>
      </w:r>
      <w:r w:rsidRPr="00B80710">
        <w:rPr>
          <w:color w:val="0070C0"/>
          <w:szCs w:val="24"/>
          <w:u w:val="single"/>
        </w:rPr>
        <w:t>https://</w:t>
      </w:r>
      <w:hyperlink r:id="rId38" w:history="1">
        <w:r w:rsidRPr="00B80710">
          <w:rPr>
            <w:rStyle w:val="Hipervnculo"/>
            <w:color w:val="0070C0"/>
            <w:szCs w:val="24"/>
          </w:rPr>
          <w:t>www.inegi.org.mx</w:t>
        </w:r>
      </w:hyperlink>
      <w:r w:rsidRPr="00B80710">
        <w:rPr>
          <w:color w:val="0070C0"/>
          <w:szCs w:val="24"/>
          <w:u w:val="single"/>
        </w:rPr>
        <w:t>.</w:t>
      </w:r>
    </w:p>
    <w:p w14:paraId="78C32F89" w14:textId="04977F29" w:rsidR="00D82B83" w:rsidRPr="00D82B83" w:rsidRDefault="00D82B83" w:rsidP="00901E0F">
      <w:pPr>
        <w:pStyle w:val="p0"/>
        <w:keepLines w:val="0"/>
        <w:rPr>
          <w:color w:val="auto"/>
        </w:rPr>
      </w:pPr>
      <w:r w:rsidRPr="00D82B8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573C3BBC" w14:textId="77777777" w:rsidR="00CF64DE" w:rsidRDefault="00CF64DE" w:rsidP="005D2A88">
      <w:pPr>
        <w:pStyle w:val="p0"/>
        <w:rPr>
          <w:color w:val="auto"/>
        </w:rPr>
      </w:pPr>
    </w:p>
    <w:p w14:paraId="0C76FD37" w14:textId="77777777" w:rsidR="00CF64DE" w:rsidRDefault="00CF64DE" w:rsidP="005D2A88">
      <w:pPr>
        <w:pStyle w:val="p0"/>
        <w:rPr>
          <w:color w:val="auto"/>
        </w:rPr>
      </w:pPr>
    </w:p>
    <w:p w14:paraId="7408BCEA" w14:textId="77777777" w:rsidR="00CF64DE" w:rsidRDefault="00CF64DE" w:rsidP="005D2A88">
      <w:pPr>
        <w:pStyle w:val="p0"/>
        <w:rPr>
          <w:color w:val="auto"/>
        </w:rPr>
      </w:pPr>
    </w:p>
    <w:p w14:paraId="730381DE" w14:textId="4BDCE34C" w:rsidR="00D82B83" w:rsidRPr="00D82B83" w:rsidRDefault="00D82B83" w:rsidP="005D2A88">
      <w:pPr>
        <w:pStyle w:val="p0"/>
        <w:rPr>
          <w:color w:val="auto"/>
        </w:rPr>
      </w:pPr>
      <w:r w:rsidRPr="00D82B83">
        <w:rPr>
          <w:color w:val="auto"/>
        </w:rPr>
        <w:t xml:space="preserve">En este sentido, la desestacionalización o ajuste estacional de series económicas consiste en remover estas influencias </w:t>
      </w:r>
      <w:proofErr w:type="spellStart"/>
      <w:r w:rsidRPr="00D82B83">
        <w:rPr>
          <w:color w:val="auto"/>
        </w:rPr>
        <w:t>intra-anuales</w:t>
      </w:r>
      <w:proofErr w:type="spellEnd"/>
      <w:r w:rsidRPr="00D82B83">
        <w:rPr>
          <w:color w:val="auto"/>
        </w:rPr>
        <w:t xml:space="preserve"> periódicas, debido a que su presencia dificulta diagnosticar o describir el comportamiento de una serie económica al no poder comparar, adecuadamente, un determinado mes con el inmediato anterior.</w:t>
      </w:r>
    </w:p>
    <w:p w14:paraId="689A1F73" w14:textId="77777777" w:rsidR="00D82B83" w:rsidRPr="00D82B83" w:rsidRDefault="00D82B83" w:rsidP="007242AA">
      <w:pPr>
        <w:pStyle w:val="p0"/>
        <w:rPr>
          <w:color w:val="auto"/>
        </w:rPr>
      </w:pPr>
      <w:r w:rsidRPr="00D82B8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7BB57E14" w14:textId="5A5879A3" w:rsidR="00D82B83" w:rsidRPr="00D82B83" w:rsidRDefault="00D82B83" w:rsidP="00901E0F">
      <w:pPr>
        <w:pStyle w:val="p0"/>
        <w:rPr>
          <w:color w:val="auto"/>
        </w:rPr>
      </w:pPr>
      <w:r w:rsidRPr="00D82B83">
        <w:rPr>
          <w:color w:val="auto"/>
        </w:rPr>
        <w:t>Las series originales se ajustan estacionalmente mediante el paquete estadístico X</w:t>
      </w:r>
      <w:r w:rsidRPr="00D82B83">
        <w:rPr>
          <w:color w:val="auto"/>
        </w:rPr>
        <w:noBreakHyphen/>
        <w:t>13ARIMA-SEATS. Para conocer la metodología se sugiere consultar la siguiente liga:</w:t>
      </w:r>
    </w:p>
    <w:p w14:paraId="610B352E" w14:textId="7CB2B667" w:rsidR="00D82B83" w:rsidRDefault="005B62F1" w:rsidP="00D82B83">
      <w:pPr>
        <w:pStyle w:val="p0"/>
        <w:spacing w:before="120"/>
        <w:rPr>
          <w:color w:val="auto"/>
        </w:rPr>
      </w:pPr>
      <w:hyperlink r:id="rId39" w:history="1">
        <w:r w:rsidR="00D82B83" w:rsidRPr="00D82B83">
          <w:rPr>
            <w:rStyle w:val="Hipervnculo"/>
          </w:rPr>
          <w:t>https://www.inegi.org.mx/app/biblioteca/ficha.html?upc=702825099060</w:t>
        </w:r>
      </w:hyperlink>
    </w:p>
    <w:p w14:paraId="1B2916C6" w14:textId="06042338" w:rsidR="00915112" w:rsidRDefault="00AD2EC1" w:rsidP="00D82B83">
      <w:pPr>
        <w:pStyle w:val="p0"/>
        <w:rPr>
          <w:color w:val="auto"/>
        </w:rPr>
      </w:pPr>
      <w:r w:rsidRPr="00B80710">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sectPr w:rsidR="00915112" w:rsidSect="001E428E">
      <w:headerReference w:type="default" r:id="rId40"/>
      <w:footerReference w:type="default" r:id="rId41"/>
      <w:headerReference w:type="first" r:id="rId42"/>
      <w:footerReference w:type="first" r:id="rId43"/>
      <w:pgSz w:w="12240" w:h="15840"/>
      <w:pgMar w:top="426" w:right="1750" w:bottom="851" w:left="1871" w:header="720" w:footer="720" w:gutter="0"/>
      <w:paperSrc w:first="259" w:other="25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696C2" w14:textId="77777777" w:rsidR="005B62F1" w:rsidRDefault="005B62F1">
      <w:r>
        <w:separator/>
      </w:r>
    </w:p>
  </w:endnote>
  <w:endnote w:type="continuationSeparator" w:id="0">
    <w:p w14:paraId="7ADF667C" w14:textId="77777777" w:rsidR="005B62F1" w:rsidRDefault="005B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87EA" w14:textId="77777777" w:rsidR="00287157" w:rsidRPr="0004737E" w:rsidRDefault="00287157" w:rsidP="00E73206">
    <w:pPr>
      <w:pStyle w:val="Piedepgina"/>
      <w:contextualSpacing/>
      <w:jc w:val="center"/>
      <w:rPr>
        <w:rFonts w:ascii="Arial" w:hAnsi="Arial" w:cs="Arial"/>
        <w:color w:val="002060"/>
        <w:sz w:val="18"/>
        <w:szCs w:val="18"/>
      </w:rPr>
    </w:pPr>
    <w:r w:rsidRPr="0004737E">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BAC0E" w14:textId="77777777" w:rsidR="00287157" w:rsidRPr="00F7727F" w:rsidRDefault="00287157" w:rsidP="0034506E">
    <w:pPr>
      <w:pStyle w:val="Piedepgina"/>
      <w:jc w:val="center"/>
      <w:rPr>
        <w:rFonts w:ascii="Arial" w:hAnsi="Arial"/>
        <w:b/>
        <w:color w:val="002060"/>
      </w:rPr>
    </w:pPr>
    <w:r w:rsidRPr="00F7727F">
      <w:rPr>
        <w:rFonts w:ascii="Arial" w:hAnsi="Arial"/>
        <w:b/>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F894" w14:textId="77777777" w:rsidR="00287157" w:rsidRDefault="00287157" w:rsidP="001A1A23">
    <w:pPr>
      <w:pStyle w:val="Piedepgina"/>
      <w:jc w:val="center"/>
    </w:pPr>
    <w:r>
      <w:rPr>
        <w:rFonts w:ascii="Arial" w:hAnsi="Arial"/>
        <w:b/>
        <w:sz w:val="24"/>
      </w:rPr>
      <w:t>COMUNICACIÓN SOCIAL</w:t>
    </w:r>
  </w:p>
  <w:p w14:paraId="32311D35" w14:textId="77777777" w:rsidR="00287157" w:rsidRDefault="002871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F757" w14:textId="77777777" w:rsidR="005B62F1" w:rsidRDefault="005B62F1">
      <w:r>
        <w:separator/>
      </w:r>
    </w:p>
  </w:footnote>
  <w:footnote w:type="continuationSeparator" w:id="0">
    <w:p w14:paraId="3AA6E872" w14:textId="77777777" w:rsidR="005B62F1" w:rsidRDefault="005B62F1">
      <w:r>
        <w:continuationSeparator/>
      </w:r>
    </w:p>
  </w:footnote>
  <w:footnote w:id="1">
    <w:p w14:paraId="12CBF62B" w14:textId="77777777" w:rsidR="00287157" w:rsidRPr="00BD64BD" w:rsidRDefault="00287157" w:rsidP="00432F46">
      <w:pPr>
        <w:pStyle w:val="Textonotapie"/>
        <w:ind w:left="142" w:right="-547" w:hanging="142"/>
        <w:jc w:val="both"/>
        <w:rPr>
          <w:rFonts w:ascii="Arial" w:hAnsi="Arial" w:cs="Arial"/>
          <w:sz w:val="18"/>
          <w:szCs w:val="18"/>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t>Año base 2013.</w:t>
      </w:r>
    </w:p>
  </w:footnote>
  <w:footnote w:id="2">
    <w:p w14:paraId="35AF923C" w14:textId="77777777" w:rsidR="00287157" w:rsidRPr="001E428E" w:rsidRDefault="00287157" w:rsidP="00432F46">
      <w:pPr>
        <w:pStyle w:val="Textonotapie"/>
        <w:ind w:left="142" w:right="-547" w:hanging="142"/>
        <w:jc w:val="both"/>
        <w:rPr>
          <w:rFonts w:ascii="Arial" w:hAnsi="Arial" w:cs="Arial"/>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2B89CDA2" w14:textId="77777777" w:rsidR="00287157" w:rsidRDefault="00287157" w:rsidP="00432F46">
      <w:pPr>
        <w:pStyle w:val="Textonotapie"/>
        <w:ind w:left="142" w:right="-547" w:hanging="142"/>
        <w:jc w:val="both"/>
        <w:rPr>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 xml:space="preserve">Representa la parte del ingreso disponible que no se gasta ni en bienes ni en servicios de consumo final, permitiendo con estos recursos la adquisición de activos por parte de los agentes económicos, se constituye por dos principales componentes, de acuerdo </w:t>
      </w:r>
      <w:r>
        <w:rPr>
          <w:rFonts w:ascii="Arial" w:hAnsi="Arial" w:cs="Arial"/>
          <w:sz w:val="16"/>
          <w:szCs w:val="16"/>
        </w:rPr>
        <w:t>con</w:t>
      </w:r>
      <w:r w:rsidRPr="001E428E">
        <w:rPr>
          <w:rFonts w:ascii="Arial" w:hAnsi="Arial" w:cs="Arial"/>
          <w:sz w:val="16"/>
          <w:szCs w:val="16"/>
        </w:rPr>
        <w:t xml:space="preserve"> su origen: Economía Interna y Resto del Mundo. </w:t>
      </w:r>
    </w:p>
    <w:p w14:paraId="60A27E6A" w14:textId="77777777" w:rsidR="00287157" w:rsidRDefault="00287157" w:rsidP="006F6587">
      <w:pPr>
        <w:pStyle w:val="Textonotapie"/>
        <w:ind w:left="142" w:hanging="142"/>
        <w:rPr>
          <w:sz w:val="16"/>
          <w:szCs w:val="16"/>
        </w:rPr>
      </w:pPr>
    </w:p>
    <w:p w14:paraId="54D89C0C" w14:textId="77777777" w:rsidR="00287157" w:rsidRPr="008927F7" w:rsidRDefault="00287157" w:rsidP="006F6587">
      <w:pPr>
        <w:pStyle w:val="Textonotapie"/>
        <w:ind w:left="142" w:hanging="142"/>
        <w:jc w:val="both"/>
        <w:rPr>
          <w:rFonts w:ascii="Arial" w:hAnsi="Arial" w:cs="Arial"/>
          <w:sz w:val="16"/>
          <w:szCs w:val="16"/>
        </w:rPr>
      </w:pPr>
    </w:p>
  </w:footnote>
  <w:footnote w:id="4">
    <w:p w14:paraId="62076FF4" w14:textId="77777777" w:rsidR="00287157" w:rsidRPr="00BD64BD" w:rsidRDefault="00287157" w:rsidP="00481678">
      <w:pPr>
        <w:pStyle w:val="Textonotapie"/>
        <w:ind w:left="142" w:hanging="142"/>
        <w:jc w:val="both"/>
        <w:rPr>
          <w:rFonts w:ascii="Arial" w:hAnsi="Arial" w:cs="Arial"/>
          <w:sz w:val="18"/>
          <w:szCs w:val="18"/>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t>Año base 2013.</w:t>
      </w:r>
    </w:p>
  </w:footnote>
  <w:footnote w:id="5">
    <w:p w14:paraId="0B752D80" w14:textId="600B5663" w:rsidR="00287157" w:rsidRDefault="00287157" w:rsidP="000230B9">
      <w:pPr>
        <w:pStyle w:val="Textonotapie"/>
        <w:ind w:left="142" w:hanging="142"/>
        <w:jc w:val="both"/>
        <w:rPr>
          <w:rFonts w:ascii="Arial" w:hAnsi="Arial" w:cs="Arial"/>
          <w:sz w:val="16"/>
          <w:szCs w:val="16"/>
        </w:rPr>
      </w:pPr>
      <w:r w:rsidRPr="00BD64BD">
        <w:rPr>
          <w:rStyle w:val="Refdenotaalpie"/>
          <w:rFonts w:ascii="Arial" w:hAnsi="Arial"/>
          <w:sz w:val="16"/>
          <w:szCs w:val="16"/>
        </w:rPr>
        <w:footnoteRef/>
      </w:r>
      <w:r w:rsidRPr="00BD64BD">
        <w:rPr>
          <w:rStyle w:val="Refdenotaalpie"/>
          <w:rFonts w:ascii="Arial" w:hAnsi="Arial"/>
          <w:sz w:val="16"/>
          <w:szCs w:val="16"/>
        </w:rPr>
        <w:t xml:space="preserve"> </w:t>
      </w:r>
      <w:r w:rsidRPr="00BD64BD">
        <w:rPr>
          <w:rFonts w:ascii="Arial" w:hAnsi="Arial" w:cs="Arial"/>
          <w:sz w:val="16"/>
          <w:szCs w:val="16"/>
        </w:rPr>
        <w:tab/>
      </w:r>
      <w:r w:rsidRPr="001E428E">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DFDEDF5" w14:textId="77777777" w:rsidR="00287157" w:rsidRPr="001E428E" w:rsidRDefault="00287157" w:rsidP="000230B9">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55A6" w14:textId="7E0C15D4" w:rsidR="00287157" w:rsidRPr="006F6587" w:rsidRDefault="00287157" w:rsidP="00CE7AA9">
    <w:pPr>
      <w:pStyle w:val="Encabezado"/>
      <w:framePr w:w="5316" w:hSpace="141" w:wrap="auto" w:vAnchor="text" w:hAnchor="page" w:x="5783" w:y="42"/>
      <w:ind w:left="567" w:hanging="11"/>
      <w:jc w:val="right"/>
      <w:rPr>
        <w:rFonts w:ascii="Arial" w:hAnsi="Arial" w:cs="Arial"/>
        <w:b/>
        <w:color w:val="002060"/>
        <w:sz w:val="24"/>
        <w:szCs w:val="24"/>
      </w:rPr>
    </w:pPr>
    <w:r w:rsidRPr="006F6587">
      <w:rPr>
        <w:rFonts w:ascii="Arial" w:hAnsi="Arial" w:cs="Arial"/>
        <w:b/>
        <w:color w:val="002060"/>
        <w:sz w:val="24"/>
        <w:szCs w:val="24"/>
      </w:rPr>
      <w:t xml:space="preserve">COMUNICADO DE PRENSA NÚM. </w:t>
    </w:r>
    <w:r w:rsidR="00CE7AA9">
      <w:rPr>
        <w:rFonts w:ascii="Arial" w:hAnsi="Arial" w:cs="Arial"/>
        <w:b/>
        <w:color w:val="002060"/>
        <w:sz w:val="24"/>
        <w:szCs w:val="24"/>
      </w:rPr>
      <w:t>348</w:t>
    </w:r>
    <w:r w:rsidRPr="006F6587">
      <w:rPr>
        <w:rFonts w:ascii="Arial" w:hAnsi="Arial" w:cs="Arial"/>
        <w:b/>
        <w:color w:val="002060"/>
        <w:sz w:val="24"/>
        <w:szCs w:val="24"/>
      </w:rPr>
      <w:t>/21</w:t>
    </w:r>
  </w:p>
  <w:p w14:paraId="09CD7A41" w14:textId="77777777" w:rsidR="00287157" w:rsidRPr="006F6587" w:rsidRDefault="00287157" w:rsidP="00CE7AA9">
    <w:pPr>
      <w:pStyle w:val="Encabezado"/>
      <w:framePr w:w="5316" w:hSpace="141" w:wrap="auto" w:vAnchor="text" w:hAnchor="page" w:x="5783" w:y="42"/>
      <w:ind w:left="567" w:hanging="11"/>
      <w:jc w:val="right"/>
      <w:rPr>
        <w:rFonts w:ascii="Arial" w:hAnsi="Arial" w:cs="Arial"/>
        <w:b/>
        <w:color w:val="002060"/>
        <w:sz w:val="24"/>
        <w:szCs w:val="24"/>
        <w:lang w:val="pt-BR"/>
      </w:rPr>
    </w:pPr>
    <w:r w:rsidRPr="006F6587">
      <w:rPr>
        <w:rFonts w:ascii="Arial" w:hAnsi="Arial" w:cs="Arial"/>
        <w:b/>
        <w:color w:val="002060"/>
        <w:sz w:val="24"/>
        <w:szCs w:val="24"/>
        <w:lang w:val="pt-BR"/>
      </w:rPr>
      <w:t>18 DE JUNIO DE 2021</w:t>
    </w:r>
  </w:p>
  <w:p w14:paraId="2AD7C4E4" w14:textId="229CFABF" w:rsidR="00287157" w:rsidRPr="006F6587" w:rsidRDefault="00287157" w:rsidP="00CE7AA9">
    <w:pPr>
      <w:pStyle w:val="Encabezado"/>
      <w:framePr w:w="5316" w:hSpace="141" w:wrap="auto" w:vAnchor="text" w:hAnchor="page" w:x="5783" w:y="42"/>
      <w:ind w:left="567" w:hanging="11"/>
      <w:jc w:val="right"/>
      <w:rPr>
        <w:rFonts w:ascii="Arial" w:hAnsi="Arial" w:cs="Arial"/>
        <w:b/>
        <w:color w:val="002060"/>
        <w:sz w:val="24"/>
        <w:szCs w:val="24"/>
        <w:lang w:val="pt-BR"/>
      </w:rPr>
    </w:pPr>
    <w:r w:rsidRPr="006F6587">
      <w:rPr>
        <w:rFonts w:ascii="Arial" w:hAnsi="Arial" w:cs="Arial"/>
        <w:b/>
        <w:color w:val="002060"/>
        <w:sz w:val="24"/>
        <w:szCs w:val="24"/>
        <w:lang w:val="pt-BR"/>
      </w:rPr>
      <w:t xml:space="preserve">PÁGINA </w:t>
    </w:r>
    <w:r w:rsidRPr="006F6587">
      <w:rPr>
        <w:rFonts w:ascii="Arial" w:hAnsi="Arial" w:cs="Arial"/>
        <w:b/>
        <w:color w:val="002060"/>
        <w:sz w:val="24"/>
        <w:szCs w:val="24"/>
      </w:rPr>
      <w:fldChar w:fldCharType="begin"/>
    </w:r>
    <w:r w:rsidRPr="006F6587">
      <w:rPr>
        <w:rFonts w:ascii="Arial" w:hAnsi="Arial" w:cs="Arial"/>
        <w:b/>
        <w:color w:val="002060"/>
        <w:sz w:val="24"/>
        <w:szCs w:val="24"/>
        <w:lang w:val="pt-BR"/>
      </w:rPr>
      <w:instrText xml:space="preserve">\PAGE </w:instrText>
    </w:r>
    <w:r w:rsidRPr="006F6587">
      <w:rPr>
        <w:rFonts w:ascii="Arial" w:hAnsi="Arial" w:cs="Arial"/>
        <w:color w:val="002060"/>
        <w:sz w:val="24"/>
        <w:szCs w:val="24"/>
      </w:rPr>
      <w:fldChar w:fldCharType="separate"/>
    </w:r>
    <w:r w:rsidRPr="006F6587">
      <w:rPr>
        <w:rFonts w:ascii="Arial" w:hAnsi="Arial" w:cs="Arial"/>
        <w:b/>
        <w:noProof/>
        <w:color w:val="002060"/>
        <w:sz w:val="24"/>
        <w:szCs w:val="24"/>
        <w:lang w:val="pt-BR"/>
      </w:rPr>
      <w:t>2</w:t>
    </w:r>
    <w:r w:rsidRPr="006F6587">
      <w:rPr>
        <w:rFonts w:ascii="Arial" w:hAnsi="Arial" w:cs="Arial"/>
        <w:color w:val="002060"/>
        <w:sz w:val="24"/>
        <w:szCs w:val="24"/>
      </w:rPr>
      <w:fldChar w:fldCharType="end"/>
    </w:r>
    <w:r w:rsidRPr="006F6587">
      <w:rPr>
        <w:rFonts w:ascii="Arial" w:hAnsi="Arial" w:cs="Arial"/>
        <w:b/>
        <w:color w:val="002060"/>
        <w:sz w:val="24"/>
        <w:szCs w:val="24"/>
        <w:lang w:val="pt-BR"/>
      </w:rPr>
      <w:t>/</w:t>
    </w:r>
    <w:r>
      <w:rPr>
        <w:rFonts w:ascii="Arial" w:hAnsi="Arial" w:cs="Arial"/>
        <w:b/>
        <w:color w:val="002060"/>
        <w:sz w:val="24"/>
        <w:szCs w:val="24"/>
        <w:lang w:val="pt-BR"/>
      </w:rPr>
      <w:t>2</w:t>
    </w:r>
  </w:p>
  <w:p w14:paraId="32A917ED" w14:textId="77777777" w:rsidR="00287157" w:rsidRDefault="00287157" w:rsidP="00F7727F">
    <w:pPr>
      <w:pStyle w:val="Encabezado"/>
      <w:ind w:left="-284"/>
    </w:pPr>
    <w:r>
      <w:rPr>
        <w:noProof/>
      </w:rPr>
      <w:drawing>
        <wp:inline distT="0" distB="0" distL="0" distR="0" wp14:anchorId="3498BB21" wp14:editId="3874A404">
          <wp:extent cx="812800" cy="844283"/>
          <wp:effectExtent l="0" t="0" r="635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7" cy="8733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643C" w14:textId="00FA11EA" w:rsidR="00287157" w:rsidRDefault="00287157" w:rsidP="006F6587">
    <w:pPr>
      <w:pStyle w:val="Encabezado"/>
      <w:ind w:left="284"/>
      <w:jc w:val="center"/>
    </w:pPr>
    <w:r>
      <w:rPr>
        <w:noProof/>
        <w:lang w:val="es-MX" w:eastAsia="es-MX"/>
      </w:rPr>
      <w:drawing>
        <wp:inline distT="0" distB="0" distL="0" distR="0" wp14:anchorId="706909CD" wp14:editId="08A9E15B">
          <wp:extent cx="928800" cy="964800"/>
          <wp:effectExtent l="0" t="0" r="5080" b="6985"/>
          <wp:docPr id="26" name="Imagen 2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AC66" w14:textId="77777777" w:rsidR="00287157" w:rsidRDefault="00287157" w:rsidP="001A1A23">
    <w:pPr>
      <w:pStyle w:val="Encabezado"/>
      <w:framePr w:w="4056" w:hSpace="141" w:wrap="auto" w:vAnchor="text" w:hAnchor="page" w:x="7367" w:y="83"/>
      <w:ind w:left="426"/>
      <w:rPr>
        <w:rFonts w:ascii="Arial" w:hAnsi="Arial"/>
        <w:b/>
        <w:sz w:val="24"/>
      </w:rPr>
    </w:pPr>
    <w:r>
      <w:rPr>
        <w:rFonts w:ascii="Arial" w:hAnsi="Arial"/>
        <w:b/>
        <w:sz w:val="24"/>
      </w:rPr>
      <w:t xml:space="preserve">COMUNICADO DE PRENSA </w:t>
    </w:r>
  </w:p>
  <w:p w14:paraId="5E7FA556" w14:textId="77777777" w:rsidR="00287157" w:rsidRDefault="00287157" w:rsidP="001A1A23">
    <w:pPr>
      <w:pStyle w:val="Encabezado"/>
      <w:framePr w:w="4056" w:hSpace="141" w:wrap="auto" w:vAnchor="text" w:hAnchor="page" w:x="7367" w:y="83"/>
      <w:ind w:left="426"/>
      <w:rPr>
        <w:rFonts w:ascii="Arial" w:hAnsi="Arial"/>
        <w:b/>
        <w:sz w:val="24"/>
      </w:rPr>
    </w:pPr>
  </w:p>
  <w:p w14:paraId="61F6BDBD" w14:textId="77777777" w:rsidR="00287157" w:rsidRDefault="00287157" w:rsidP="001A1A23">
    <w:pPr>
      <w:pStyle w:val="Encabezado"/>
      <w:framePr w:w="4056" w:hSpace="141" w:wrap="auto" w:vAnchor="text" w:hAnchor="page" w:x="7367" w:y="83"/>
      <w:ind w:left="426"/>
      <w:rPr>
        <w:rFonts w:ascii="Arial" w:hAnsi="Arial"/>
        <w:b/>
        <w:sz w:val="24"/>
      </w:rPr>
    </w:pPr>
    <w:r>
      <w:rPr>
        <w:rFonts w:ascii="Arial" w:hAnsi="Arial"/>
        <w:b/>
        <w:sz w:val="24"/>
      </w:rPr>
      <w:t>AGUASCALIENTES, AGS.</w:t>
    </w:r>
  </w:p>
  <w:p w14:paraId="51D9F245" w14:textId="77777777" w:rsidR="00287157" w:rsidRDefault="00287157" w:rsidP="001A1A23">
    <w:pPr>
      <w:pStyle w:val="Encabezado"/>
      <w:framePr w:w="4056" w:hSpace="141" w:wrap="auto" w:vAnchor="text" w:hAnchor="page" w:x="7367" w:y="83"/>
      <w:ind w:left="4252" w:hanging="3826"/>
      <w:rPr>
        <w:rFonts w:ascii="Arial" w:hAnsi="Arial"/>
        <w:b/>
        <w:sz w:val="24"/>
      </w:rPr>
    </w:pPr>
    <w:r>
      <w:rPr>
        <w:rFonts w:ascii="Arial" w:hAnsi="Arial"/>
        <w:b/>
        <w:sz w:val="24"/>
      </w:rPr>
      <w:t>25 DE AGOSTO DE 2008</w:t>
    </w:r>
  </w:p>
  <w:p w14:paraId="31302F83" w14:textId="77777777" w:rsidR="00287157" w:rsidRDefault="00287157" w:rsidP="001A1A23">
    <w:pPr>
      <w:pStyle w:val="Encabezado"/>
      <w:framePr w:w="4056" w:hSpace="141" w:wrap="auto" w:vAnchor="text" w:hAnchor="page" w:x="7367" w:y="83"/>
      <w:ind w:left="426"/>
      <w:rPr>
        <w:rFonts w:ascii="Arial" w:hAnsi="Arial"/>
        <w:b/>
        <w:sz w:val="24"/>
      </w:rPr>
    </w:pPr>
    <w:r>
      <w:rPr>
        <w:rFonts w:ascii="Arial" w:hAnsi="Arial"/>
        <w:b/>
        <w:sz w:val="24"/>
      </w:rPr>
      <w:t>NÚMERO</w:t>
    </w:r>
  </w:p>
  <w:p w14:paraId="209B8464" w14:textId="77777777" w:rsidR="00287157" w:rsidRDefault="00287157" w:rsidP="001A1A23">
    <w:pPr>
      <w:pStyle w:val="Encabezado"/>
      <w:framePr w:w="4056" w:hSpace="141" w:wrap="auto" w:vAnchor="text" w:hAnchor="page" w:x="7367" w:y="83"/>
      <w:ind w:left="426"/>
      <w:rPr>
        <w:rFonts w:ascii="Arial" w:hAnsi="Arial"/>
        <w:b/>
        <w:sz w:val="24"/>
      </w:rPr>
    </w:pPr>
    <w:r>
      <w:rPr>
        <w:rFonts w:ascii="Arial" w:hAnsi="Arial"/>
        <w:b/>
        <w:sz w:val="24"/>
      </w:rPr>
      <w:t xml:space="preserve">PÁGINA </w:t>
    </w:r>
    <w:r>
      <w:rPr>
        <w:rFonts w:ascii="Arial" w:hAnsi="Arial"/>
        <w:b/>
        <w:sz w:val="24"/>
      </w:rPr>
      <w:fldChar w:fldCharType="begin"/>
    </w:r>
    <w:r>
      <w:rPr>
        <w:rFonts w:ascii="Arial" w:hAnsi="Arial"/>
        <w:b/>
        <w:sz w:val="24"/>
      </w:rPr>
      <w:instrText>PAGE</w:instrText>
    </w:r>
    <w:r>
      <w:rPr>
        <w:rFonts w:ascii="Arial" w:hAnsi="Arial"/>
        <w:b/>
        <w:sz w:val="24"/>
      </w:rPr>
      <w:fldChar w:fldCharType="separate"/>
    </w:r>
    <w:r>
      <w:rPr>
        <w:rFonts w:ascii="Arial" w:hAnsi="Arial"/>
        <w:b/>
        <w:noProof/>
        <w:sz w:val="24"/>
      </w:rPr>
      <w:t>1</w:t>
    </w:r>
    <w:r>
      <w:rPr>
        <w:rFonts w:ascii="Arial" w:hAnsi="Arial"/>
        <w:b/>
        <w:sz w:val="24"/>
      </w:rPr>
      <w:fldChar w:fldCharType="end"/>
    </w:r>
    <w:r>
      <w:rPr>
        <w:rFonts w:ascii="Arial" w:hAnsi="Arial"/>
        <w:b/>
        <w:sz w:val="24"/>
      </w:rPr>
      <w:t>/10</w:t>
    </w:r>
  </w:p>
  <w:p w14:paraId="0932B4F7" w14:textId="77777777" w:rsidR="00287157" w:rsidRDefault="00287157" w:rsidP="001A1A23">
    <w:pPr>
      <w:pStyle w:val="Encabezado"/>
      <w:tabs>
        <w:tab w:val="clear" w:pos="4252"/>
        <w:tab w:val="center" w:pos="4537"/>
      </w:tabs>
      <w:rPr>
        <w:b/>
        <w:color w:val="000000"/>
        <w:spacing w:val="5"/>
        <w:sz w:val="24"/>
      </w:rPr>
    </w:pPr>
    <w:r>
      <w:rPr>
        <w:noProof/>
        <w:snapToGrid/>
        <w:lang w:val="es-MX" w:eastAsia="es-MX"/>
      </w:rPr>
      <w:drawing>
        <wp:inline distT="0" distB="0" distL="0" distR="0" wp14:anchorId="319DAE7F" wp14:editId="093C0971">
          <wp:extent cx="2076450" cy="1200150"/>
          <wp:effectExtent l="19050" t="0" r="0" b="0"/>
          <wp:docPr id="27" name="Imagen 27" descr="logoINEGI_rect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NEGI_rectBN"/>
                  <pic:cNvPicPr>
                    <a:picLocks noChangeAspect="1" noChangeArrowheads="1"/>
                  </pic:cNvPicPr>
                </pic:nvPicPr>
                <pic:blipFill>
                  <a:blip r:embed="rId1"/>
                  <a:srcRect/>
                  <a:stretch>
                    <a:fillRect/>
                  </a:stretch>
                </pic:blipFill>
                <pic:spPr bwMode="auto">
                  <a:xfrm>
                    <a:off x="0" y="0"/>
                    <a:ext cx="2076450" cy="1200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E5311"/>
    <w:multiLevelType w:val="hybridMultilevel"/>
    <w:tmpl w:val="88F48714"/>
    <w:lvl w:ilvl="0" w:tplc="5614A684">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6C2284"/>
    <w:multiLevelType w:val="singleLevel"/>
    <w:tmpl w:val="FFFFFFFF"/>
    <w:lvl w:ilvl="0">
      <w:numFmt w:val="decimal"/>
      <w:lvlText w:val="*"/>
      <w:lvlJc w:val="left"/>
    </w:lvl>
  </w:abstractNum>
  <w:abstractNum w:abstractNumId="3" w15:restartNumberingAfterBreak="0">
    <w:nsid w:val="215A381D"/>
    <w:multiLevelType w:val="hybridMultilevel"/>
    <w:tmpl w:val="BB8690BC"/>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4"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start w:val="1"/>
      <w:numFmt w:val="bullet"/>
      <w:lvlText w:val="o"/>
      <w:lvlJc w:val="left"/>
      <w:pPr>
        <w:tabs>
          <w:tab w:val="num" w:pos="2443"/>
        </w:tabs>
        <w:ind w:left="2443" w:hanging="360"/>
      </w:pPr>
      <w:rPr>
        <w:rFonts w:ascii="Courier New" w:hAnsi="Courier New" w:cs="Times New Roman" w:hint="default"/>
      </w:rPr>
    </w:lvl>
    <w:lvl w:ilvl="2" w:tplc="FFFFFFFF">
      <w:start w:val="1"/>
      <w:numFmt w:val="bullet"/>
      <w:lvlText w:val=""/>
      <w:lvlJc w:val="left"/>
      <w:pPr>
        <w:tabs>
          <w:tab w:val="num" w:pos="3163"/>
        </w:tabs>
        <w:ind w:left="3163" w:hanging="360"/>
      </w:pPr>
      <w:rPr>
        <w:rFonts w:ascii="Wingdings" w:hAnsi="Wingdings" w:hint="default"/>
      </w:rPr>
    </w:lvl>
    <w:lvl w:ilvl="3" w:tplc="FFFFFFFF">
      <w:start w:val="1"/>
      <w:numFmt w:val="bullet"/>
      <w:lvlText w:val=""/>
      <w:lvlJc w:val="left"/>
      <w:pPr>
        <w:tabs>
          <w:tab w:val="num" w:pos="3883"/>
        </w:tabs>
        <w:ind w:left="3883" w:hanging="360"/>
      </w:pPr>
      <w:rPr>
        <w:rFonts w:ascii="Symbol" w:hAnsi="Symbol" w:hint="default"/>
      </w:rPr>
    </w:lvl>
    <w:lvl w:ilvl="4" w:tplc="FFFFFFFF">
      <w:start w:val="1"/>
      <w:numFmt w:val="bullet"/>
      <w:lvlText w:val="o"/>
      <w:lvlJc w:val="left"/>
      <w:pPr>
        <w:tabs>
          <w:tab w:val="num" w:pos="4603"/>
        </w:tabs>
        <w:ind w:left="4603" w:hanging="360"/>
      </w:pPr>
      <w:rPr>
        <w:rFonts w:ascii="Courier New" w:hAnsi="Courier New" w:cs="Times New Roman" w:hint="default"/>
      </w:rPr>
    </w:lvl>
    <w:lvl w:ilvl="5" w:tplc="FFFFFFFF">
      <w:start w:val="1"/>
      <w:numFmt w:val="bullet"/>
      <w:lvlText w:val=""/>
      <w:lvlJc w:val="left"/>
      <w:pPr>
        <w:tabs>
          <w:tab w:val="num" w:pos="5323"/>
        </w:tabs>
        <w:ind w:left="5323" w:hanging="360"/>
      </w:pPr>
      <w:rPr>
        <w:rFonts w:ascii="Wingdings" w:hAnsi="Wingdings" w:hint="default"/>
      </w:rPr>
    </w:lvl>
    <w:lvl w:ilvl="6" w:tplc="FFFFFFFF">
      <w:start w:val="1"/>
      <w:numFmt w:val="bullet"/>
      <w:lvlText w:val=""/>
      <w:lvlJc w:val="left"/>
      <w:pPr>
        <w:tabs>
          <w:tab w:val="num" w:pos="6043"/>
        </w:tabs>
        <w:ind w:left="6043" w:hanging="360"/>
      </w:pPr>
      <w:rPr>
        <w:rFonts w:ascii="Symbol" w:hAnsi="Symbol" w:hint="default"/>
      </w:rPr>
    </w:lvl>
    <w:lvl w:ilvl="7" w:tplc="FFFFFFFF">
      <w:start w:val="1"/>
      <w:numFmt w:val="bullet"/>
      <w:lvlText w:val="o"/>
      <w:lvlJc w:val="left"/>
      <w:pPr>
        <w:tabs>
          <w:tab w:val="num" w:pos="6763"/>
        </w:tabs>
        <w:ind w:left="6763" w:hanging="360"/>
      </w:pPr>
      <w:rPr>
        <w:rFonts w:ascii="Courier New" w:hAnsi="Courier New" w:cs="Times New Roman" w:hint="default"/>
      </w:rPr>
    </w:lvl>
    <w:lvl w:ilvl="8" w:tplc="FFFFFFFF">
      <w:start w:val="1"/>
      <w:numFmt w:val="bullet"/>
      <w:lvlText w:val=""/>
      <w:lvlJc w:val="left"/>
      <w:pPr>
        <w:tabs>
          <w:tab w:val="num" w:pos="7483"/>
        </w:tabs>
        <w:ind w:left="7483" w:hanging="360"/>
      </w:pPr>
      <w:rPr>
        <w:rFonts w:ascii="Wingdings" w:hAnsi="Wingdings" w:hint="default"/>
      </w:rPr>
    </w:lvl>
  </w:abstractNum>
  <w:abstractNum w:abstractNumId="5" w15:restartNumberingAfterBreak="0">
    <w:nsid w:val="3A616A23"/>
    <w:multiLevelType w:val="hybridMultilevel"/>
    <w:tmpl w:val="FC446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F4A5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7485AA7"/>
    <w:multiLevelType w:val="hybridMultilevel"/>
    <w:tmpl w:val="15469F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240BA9"/>
    <w:multiLevelType w:val="hybridMultilevel"/>
    <w:tmpl w:val="FD4600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num w:numId="1">
    <w:abstractNumId w:val="0"/>
    <w:lvlOverride w:ilvl="0">
      <w:lvl w:ilvl="0">
        <w:start w:val="1"/>
        <w:numFmt w:val="bullet"/>
        <w:lvlText w:val=""/>
        <w:legacy w:legacy="1" w:legacySpace="0" w:legacyIndent="360"/>
        <w:lvlJc w:val="left"/>
        <w:pPr>
          <w:ind w:left="1647" w:hanging="360"/>
        </w:pPr>
        <w:rPr>
          <w:rFonts w:ascii="Symbol" w:hAnsi="Symbol" w:hint="default"/>
        </w:rPr>
      </w:lvl>
    </w:lvlOverride>
  </w:num>
  <w:num w:numId="2">
    <w:abstractNumId w:val="6"/>
  </w:num>
  <w:num w:numId="3">
    <w:abstractNumId w:val="3"/>
  </w:num>
  <w:num w:numId="4">
    <w:abstractNumId w:val="2"/>
  </w:num>
  <w:num w:numId="5">
    <w:abstractNumId w:val="9"/>
  </w:num>
  <w:num w:numId="6">
    <w:abstractNumId w:val="4"/>
  </w:num>
  <w:num w:numId="7">
    <w:abstractNumId w:val="1"/>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C0"/>
    <w:rsid w:val="0000503F"/>
    <w:rsid w:val="0000570A"/>
    <w:rsid w:val="000064CF"/>
    <w:rsid w:val="00011B8B"/>
    <w:rsid w:val="00013972"/>
    <w:rsid w:val="0001479D"/>
    <w:rsid w:val="00016FEF"/>
    <w:rsid w:val="00022489"/>
    <w:rsid w:val="00022735"/>
    <w:rsid w:val="000230B9"/>
    <w:rsid w:val="00024922"/>
    <w:rsid w:val="00024E5D"/>
    <w:rsid w:val="0002542D"/>
    <w:rsid w:val="000314D3"/>
    <w:rsid w:val="00031962"/>
    <w:rsid w:val="00031D01"/>
    <w:rsid w:val="00031E80"/>
    <w:rsid w:val="00034648"/>
    <w:rsid w:val="00034A8C"/>
    <w:rsid w:val="000358C8"/>
    <w:rsid w:val="00035BFA"/>
    <w:rsid w:val="00037DB0"/>
    <w:rsid w:val="000406B0"/>
    <w:rsid w:val="00042C24"/>
    <w:rsid w:val="0004373B"/>
    <w:rsid w:val="000440AA"/>
    <w:rsid w:val="00044388"/>
    <w:rsid w:val="000472D9"/>
    <w:rsid w:val="0004737E"/>
    <w:rsid w:val="0004775B"/>
    <w:rsid w:val="00047A3D"/>
    <w:rsid w:val="00051BCE"/>
    <w:rsid w:val="0005595A"/>
    <w:rsid w:val="000603AC"/>
    <w:rsid w:val="000617A8"/>
    <w:rsid w:val="00062DE8"/>
    <w:rsid w:val="000630E9"/>
    <w:rsid w:val="00063CE7"/>
    <w:rsid w:val="00063FF4"/>
    <w:rsid w:val="00064970"/>
    <w:rsid w:val="00066A05"/>
    <w:rsid w:val="00067CD1"/>
    <w:rsid w:val="00074D01"/>
    <w:rsid w:val="000767A4"/>
    <w:rsid w:val="0008101B"/>
    <w:rsid w:val="00083B86"/>
    <w:rsid w:val="000852C4"/>
    <w:rsid w:val="00085E4A"/>
    <w:rsid w:val="0008731C"/>
    <w:rsid w:val="000905B9"/>
    <w:rsid w:val="00090B01"/>
    <w:rsid w:val="00093D26"/>
    <w:rsid w:val="0009498E"/>
    <w:rsid w:val="0009550A"/>
    <w:rsid w:val="0009594A"/>
    <w:rsid w:val="00096726"/>
    <w:rsid w:val="000967CD"/>
    <w:rsid w:val="00097002"/>
    <w:rsid w:val="00097A8D"/>
    <w:rsid w:val="000A0F2A"/>
    <w:rsid w:val="000A341F"/>
    <w:rsid w:val="000A4C67"/>
    <w:rsid w:val="000A532D"/>
    <w:rsid w:val="000B17DA"/>
    <w:rsid w:val="000B3FFF"/>
    <w:rsid w:val="000C1ABF"/>
    <w:rsid w:val="000C2624"/>
    <w:rsid w:val="000C421B"/>
    <w:rsid w:val="000C78C2"/>
    <w:rsid w:val="000D0F7F"/>
    <w:rsid w:val="000D2314"/>
    <w:rsid w:val="000D30BC"/>
    <w:rsid w:val="000D3915"/>
    <w:rsid w:val="000E0D8A"/>
    <w:rsid w:val="000E2D8A"/>
    <w:rsid w:val="000E35EC"/>
    <w:rsid w:val="000E52BE"/>
    <w:rsid w:val="000E5BF9"/>
    <w:rsid w:val="000E5CBE"/>
    <w:rsid w:val="000E63FB"/>
    <w:rsid w:val="000E710B"/>
    <w:rsid w:val="000E7FFC"/>
    <w:rsid w:val="000F1CFD"/>
    <w:rsid w:val="000F2903"/>
    <w:rsid w:val="000F4D37"/>
    <w:rsid w:val="000F7029"/>
    <w:rsid w:val="000F70EB"/>
    <w:rsid w:val="00100026"/>
    <w:rsid w:val="001020D1"/>
    <w:rsid w:val="00102CFA"/>
    <w:rsid w:val="0010310A"/>
    <w:rsid w:val="00103650"/>
    <w:rsid w:val="00105A29"/>
    <w:rsid w:val="00105FF4"/>
    <w:rsid w:val="00106096"/>
    <w:rsid w:val="00107144"/>
    <w:rsid w:val="001107A9"/>
    <w:rsid w:val="001123A4"/>
    <w:rsid w:val="00114CF4"/>
    <w:rsid w:val="00115484"/>
    <w:rsid w:val="001165F5"/>
    <w:rsid w:val="00120286"/>
    <w:rsid w:val="00120795"/>
    <w:rsid w:val="00120B12"/>
    <w:rsid w:val="00121D1F"/>
    <w:rsid w:val="001254E0"/>
    <w:rsid w:val="00125DDE"/>
    <w:rsid w:val="00127386"/>
    <w:rsid w:val="00130CA2"/>
    <w:rsid w:val="001318C3"/>
    <w:rsid w:val="00135A84"/>
    <w:rsid w:val="00136C04"/>
    <w:rsid w:val="00136CEE"/>
    <w:rsid w:val="00136F85"/>
    <w:rsid w:val="00136FA9"/>
    <w:rsid w:val="00137249"/>
    <w:rsid w:val="00137EF9"/>
    <w:rsid w:val="00137FD1"/>
    <w:rsid w:val="00142056"/>
    <w:rsid w:val="0014227D"/>
    <w:rsid w:val="0014546A"/>
    <w:rsid w:val="0014680B"/>
    <w:rsid w:val="0014782B"/>
    <w:rsid w:val="00150293"/>
    <w:rsid w:val="00153239"/>
    <w:rsid w:val="0015402B"/>
    <w:rsid w:val="00154B4C"/>
    <w:rsid w:val="00154EA1"/>
    <w:rsid w:val="00157C0D"/>
    <w:rsid w:val="00157D0E"/>
    <w:rsid w:val="0016090A"/>
    <w:rsid w:val="0016348D"/>
    <w:rsid w:val="0016544A"/>
    <w:rsid w:val="00170414"/>
    <w:rsid w:val="00172D61"/>
    <w:rsid w:val="001731B5"/>
    <w:rsid w:val="00173A0E"/>
    <w:rsid w:val="00175C70"/>
    <w:rsid w:val="001800C5"/>
    <w:rsid w:val="00180AA9"/>
    <w:rsid w:val="001819BA"/>
    <w:rsid w:val="001859C1"/>
    <w:rsid w:val="00186CFC"/>
    <w:rsid w:val="00186F5D"/>
    <w:rsid w:val="001912E6"/>
    <w:rsid w:val="001948D8"/>
    <w:rsid w:val="00195F8C"/>
    <w:rsid w:val="0019746F"/>
    <w:rsid w:val="001A03AA"/>
    <w:rsid w:val="001A1217"/>
    <w:rsid w:val="001A1A23"/>
    <w:rsid w:val="001A3768"/>
    <w:rsid w:val="001A3CF8"/>
    <w:rsid w:val="001A3EE9"/>
    <w:rsid w:val="001A481C"/>
    <w:rsid w:val="001A546C"/>
    <w:rsid w:val="001A76C0"/>
    <w:rsid w:val="001A7B69"/>
    <w:rsid w:val="001B7A48"/>
    <w:rsid w:val="001C0AA0"/>
    <w:rsid w:val="001C0BC2"/>
    <w:rsid w:val="001C11E0"/>
    <w:rsid w:val="001C1909"/>
    <w:rsid w:val="001C338E"/>
    <w:rsid w:val="001C3700"/>
    <w:rsid w:val="001C4423"/>
    <w:rsid w:val="001C470B"/>
    <w:rsid w:val="001C56BF"/>
    <w:rsid w:val="001C66F0"/>
    <w:rsid w:val="001D0AD3"/>
    <w:rsid w:val="001D2150"/>
    <w:rsid w:val="001D3564"/>
    <w:rsid w:val="001D5F9F"/>
    <w:rsid w:val="001D6CA0"/>
    <w:rsid w:val="001D7738"/>
    <w:rsid w:val="001E0ED3"/>
    <w:rsid w:val="001E24BB"/>
    <w:rsid w:val="001E33A7"/>
    <w:rsid w:val="001E3DC3"/>
    <w:rsid w:val="001E428E"/>
    <w:rsid w:val="001E6DCB"/>
    <w:rsid w:val="001E7DEB"/>
    <w:rsid w:val="001F2A2A"/>
    <w:rsid w:val="001F46DC"/>
    <w:rsid w:val="001F4FC1"/>
    <w:rsid w:val="001F741F"/>
    <w:rsid w:val="001F7A69"/>
    <w:rsid w:val="00206CF7"/>
    <w:rsid w:val="002113CB"/>
    <w:rsid w:val="00212970"/>
    <w:rsid w:val="00213217"/>
    <w:rsid w:val="002147B4"/>
    <w:rsid w:val="00214A14"/>
    <w:rsid w:val="002150F9"/>
    <w:rsid w:val="00215435"/>
    <w:rsid w:val="00215B14"/>
    <w:rsid w:val="002168EE"/>
    <w:rsid w:val="002228CB"/>
    <w:rsid w:val="00222CEF"/>
    <w:rsid w:val="00224CD0"/>
    <w:rsid w:val="00224E09"/>
    <w:rsid w:val="00230354"/>
    <w:rsid w:val="002306D9"/>
    <w:rsid w:val="00230CC6"/>
    <w:rsid w:val="002315A6"/>
    <w:rsid w:val="002324A2"/>
    <w:rsid w:val="00232FA6"/>
    <w:rsid w:val="00233F38"/>
    <w:rsid w:val="00234428"/>
    <w:rsid w:val="00236ED5"/>
    <w:rsid w:val="00241173"/>
    <w:rsid w:val="00241A48"/>
    <w:rsid w:val="00243655"/>
    <w:rsid w:val="002442B9"/>
    <w:rsid w:val="00244C0B"/>
    <w:rsid w:val="002459C6"/>
    <w:rsid w:val="00251453"/>
    <w:rsid w:val="0025159F"/>
    <w:rsid w:val="00251BEB"/>
    <w:rsid w:val="00252832"/>
    <w:rsid w:val="0025382C"/>
    <w:rsid w:val="002651BA"/>
    <w:rsid w:val="002656C9"/>
    <w:rsid w:val="00266E3C"/>
    <w:rsid w:val="00270895"/>
    <w:rsid w:val="00270AA8"/>
    <w:rsid w:val="0027143F"/>
    <w:rsid w:val="00273417"/>
    <w:rsid w:val="00273A71"/>
    <w:rsid w:val="00276FB1"/>
    <w:rsid w:val="00277343"/>
    <w:rsid w:val="00282174"/>
    <w:rsid w:val="00282180"/>
    <w:rsid w:val="00282C4B"/>
    <w:rsid w:val="002852FD"/>
    <w:rsid w:val="00286F4F"/>
    <w:rsid w:val="00286FA8"/>
    <w:rsid w:val="00287157"/>
    <w:rsid w:val="002872B4"/>
    <w:rsid w:val="002875B1"/>
    <w:rsid w:val="00290F5B"/>
    <w:rsid w:val="0029139C"/>
    <w:rsid w:val="00292B66"/>
    <w:rsid w:val="00292F95"/>
    <w:rsid w:val="00293258"/>
    <w:rsid w:val="00296305"/>
    <w:rsid w:val="00297C91"/>
    <w:rsid w:val="002A20A8"/>
    <w:rsid w:val="002A3530"/>
    <w:rsid w:val="002A38C0"/>
    <w:rsid w:val="002A4A2D"/>
    <w:rsid w:val="002A4B8C"/>
    <w:rsid w:val="002A59C0"/>
    <w:rsid w:val="002A7093"/>
    <w:rsid w:val="002A77E3"/>
    <w:rsid w:val="002B0251"/>
    <w:rsid w:val="002B0D83"/>
    <w:rsid w:val="002B2BDE"/>
    <w:rsid w:val="002B75F1"/>
    <w:rsid w:val="002C013A"/>
    <w:rsid w:val="002C0573"/>
    <w:rsid w:val="002C065B"/>
    <w:rsid w:val="002C139A"/>
    <w:rsid w:val="002C1550"/>
    <w:rsid w:val="002C1AB4"/>
    <w:rsid w:val="002C4F4E"/>
    <w:rsid w:val="002C52EA"/>
    <w:rsid w:val="002C7206"/>
    <w:rsid w:val="002D1737"/>
    <w:rsid w:val="002D2198"/>
    <w:rsid w:val="002D2858"/>
    <w:rsid w:val="002D42A9"/>
    <w:rsid w:val="002D47CC"/>
    <w:rsid w:val="002E0B77"/>
    <w:rsid w:val="002E107F"/>
    <w:rsid w:val="002E1247"/>
    <w:rsid w:val="002E17CA"/>
    <w:rsid w:val="002E2935"/>
    <w:rsid w:val="002E7923"/>
    <w:rsid w:val="002E799F"/>
    <w:rsid w:val="002E79D4"/>
    <w:rsid w:val="002F00A9"/>
    <w:rsid w:val="002F1E9A"/>
    <w:rsid w:val="002F2856"/>
    <w:rsid w:val="002F5710"/>
    <w:rsid w:val="002F7986"/>
    <w:rsid w:val="00304C8E"/>
    <w:rsid w:val="00307496"/>
    <w:rsid w:val="00307B8F"/>
    <w:rsid w:val="0031018D"/>
    <w:rsid w:val="003105E7"/>
    <w:rsid w:val="00310985"/>
    <w:rsid w:val="00310F40"/>
    <w:rsid w:val="003112A5"/>
    <w:rsid w:val="00311702"/>
    <w:rsid w:val="00311C44"/>
    <w:rsid w:val="00312D32"/>
    <w:rsid w:val="00313422"/>
    <w:rsid w:val="00313685"/>
    <w:rsid w:val="003142D9"/>
    <w:rsid w:val="00314D03"/>
    <w:rsid w:val="00316F8D"/>
    <w:rsid w:val="00320578"/>
    <w:rsid w:val="00321D58"/>
    <w:rsid w:val="0032248F"/>
    <w:rsid w:val="00323D86"/>
    <w:rsid w:val="00324C42"/>
    <w:rsid w:val="00332F21"/>
    <w:rsid w:val="00333454"/>
    <w:rsid w:val="003357E0"/>
    <w:rsid w:val="003359CB"/>
    <w:rsid w:val="00335EA3"/>
    <w:rsid w:val="00336B0E"/>
    <w:rsid w:val="0033796A"/>
    <w:rsid w:val="003406B7"/>
    <w:rsid w:val="003431CA"/>
    <w:rsid w:val="0034463B"/>
    <w:rsid w:val="0034506E"/>
    <w:rsid w:val="003504CC"/>
    <w:rsid w:val="00350D7D"/>
    <w:rsid w:val="00356EB1"/>
    <w:rsid w:val="00363453"/>
    <w:rsid w:val="00367D27"/>
    <w:rsid w:val="00372DAB"/>
    <w:rsid w:val="00375357"/>
    <w:rsid w:val="00375EA1"/>
    <w:rsid w:val="00376016"/>
    <w:rsid w:val="0037656E"/>
    <w:rsid w:val="003828FF"/>
    <w:rsid w:val="00382953"/>
    <w:rsid w:val="00382E91"/>
    <w:rsid w:val="00383370"/>
    <w:rsid w:val="00383A6B"/>
    <w:rsid w:val="003858EE"/>
    <w:rsid w:val="00385947"/>
    <w:rsid w:val="003867D2"/>
    <w:rsid w:val="00387A80"/>
    <w:rsid w:val="00387EF4"/>
    <w:rsid w:val="00392404"/>
    <w:rsid w:val="00392FE2"/>
    <w:rsid w:val="0039448B"/>
    <w:rsid w:val="00394641"/>
    <w:rsid w:val="00396B4C"/>
    <w:rsid w:val="00396C97"/>
    <w:rsid w:val="003A0FCA"/>
    <w:rsid w:val="003A1C0C"/>
    <w:rsid w:val="003A4AD0"/>
    <w:rsid w:val="003B09B2"/>
    <w:rsid w:val="003B0E8A"/>
    <w:rsid w:val="003B193F"/>
    <w:rsid w:val="003B2278"/>
    <w:rsid w:val="003B3EC1"/>
    <w:rsid w:val="003B76EC"/>
    <w:rsid w:val="003C110C"/>
    <w:rsid w:val="003C29DC"/>
    <w:rsid w:val="003C3D5C"/>
    <w:rsid w:val="003C4447"/>
    <w:rsid w:val="003C62EE"/>
    <w:rsid w:val="003C6993"/>
    <w:rsid w:val="003D0680"/>
    <w:rsid w:val="003D0DB9"/>
    <w:rsid w:val="003D0EE1"/>
    <w:rsid w:val="003D2DFC"/>
    <w:rsid w:val="003D2E8F"/>
    <w:rsid w:val="003D2F80"/>
    <w:rsid w:val="003D38DB"/>
    <w:rsid w:val="003E5494"/>
    <w:rsid w:val="003E57EF"/>
    <w:rsid w:val="003E60AF"/>
    <w:rsid w:val="003E71A0"/>
    <w:rsid w:val="003E7234"/>
    <w:rsid w:val="003E7709"/>
    <w:rsid w:val="003F1098"/>
    <w:rsid w:val="003F3EE2"/>
    <w:rsid w:val="003F5135"/>
    <w:rsid w:val="003F6126"/>
    <w:rsid w:val="003F6476"/>
    <w:rsid w:val="00401FD8"/>
    <w:rsid w:val="00402554"/>
    <w:rsid w:val="0040300F"/>
    <w:rsid w:val="004107C4"/>
    <w:rsid w:val="004111F7"/>
    <w:rsid w:val="004112C4"/>
    <w:rsid w:val="004124D0"/>
    <w:rsid w:val="00413906"/>
    <w:rsid w:val="00413BD0"/>
    <w:rsid w:val="00414378"/>
    <w:rsid w:val="00416E49"/>
    <w:rsid w:val="004201E2"/>
    <w:rsid w:val="00420E87"/>
    <w:rsid w:val="004217C1"/>
    <w:rsid w:val="0042232C"/>
    <w:rsid w:val="00422A36"/>
    <w:rsid w:val="004231FE"/>
    <w:rsid w:val="004258DA"/>
    <w:rsid w:val="004260E6"/>
    <w:rsid w:val="004263FB"/>
    <w:rsid w:val="00426883"/>
    <w:rsid w:val="00431F51"/>
    <w:rsid w:val="0043207F"/>
    <w:rsid w:val="00432F46"/>
    <w:rsid w:val="0044379F"/>
    <w:rsid w:val="00443F89"/>
    <w:rsid w:val="004511E1"/>
    <w:rsid w:val="004514C9"/>
    <w:rsid w:val="00453460"/>
    <w:rsid w:val="0045469B"/>
    <w:rsid w:val="00454F03"/>
    <w:rsid w:val="00455638"/>
    <w:rsid w:val="00457C0F"/>
    <w:rsid w:val="00460253"/>
    <w:rsid w:val="004607B0"/>
    <w:rsid w:val="00465EEA"/>
    <w:rsid w:val="004672C5"/>
    <w:rsid w:val="0047079C"/>
    <w:rsid w:val="00471244"/>
    <w:rsid w:val="00473F1E"/>
    <w:rsid w:val="0047481E"/>
    <w:rsid w:val="00475ACC"/>
    <w:rsid w:val="00476324"/>
    <w:rsid w:val="00481678"/>
    <w:rsid w:val="0048174A"/>
    <w:rsid w:val="004822A4"/>
    <w:rsid w:val="00483FF9"/>
    <w:rsid w:val="00485939"/>
    <w:rsid w:val="004864BD"/>
    <w:rsid w:val="00487FAC"/>
    <w:rsid w:val="004914EC"/>
    <w:rsid w:val="004916E4"/>
    <w:rsid w:val="00492C9F"/>
    <w:rsid w:val="004939A8"/>
    <w:rsid w:val="00494C0A"/>
    <w:rsid w:val="004A0722"/>
    <w:rsid w:val="004A118D"/>
    <w:rsid w:val="004A5C68"/>
    <w:rsid w:val="004A5DAB"/>
    <w:rsid w:val="004A72DB"/>
    <w:rsid w:val="004B0706"/>
    <w:rsid w:val="004B0DF4"/>
    <w:rsid w:val="004B20C2"/>
    <w:rsid w:val="004B276F"/>
    <w:rsid w:val="004B4768"/>
    <w:rsid w:val="004B5432"/>
    <w:rsid w:val="004B7A8E"/>
    <w:rsid w:val="004C07E8"/>
    <w:rsid w:val="004C22FC"/>
    <w:rsid w:val="004C37B9"/>
    <w:rsid w:val="004C4653"/>
    <w:rsid w:val="004C4DA3"/>
    <w:rsid w:val="004C5846"/>
    <w:rsid w:val="004C5884"/>
    <w:rsid w:val="004C5A6C"/>
    <w:rsid w:val="004C7BD5"/>
    <w:rsid w:val="004D006C"/>
    <w:rsid w:val="004D3585"/>
    <w:rsid w:val="004D6007"/>
    <w:rsid w:val="004E0F5B"/>
    <w:rsid w:val="004E14AB"/>
    <w:rsid w:val="004E259B"/>
    <w:rsid w:val="004E2A4D"/>
    <w:rsid w:val="004E2C80"/>
    <w:rsid w:val="004E581C"/>
    <w:rsid w:val="004E5867"/>
    <w:rsid w:val="004E59DE"/>
    <w:rsid w:val="004E734E"/>
    <w:rsid w:val="004E770D"/>
    <w:rsid w:val="004E7DA1"/>
    <w:rsid w:val="004E7FFA"/>
    <w:rsid w:val="004F042D"/>
    <w:rsid w:val="004F079B"/>
    <w:rsid w:val="004F0905"/>
    <w:rsid w:val="004F1C6F"/>
    <w:rsid w:val="004F1C7D"/>
    <w:rsid w:val="004F1FFF"/>
    <w:rsid w:val="004F2CBD"/>
    <w:rsid w:val="004F3300"/>
    <w:rsid w:val="004F3A35"/>
    <w:rsid w:val="00501813"/>
    <w:rsid w:val="005024FB"/>
    <w:rsid w:val="00502F32"/>
    <w:rsid w:val="00503A12"/>
    <w:rsid w:val="005066AA"/>
    <w:rsid w:val="0051355E"/>
    <w:rsid w:val="0051356A"/>
    <w:rsid w:val="005174C5"/>
    <w:rsid w:val="0052074E"/>
    <w:rsid w:val="005220EC"/>
    <w:rsid w:val="0052301F"/>
    <w:rsid w:val="005259D7"/>
    <w:rsid w:val="0052690D"/>
    <w:rsid w:val="0053148A"/>
    <w:rsid w:val="00531E27"/>
    <w:rsid w:val="00533415"/>
    <w:rsid w:val="005334F1"/>
    <w:rsid w:val="00534284"/>
    <w:rsid w:val="00535736"/>
    <w:rsid w:val="00537D47"/>
    <w:rsid w:val="0054119B"/>
    <w:rsid w:val="00541708"/>
    <w:rsid w:val="00541D6C"/>
    <w:rsid w:val="00543450"/>
    <w:rsid w:val="00547A9F"/>
    <w:rsid w:val="00547E15"/>
    <w:rsid w:val="005512A3"/>
    <w:rsid w:val="00551C65"/>
    <w:rsid w:val="00554265"/>
    <w:rsid w:val="00556196"/>
    <w:rsid w:val="0055647A"/>
    <w:rsid w:val="00556E71"/>
    <w:rsid w:val="005610B4"/>
    <w:rsid w:val="005624B1"/>
    <w:rsid w:val="00562F1D"/>
    <w:rsid w:val="005645EC"/>
    <w:rsid w:val="005668FA"/>
    <w:rsid w:val="00567E9D"/>
    <w:rsid w:val="00570201"/>
    <w:rsid w:val="0057353B"/>
    <w:rsid w:val="005742EA"/>
    <w:rsid w:val="0057593E"/>
    <w:rsid w:val="00576807"/>
    <w:rsid w:val="0057720D"/>
    <w:rsid w:val="00577724"/>
    <w:rsid w:val="005814CC"/>
    <w:rsid w:val="005841BC"/>
    <w:rsid w:val="005847C8"/>
    <w:rsid w:val="00585705"/>
    <w:rsid w:val="005916FF"/>
    <w:rsid w:val="00593383"/>
    <w:rsid w:val="005952D4"/>
    <w:rsid w:val="00595A70"/>
    <w:rsid w:val="00596BBC"/>
    <w:rsid w:val="005A0BCB"/>
    <w:rsid w:val="005A123A"/>
    <w:rsid w:val="005A3BEA"/>
    <w:rsid w:val="005B275B"/>
    <w:rsid w:val="005B276F"/>
    <w:rsid w:val="005B2D68"/>
    <w:rsid w:val="005B3B78"/>
    <w:rsid w:val="005B43B9"/>
    <w:rsid w:val="005B62F1"/>
    <w:rsid w:val="005B7397"/>
    <w:rsid w:val="005C0F3E"/>
    <w:rsid w:val="005C154D"/>
    <w:rsid w:val="005C17D6"/>
    <w:rsid w:val="005C1AF0"/>
    <w:rsid w:val="005C4431"/>
    <w:rsid w:val="005C4704"/>
    <w:rsid w:val="005C6E1F"/>
    <w:rsid w:val="005C76E5"/>
    <w:rsid w:val="005D2A88"/>
    <w:rsid w:val="005D2DE3"/>
    <w:rsid w:val="005D3306"/>
    <w:rsid w:val="005D44AE"/>
    <w:rsid w:val="005D5265"/>
    <w:rsid w:val="005D63A9"/>
    <w:rsid w:val="005D72E3"/>
    <w:rsid w:val="005D7C0B"/>
    <w:rsid w:val="005E0D58"/>
    <w:rsid w:val="005E11D5"/>
    <w:rsid w:val="005E4678"/>
    <w:rsid w:val="005F015F"/>
    <w:rsid w:val="005F04B3"/>
    <w:rsid w:val="005F113C"/>
    <w:rsid w:val="005F262E"/>
    <w:rsid w:val="005F2839"/>
    <w:rsid w:val="005F3491"/>
    <w:rsid w:val="005F4190"/>
    <w:rsid w:val="005F4471"/>
    <w:rsid w:val="00600B19"/>
    <w:rsid w:val="006019FD"/>
    <w:rsid w:val="00602457"/>
    <w:rsid w:val="00602482"/>
    <w:rsid w:val="006064B8"/>
    <w:rsid w:val="00610B8B"/>
    <w:rsid w:val="00610F39"/>
    <w:rsid w:val="00611F4E"/>
    <w:rsid w:val="00613B47"/>
    <w:rsid w:val="006140F4"/>
    <w:rsid w:val="00614E34"/>
    <w:rsid w:val="00614EFD"/>
    <w:rsid w:val="0061541E"/>
    <w:rsid w:val="00615E5F"/>
    <w:rsid w:val="00617D6F"/>
    <w:rsid w:val="006215C4"/>
    <w:rsid w:val="006227DE"/>
    <w:rsid w:val="00624223"/>
    <w:rsid w:val="00624A51"/>
    <w:rsid w:val="0062581C"/>
    <w:rsid w:val="00626C49"/>
    <w:rsid w:val="00626EDB"/>
    <w:rsid w:val="00627409"/>
    <w:rsid w:val="00627D63"/>
    <w:rsid w:val="006325F6"/>
    <w:rsid w:val="0063501D"/>
    <w:rsid w:val="006362C8"/>
    <w:rsid w:val="00637CA1"/>
    <w:rsid w:val="00641365"/>
    <w:rsid w:val="00645522"/>
    <w:rsid w:val="00646609"/>
    <w:rsid w:val="00651772"/>
    <w:rsid w:val="00652446"/>
    <w:rsid w:val="00660B05"/>
    <w:rsid w:val="00661947"/>
    <w:rsid w:val="006625EE"/>
    <w:rsid w:val="00663404"/>
    <w:rsid w:val="00663567"/>
    <w:rsid w:val="00664109"/>
    <w:rsid w:val="00664113"/>
    <w:rsid w:val="00664E23"/>
    <w:rsid w:val="00672411"/>
    <w:rsid w:val="0067243C"/>
    <w:rsid w:val="00672BE3"/>
    <w:rsid w:val="00676837"/>
    <w:rsid w:val="006771B9"/>
    <w:rsid w:val="0067785D"/>
    <w:rsid w:val="0067798B"/>
    <w:rsid w:val="00677BD9"/>
    <w:rsid w:val="00681A64"/>
    <w:rsid w:val="00682D18"/>
    <w:rsid w:val="00683FCE"/>
    <w:rsid w:val="006847C4"/>
    <w:rsid w:val="00684A3F"/>
    <w:rsid w:val="00684EDC"/>
    <w:rsid w:val="006855D7"/>
    <w:rsid w:val="00686368"/>
    <w:rsid w:val="006872C0"/>
    <w:rsid w:val="006875A2"/>
    <w:rsid w:val="00687E6F"/>
    <w:rsid w:val="006905BB"/>
    <w:rsid w:val="00696A1F"/>
    <w:rsid w:val="00696C37"/>
    <w:rsid w:val="00696FDA"/>
    <w:rsid w:val="00697122"/>
    <w:rsid w:val="006A35AE"/>
    <w:rsid w:val="006A652D"/>
    <w:rsid w:val="006A6603"/>
    <w:rsid w:val="006A68BB"/>
    <w:rsid w:val="006A709C"/>
    <w:rsid w:val="006A7675"/>
    <w:rsid w:val="006B307C"/>
    <w:rsid w:val="006B73D4"/>
    <w:rsid w:val="006C2FE8"/>
    <w:rsid w:val="006C3F5E"/>
    <w:rsid w:val="006C4BA7"/>
    <w:rsid w:val="006C6C4D"/>
    <w:rsid w:val="006C7FB3"/>
    <w:rsid w:val="006D03BD"/>
    <w:rsid w:val="006D17D2"/>
    <w:rsid w:val="006D3C54"/>
    <w:rsid w:val="006D62CF"/>
    <w:rsid w:val="006D6917"/>
    <w:rsid w:val="006E4146"/>
    <w:rsid w:val="006E49FF"/>
    <w:rsid w:val="006E5632"/>
    <w:rsid w:val="006E68B3"/>
    <w:rsid w:val="006E7609"/>
    <w:rsid w:val="006E7F36"/>
    <w:rsid w:val="006F131A"/>
    <w:rsid w:val="006F3367"/>
    <w:rsid w:val="006F43E6"/>
    <w:rsid w:val="006F6587"/>
    <w:rsid w:val="006F6787"/>
    <w:rsid w:val="00701B2D"/>
    <w:rsid w:val="00704D0D"/>
    <w:rsid w:val="00711312"/>
    <w:rsid w:val="00715A13"/>
    <w:rsid w:val="0071758C"/>
    <w:rsid w:val="0072323B"/>
    <w:rsid w:val="00723D88"/>
    <w:rsid w:val="007242AA"/>
    <w:rsid w:val="00724360"/>
    <w:rsid w:val="00724678"/>
    <w:rsid w:val="00726A9E"/>
    <w:rsid w:val="00730A03"/>
    <w:rsid w:val="0073207E"/>
    <w:rsid w:val="00733235"/>
    <w:rsid w:val="0073442F"/>
    <w:rsid w:val="00736679"/>
    <w:rsid w:val="0074221E"/>
    <w:rsid w:val="00743E3E"/>
    <w:rsid w:val="00746E99"/>
    <w:rsid w:val="00747097"/>
    <w:rsid w:val="00750DED"/>
    <w:rsid w:val="007531B2"/>
    <w:rsid w:val="007540AA"/>
    <w:rsid w:val="00754972"/>
    <w:rsid w:val="00754E29"/>
    <w:rsid w:val="00756B63"/>
    <w:rsid w:val="00757827"/>
    <w:rsid w:val="007612AF"/>
    <w:rsid w:val="00763688"/>
    <w:rsid w:val="00763888"/>
    <w:rsid w:val="007641F9"/>
    <w:rsid w:val="007643F9"/>
    <w:rsid w:val="00764F4A"/>
    <w:rsid w:val="00764FCE"/>
    <w:rsid w:val="00765085"/>
    <w:rsid w:val="007662B0"/>
    <w:rsid w:val="0077005E"/>
    <w:rsid w:val="00770B7C"/>
    <w:rsid w:val="007718B5"/>
    <w:rsid w:val="00772D8F"/>
    <w:rsid w:val="0077428E"/>
    <w:rsid w:val="007749EC"/>
    <w:rsid w:val="00776F84"/>
    <w:rsid w:val="00781597"/>
    <w:rsid w:val="00781A89"/>
    <w:rsid w:val="007821F3"/>
    <w:rsid w:val="00783D87"/>
    <w:rsid w:val="00784E32"/>
    <w:rsid w:val="00790C78"/>
    <w:rsid w:val="00793F59"/>
    <w:rsid w:val="00794BC6"/>
    <w:rsid w:val="00795AF1"/>
    <w:rsid w:val="00795E32"/>
    <w:rsid w:val="0079741E"/>
    <w:rsid w:val="007A0251"/>
    <w:rsid w:val="007A4570"/>
    <w:rsid w:val="007A58A7"/>
    <w:rsid w:val="007B34AB"/>
    <w:rsid w:val="007B4A86"/>
    <w:rsid w:val="007C0CE5"/>
    <w:rsid w:val="007C1993"/>
    <w:rsid w:val="007C2111"/>
    <w:rsid w:val="007C2170"/>
    <w:rsid w:val="007C22BF"/>
    <w:rsid w:val="007C4829"/>
    <w:rsid w:val="007C50D6"/>
    <w:rsid w:val="007C6F9A"/>
    <w:rsid w:val="007D0B15"/>
    <w:rsid w:val="007D3D31"/>
    <w:rsid w:val="007E0B07"/>
    <w:rsid w:val="007E17F2"/>
    <w:rsid w:val="007E25EF"/>
    <w:rsid w:val="007E3BBE"/>
    <w:rsid w:val="007E79A5"/>
    <w:rsid w:val="007F1553"/>
    <w:rsid w:val="007F1CEA"/>
    <w:rsid w:val="007F301E"/>
    <w:rsid w:val="007F51BC"/>
    <w:rsid w:val="007F58F4"/>
    <w:rsid w:val="007F705D"/>
    <w:rsid w:val="007F7388"/>
    <w:rsid w:val="007F7FEB"/>
    <w:rsid w:val="0080413B"/>
    <w:rsid w:val="008068F1"/>
    <w:rsid w:val="00812239"/>
    <w:rsid w:val="00812662"/>
    <w:rsid w:val="00812794"/>
    <w:rsid w:val="00812A87"/>
    <w:rsid w:val="00813F7F"/>
    <w:rsid w:val="00813F81"/>
    <w:rsid w:val="00820261"/>
    <w:rsid w:val="00823316"/>
    <w:rsid w:val="00824764"/>
    <w:rsid w:val="008270A1"/>
    <w:rsid w:val="00827535"/>
    <w:rsid w:val="0083074A"/>
    <w:rsid w:val="00832C3A"/>
    <w:rsid w:val="008349E8"/>
    <w:rsid w:val="00837503"/>
    <w:rsid w:val="008403E5"/>
    <w:rsid w:val="00841481"/>
    <w:rsid w:val="00843ADC"/>
    <w:rsid w:val="00843AE5"/>
    <w:rsid w:val="00844D25"/>
    <w:rsid w:val="00845AE5"/>
    <w:rsid w:val="00846FE4"/>
    <w:rsid w:val="00850881"/>
    <w:rsid w:val="00851F60"/>
    <w:rsid w:val="00851FB2"/>
    <w:rsid w:val="00855546"/>
    <w:rsid w:val="00856BE3"/>
    <w:rsid w:val="00863574"/>
    <w:rsid w:val="008647BB"/>
    <w:rsid w:val="00864A8C"/>
    <w:rsid w:val="0086509F"/>
    <w:rsid w:val="00866775"/>
    <w:rsid w:val="00867F7A"/>
    <w:rsid w:val="00870B41"/>
    <w:rsid w:val="0087149B"/>
    <w:rsid w:val="0087363F"/>
    <w:rsid w:val="00873C5C"/>
    <w:rsid w:val="00874785"/>
    <w:rsid w:val="00875BBF"/>
    <w:rsid w:val="0087600A"/>
    <w:rsid w:val="00877AA8"/>
    <w:rsid w:val="00882080"/>
    <w:rsid w:val="00886992"/>
    <w:rsid w:val="008927F7"/>
    <w:rsid w:val="00892823"/>
    <w:rsid w:val="00894056"/>
    <w:rsid w:val="0089535C"/>
    <w:rsid w:val="008975EB"/>
    <w:rsid w:val="00897710"/>
    <w:rsid w:val="00897CE5"/>
    <w:rsid w:val="008A1ABF"/>
    <w:rsid w:val="008A3926"/>
    <w:rsid w:val="008B0005"/>
    <w:rsid w:val="008B4D08"/>
    <w:rsid w:val="008B65AC"/>
    <w:rsid w:val="008B7250"/>
    <w:rsid w:val="008B777D"/>
    <w:rsid w:val="008C0971"/>
    <w:rsid w:val="008C0ED8"/>
    <w:rsid w:val="008C280D"/>
    <w:rsid w:val="008C3999"/>
    <w:rsid w:val="008C5EEC"/>
    <w:rsid w:val="008C5F49"/>
    <w:rsid w:val="008C6B3A"/>
    <w:rsid w:val="008C7DFB"/>
    <w:rsid w:val="008D1585"/>
    <w:rsid w:val="008D2992"/>
    <w:rsid w:val="008D4771"/>
    <w:rsid w:val="008D4E7E"/>
    <w:rsid w:val="008D64FD"/>
    <w:rsid w:val="008E0781"/>
    <w:rsid w:val="008E15CB"/>
    <w:rsid w:val="008E2E62"/>
    <w:rsid w:val="008E32CB"/>
    <w:rsid w:val="008E4E1B"/>
    <w:rsid w:val="008E51F1"/>
    <w:rsid w:val="008E65EF"/>
    <w:rsid w:val="008F0BDC"/>
    <w:rsid w:val="008F2E91"/>
    <w:rsid w:val="008F408B"/>
    <w:rsid w:val="008F483D"/>
    <w:rsid w:val="008F5E7E"/>
    <w:rsid w:val="008F6B4C"/>
    <w:rsid w:val="008F78B3"/>
    <w:rsid w:val="008F7BA4"/>
    <w:rsid w:val="00900A9F"/>
    <w:rsid w:val="00901E0F"/>
    <w:rsid w:val="00902A91"/>
    <w:rsid w:val="00904750"/>
    <w:rsid w:val="009125F6"/>
    <w:rsid w:val="00915112"/>
    <w:rsid w:val="009177D9"/>
    <w:rsid w:val="00917D1C"/>
    <w:rsid w:val="0092006B"/>
    <w:rsid w:val="00921772"/>
    <w:rsid w:val="00924F95"/>
    <w:rsid w:val="00927A84"/>
    <w:rsid w:val="00927FBD"/>
    <w:rsid w:val="009379C6"/>
    <w:rsid w:val="0094047D"/>
    <w:rsid w:val="009408F6"/>
    <w:rsid w:val="00943509"/>
    <w:rsid w:val="00944795"/>
    <w:rsid w:val="00944CEC"/>
    <w:rsid w:val="00944FBD"/>
    <w:rsid w:val="009453E1"/>
    <w:rsid w:val="009472F6"/>
    <w:rsid w:val="00947DB3"/>
    <w:rsid w:val="00950103"/>
    <w:rsid w:val="00950177"/>
    <w:rsid w:val="009513B5"/>
    <w:rsid w:val="0095192A"/>
    <w:rsid w:val="0095294A"/>
    <w:rsid w:val="009534C4"/>
    <w:rsid w:val="00954D86"/>
    <w:rsid w:val="00955287"/>
    <w:rsid w:val="00955CCA"/>
    <w:rsid w:val="00956884"/>
    <w:rsid w:val="009572F1"/>
    <w:rsid w:val="00964736"/>
    <w:rsid w:val="00965CF8"/>
    <w:rsid w:val="0097207B"/>
    <w:rsid w:val="00972EDC"/>
    <w:rsid w:val="00973369"/>
    <w:rsid w:val="009745CF"/>
    <w:rsid w:val="009751B7"/>
    <w:rsid w:val="00977C08"/>
    <w:rsid w:val="00984003"/>
    <w:rsid w:val="00993956"/>
    <w:rsid w:val="00995499"/>
    <w:rsid w:val="009971BA"/>
    <w:rsid w:val="009A0018"/>
    <w:rsid w:val="009A3BDA"/>
    <w:rsid w:val="009A421A"/>
    <w:rsid w:val="009A5663"/>
    <w:rsid w:val="009B1B2D"/>
    <w:rsid w:val="009B29D4"/>
    <w:rsid w:val="009B3432"/>
    <w:rsid w:val="009B3F82"/>
    <w:rsid w:val="009B504D"/>
    <w:rsid w:val="009B52E4"/>
    <w:rsid w:val="009B687A"/>
    <w:rsid w:val="009B7C7A"/>
    <w:rsid w:val="009C0252"/>
    <w:rsid w:val="009C14E6"/>
    <w:rsid w:val="009C2CF6"/>
    <w:rsid w:val="009C44B0"/>
    <w:rsid w:val="009C5C8F"/>
    <w:rsid w:val="009C6238"/>
    <w:rsid w:val="009C7186"/>
    <w:rsid w:val="009C7362"/>
    <w:rsid w:val="009C79D6"/>
    <w:rsid w:val="009D0D7B"/>
    <w:rsid w:val="009D1436"/>
    <w:rsid w:val="009D19E6"/>
    <w:rsid w:val="009D1DDD"/>
    <w:rsid w:val="009D243D"/>
    <w:rsid w:val="009D3E21"/>
    <w:rsid w:val="009D7476"/>
    <w:rsid w:val="009D79F0"/>
    <w:rsid w:val="009D7BAB"/>
    <w:rsid w:val="009E0190"/>
    <w:rsid w:val="009E08EB"/>
    <w:rsid w:val="009E1101"/>
    <w:rsid w:val="009E23AF"/>
    <w:rsid w:val="009E7212"/>
    <w:rsid w:val="009F03BB"/>
    <w:rsid w:val="009F13FF"/>
    <w:rsid w:val="009F4818"/>
    <w:rsid w:val="00A005A3"/>
    <w:rsid w:val="00A006A0"/>
    <w:rsid w:val="00A02AD1"/>
    <w:rsid w:val="00A03196"/>
    <w:rsid w:val="00A05094"/>
    <w:rsid w:val="00A06E12"/>
    <w:rsid w:val="00A07A9E"/>
    <w:rsid w:val="00A105EA"/>
    <w:rsid w:val="00A1080A"/>
    <w:rsid w:val="00A15041"/>
    <w:rsid w:val="00A151CA"/>
    <w:rsid w:val="00A17A39"/>
    <w:rsid w:val="00A20F01"/>
    <w:rsid w:val="00A21A52"/>
    <w:rsid w:val="00A229F5"/>
    <w:rsid w:val="00A2319F"/>
    <w:rsid w:val="00A232AB"/>
    <w:rsid w:val="00A2345C"/>
    <w:rsid w:val="00A24F80"/>
    <w:rsid w:val="00A25915"/>
    <w:rsid w:val="00A259A3"/>
    <w:rsid w:val="00A26971"/>
    <w:rsid w:val="00A27047"/>
    <w:rsid w:val="00A275AD"/>
    <w:rsid w:val="00A3142A"/>
    <w:rsid w:val="00A31890"/>
    <w:rsid w:val="00A33D9F"/>
    <w:rsid w:val="00A3437A"/>
    <w:rsid w:val="00A358DD"/>
    <w:rsid w:val="00A367E3"/>
    <w:rsid w:val="00A368FB"/>
    <w:rsid w:val="00A36949"/>
    <w:rsid w:val="00A411AC"/>
    <w:rsid w:val="00A44102"/>
    <w:rsid w:val="00A44B87"/>
    <w:rsid w:val="00A46AE3"/>
    <w:rsid w:val="00A46BAC"/>
    <w:rsid w:val="00A50B6D"/>
    <w:rsid w:val="00A51325"/>
    <w:rsid w:val="00A51E20"/>
    <w:rsid w:val="00A55342"/>
    <w:rsid w:val="00A55A34"/>
    <w:rsid w:val="00A566F5"/>
    <w:rsid w:val="00A57FC8"/>
    <w:rsid w:val="00A61046"/>
    <w:rsid w:val="00A6136C"/>
    <w:rsid w:val="00A6248F"/>
    <w:rsid w:val="00A62794"/>
    <w:rsid w:val="00A65902"/>
    <w:rsid w:val="00A673FF"/>
    <w:rsid w:val="00A7135A"/>
    <w:rsid w:val="00A72C35"/>
    <w:rsid w:val="00A74850"/>
    <w:rsid w:val="00A75213"/>
    <w:rsid w:val="00A816BB"/>
    <w:rsid w:val="00A823AD"/>
    <w:rsid w:val="00A83AAF"/>
    <w:rsid w:val="00A83F92"/>
    <w:rsid w:val="00A84425"/>
    <w:rsid w:val="00A9093D"/>
    <w:rsid w:val="00A91C13"/>
    <w:rsid w:val="00A9223D"/>
    <w:rsid w:val="00A93FB8"/>
    <w:rsid w:val="00A943D3"/>
    <w:rsid w:val="00A9633E"/>
    <w:rsid w:val="00AA0042"/>
    <w:rsid w:val="00AA08F1"/>
    <w:rsid w:val="00AA3903"/>
    <w:rsid w:val="00AA3A19"/>
    <w:rsid w:val="00AA409A"/>
    <w:rsid w:val="00AB3194"/>
    <w:rsid w:val="00AB6295"/>
    <w:rsid w:val="00AB6C3F"/>
    <w:rsid w:val="00AC0F30"/>
    <w:rsid w:val="00AC2A01"/>
    <w:rsid w:val="00AC676A"/>
    <w:rsid w:val="00AC6B1C"/>
    <w:rsid w:val="00AC6EAE"/>
    <w:rsid w:val="00AD0A0F"/>
    <w:rsid w:val="00AD2EC1"/>
    <w:rsid w:val="00AD2F89"/>
    <w:rsid w:val="00AD3014"/>
    <w:rsid w:val="00AD30DD"/>
    <w:rsid w:val="00AD4031"/>
    <w:rsid w:val="00AD563B"/>
    <w:rsid w:val="00AE2D00"/>
    <w:rsid w:val="00AE52A3"/>
    <w:rsid w:val="00AF0E12"/>
    <w:rsid w:val="00AF1D3D"/>
    <w:rsid w:val="00AF3F66"/>
    <w:rsid w:val="00AF44A1"/>
    <w:rsid w:val="00AF45F9"/>
    <w:rsid w:val="00AF5F56"/>
    <w:rsid w:val="00AF6489"/>
    <w:rsid w:val="00AF7648"/>
    <w:rsid w:val="00AF76AB"/>
    <w:rsid w:val="00B00525"/>
    <w:rsid w:val="00B01564"/>
    <w:rsid w:val="00B05AD9"/>
    <w:rsid w:val="00B05B7A"/>
    <w:rsid w:val="00B0630A"/>
    <w:rsid w:val="00B06A3D"/>
    <w:rsid w:val="00B11D36"/>
    <w:rsid w:val="00B14CCC"/>
    <w:rsid w:val="00B16AFC"/>
    <w:rsid w:val="00B16E0A"/>
    <w:rsid w:val="00B22B76"/>
    <w:rsid w:val="00B2345B"/>
    <w:rsid w:val="00B278CA"/>
    <w:rsid w:val="00B302F5"/>
    <w:rsid w:val="00B3030A"/>
    <w:rsid w:val="00B32127"/>
    <w:rsid w:val="00B32E03"/>
    <w:rsid w:val="00B3546E"/>
    <w:rsid w:val="00B3693E"/>
    <w:rsid w:val="00B402BD"/>
    <w:rsid w:val="00B4037D"/>
    <w:rsid w:val="00B443A1"/>
    <w:rsid w:val="00B46E46"/>
    <w:rsid w:val="00B47AB9"/>
    <w:rsid w:val="00B50149"/>
    <w:rsid w:val="00B516D0"/>
    <w:rsid w:val="00B5235E"/>
    <w:rsid w:val="00B532AC"/>
    <w:rsid w:val="00B53E7E"/>
    <w:rsid w:val="00B559D9"/>
    <w:rsid w:val="00B630C3"/>
    <w:rsid w:val="00B6312D"/>
    <w:rsid w:val="00B63553"/>
    <w:rsid w:val="00B67AF8"/>
    <w:rsid w:val="00B70056"/>
    <w:rsid w:val="00B70E2A"/>
    <w:rsid w:val="00B740F3"/>
    <w:rsid w:val="00B75B12"/>
    <w:rsid w:val="00B77764"/>
    <w:rsid w:val="00B80710"/>
    <w:rsid w:val="00B81BBC"/>
    <w:rsid w:val="00B8200B"/>
    <w:rsid w:val="00B82C44"/>
    <w:rsid w:val="00B83E9B"/>
    <w:rsid w:val="00B84641"/>
    <w:rsid w:val="00B84C63"/>
    <w:rsid w:val="00B872BD"/>
    <w:rsid w:val="00B875C8"/>
    <w:rsid w:val="00B900DB"/>
    <w:rsid w:val="00B90E25"/>
    <w:rsid w:val="00B926A2"/>
    <w:rsid w:val="00B94D5C"/>
    <w:rsid w:val="00B9563F"/>
    <w:rsid w:val="00B966F1"/>
    <w:rsid w:val="00B9748B"/>
    <w:rsid w:val="00BA1712"/>
    <w:rsid w:val="00BA238A"/>
    <w:rsid w:val="00BA2FC7"/>
    <w:rsid w:val="00BA35AC"/>
    <w:rsid w:val="00BA4469"/>
    <w:rsid w:val="00BA497B"/>
    <w:rsid w:val="00BA555B"/>
    <w:rsid w:val="00BA5A91"/>
    <w:rsid w:val="00BB103A"/>
    <w:rsid w:val="00BB1212"/>
    <w:rsid w:val="00BB1377"/>
    <w:rsid w:val="00BB2191"/>
    <w:rsid w:val="00BB2334"/>
    <w:rsid w:val="00BB2BAB"/>
    <w:rsid w:val="00BB340F"/>
    <w:rsid w:val="00BB3E75"/>
    <w:rsid w:val="00BB4E6A"/>
    <w:rsid w:val="00BC1624"/>
    <w:rsid w:val="00BC20EF"/>
    <w:rsid w:val="00BC27A5"/>
    <w:rsid w:val="00BC49B5"/>
    <w:rsid w:val="00BC66FC"/>
    <w:rsid w:val="00BC69C1"/>
    <w:rsid w:val="00BC6E81"/>
    <w:rsid w:val="00BD1682"/>
    <w:rsid w:val="00BD20E4"/>
    <w:rsid w:val="00BD23E0"/>
    <w:rsid w:val="00BD2D7E"/>
    <w:rsid w:val="00BD6071"/>
    <w:rsid w:val="00BD64BD"/>
    <w:rsid w:val="00BD6504"/>
    <w:rsid w:val="00BD677B"/>
    <w:rsid w:val="00BD691B"/>
    <w:rsid w:val="00BD6D6A"/>
    <w:rsid w:val="00BD7547"/>
    <w:rsid w:val="00BE107A"/>
    <w:rsid w:val="00BE196B"/>
    <w:rsid w:val="00BE472E"/>
    <w:rsid w:val="00BE4A7F"/>
    <w:rsid w:val="00BE4EAC"/>
    <w:rsid w:val="00BE5C1E"/>
    <w:rsid w:val="00BF068C"/>
    <w:rsid w:val="00BF1551"/>
    <w:rsid w:val="00BF4DD1"/>
    <w:rsid w:val="00BF6C9F"/>
    <w:rsid w:val="00BF71F8"/>
    <w:rsid w:val="00BF725E"/>
    <w:rsid w:val="00C0288B"/>
    <w:rsid w:val="00C0327F"/>
    <w:rsid w:val="00C03B11"/>
    <w:rsid w:val="00C041E2"/>
    <w:rsid w:val="00C05D6E"/>
    <w:rsid w:val="00C10D04"/>
    <w:rsid w:val="00C11860"/>
    <w:rsid w:val="00C12547"/>
    <w:rsid w:val="00C137C8"/>
    <w:rsid w:val="00C1425A"/>
    <w:rsid w:val="00C144BC"/>
    <w:rsid w:val="00C14502"/>
    <w:rsid w:val="00C1478A"/>
    <w:rsid w:val="00C177C7"/>
    <w:rsid w:val="00C21198"/>
    <w:rsid w:val="00C24E31"/>
    <w:rsid w:val="00C2557F"/>
    <w:rsid w:val="00C2696E"/>
    <w:rsid w:val="00C26DE7"/>
    <w:rsid w:val="00C317F9"/>
    <w:rsid w:val="00C31865"/>
    <w:rsid w:val="00C32D24"/>
    <w:rsid w:val="00C35438"/>
    <w:rsid w:val="00C36943"/>
    <w:rsid w:val="00C41E18"/>
    <w:rsid w:val="00C41FED"/>
    <w:rsid w:val="00C424FD"/>
    <w:rsid w:val="00C44B8C"/>
    <w:rsid w:val="00C45B22"/>
    <w:rsid w:val="00C46211"/>
    <w:rsid w:val="00C46428"/>
    <w:rsid w:val="00C500F0"/>
    <w:rsid w:val="00C53EBA"/>
    <w:rsid w:val="00C54153"/>
    <w:rsid w:val="00C557D0"/>
    <w:rsid w:val="00C5661B"/>
    <w:rsid w:val="00C56CF7"/>
    <w:rsid w:val="00C57682"/>
    <w:rsid w:val="00C57F92"/>
    <w:rsid w:val="00C60E4B"/>
    <w:rsid w:val="00C61043"/>
    <w:rsid w:val="00C66E61"/>
    <w:rsid w:val="00C7182F"/>
    <w:rsid w:val="00C72891"/>
    <w:rsid w:val="00C746EB"/>
    <w:rsid w:val="00C801BF"/>
    <w:rsid w:val="00C81AF5"/>
    <w:rsid w:val="00C8386A"/>
    <w:rsid w:val="00C84BE0"/>
    <w:rsid w:val="00C91349"/>
    <w:rsid w:val="00C918EA"/>
    <w:rsid w:val="00C92457"/>
    <w:rsid w:val="00C92A39"/>
    <w:rsid w:val="00C9385A"/>
    <w:rsid w:val="00C94137"/>
    <w:rsid w:val="00C95A9F"/>
    <w:rsid w:val="00C9704A"/>
    <w:rsid w:val="00C97346"/>
    <w:rsid w:val="00CA0C70"/>
    <w:rsid w:val="00CA10E2"/>
    <w:rsid w:val="00CA1E7D"/>
    <w:rsid w:val="00CA3FF8"/>
    <w:rsid w:val="00CA4247"/>
    <w:rsid w:val="00CA42A4"/>
    <w:rsid w:val="00CA42A9"/>
    <w:rsid w:val="00CA4DBE"/>
    <w:rsid w:val="00CA7832"/>
    <w:rsid w:val="00CB3BB4"/>
    <w:rsid w:val="00CC03D8"/>
    <w:rsid w:val="00CC0C26"/>
    <w:rsid w:val="00CC0D10"/>
    <w:rsid w:val="00CC25A2"/>
    <w:rsid w:val="00CC25DF"/>
    <w:rsid w:val="00CC346C"/>
    <w:rsid w:val="00CC35EB"/>
    <w:rsid w:val="00CC6D31"/>
    <w:rsid w:val="00CC6DA5"/>
    <w:rsid w:val="00CD4149"/>
    <w:rsid w:val="00CD4339"/>
    <w:rsid w:val="00CD4445"/>
    <w:rsid w:val="00CD5E40"/>
    <w:rsid w:val="00CD5F07"/>
    <w:rsid w:val="00CD7070"/>
    <w:rsid w:val="00CE010C"/>
    <w:rsid w:val="00CE0141"/>
    <w:rsid w:val="00CE1397"/>
    <w:rsid w:val="00CE3034"/>
    <w:rsid w:val="00CE3C51"/>
    <w:rsid w:val="00CE3EF3"/>
    <w:rsid w:val="00CE5E2E"/>
    <w:rsid w:val="00CE6AAC"/>
    <w:rsid w:val="00CE720F"/>
    <w:rsid w:val="00CE72E3"/>
    <w:rsid w:val="00CE7AA9"/>
    <w:rsid w:val="00CF2BCC"/>
    <w:rsid w:val="00CF2D23"/>
    <w:rsid w:val="00CF2DF2"/>
    <w:rsid w:val="00CF3440"/>
    <w:rsid w:val="00CF3E18"/>
    <w:rsid w:val="00CF3F49"/>
    <w:rsid w:val="00CF481C"/>
    <w:rsid w:val="00CF5191"/>
    <w:rsid w:val="00CF64DE"/>
    <w:rsid w:val="00CF7648"/>
    <w:rsid w:val="00CF77A2"/>
    <w:rsid w:val="00CF79CB"/>
    <w:rsid w:val="00D01FBD"/>
    <w:rsid w:val="00D02A71"/>
    <w:rsid w:val="00D03037"/>
    <w:rsid w:val="00D03231"/>
    <w:rsid w:val="00D0503D"/>
    <w:rsid w:val="00D066FD"/>
    <w:rsid w:val="00D06802"/>
    <w:rsid w:val="00D116A6"/>
    <w:rsid w:val="00D119F8"/>
    <w:rsid w:val="00D11BEE"/>
    <w:rsid w:val="00D12AEB"/>
    <w:rsid w:val="00D12C1A"/>
    <w:rsid w:val="00D13433"/>
    <w:rsid w:val="00D136E6"/>
    <w:rsid w:val="00D13B7F"/>
    <w:rsid w:val="00D140A3"/>
    <w:rsid w:val="00D14491"/>
    <w:rsid w:val="00D14BD3"/>
    <w:rsid w:val="00D1653B"/>
    <w:rsid w:val="00D21477"/>
    <w:rsid w:val="00D216D6"/>
    <w:rsid w:val="00D22218"/>
    <w:rsid w:val="00D247C1"/>
    <w:rsid w:val="00D26625"/>
    <w:rsid w:val="00D31F7D"/>
    <w:rsid w:val="00D334C9"/>
    <w:rsid w:val="00D33682"/>
    <w:rsid w:val="00D33D10"/>
    <w:rsid w:val="00D34D14"/>
    <w:rsid w:val="00D36398"/>
    <w:rsid w:val="00D41379"/>
    <w:rsid w:val="00D43C2E"/>
    <w:rsid w:val="00D44875"/>
    <w:rsid w:val="00D46539"/>
    <w:rsid w:val="00D470F6"/>
    <w:rsid w:val="00D50920"/>
    <w:rsid w:val="00D50BAC"/>
    <w:rsid w:val="00D50D79"/>
    <w:rsid w:val="00D51157"/>
    <w:rsid w:val="00D5172F"/>
    <w:rsid w:val="00D51917"/>
    <w:rsid w:val="00D5208D"/>
    <w:rsid w:val="00D535F2"/>
    <w:rsid w:val="00D5440B"/>
    <w:rsid w:val="00D569C0"/>
    <w:rsid w:val="00D6395C"/>
    <w:rsid w:val="00D63B9D"/>
    <w:rsid w:val="00D6541D"/>
    <w:rsid w:val="00D6620B"/>
    <w:rsid w:val="00D67D5B"/>
    <w:rsid w:val="00D67E93"/>
    <w:rsid w:val="00D731D1"/>
    <w:rsid w:val="00D758D6"/>
    <w:rsid w:val="00D76A1D"/>
    <w:rsid w:val="00D77CB9"/>
    <w:rsid w:val="00D82B83"/>
    <w:rsid w:val="00D82EF6"/>
    <w:rsid w:val="00D8399F"/>
    <w:rsid w:val="00D83BE8"/>
    <w:rsid w:val="00D84935"/>
    <w:rsid w:val="00D854EA"/>
    <w:rsid w:val="00D865CA"/>
    <w:rsid w:val="00D92426"/>
    <w:rsid w:val="00D937E9"/>
    <w:rsid w:val="00D96F3F"/>
    <w:rsid w:val="00DA091C"/>
    <w:rsid w:val="00DA1591"/>
    <w:rsid w:val="00DA1CFE"/>
    <w:rsid w:val="00DA3648"/>
    <w:rsid w:val="00DA3BDB"/>
    <w:rsid w:val="00DB0AF1"/>
    <w:rsid w:val="00DB37B9"/>
    <w:rsid w:val="00DB4144"/>
    <w:rsid w:val="00DB42DE"/>
    <w:rsid w:val="00DB5DDD"/>
    <w:rsid w:val="00DB78BA"/>
    <w:rsid w:val="00DC0301"/>
    <w:rsid w:val="00DC2555"/>
    <w:rsid w:val="00DC2E57"/>
    <w:rsid w:val="00DC30BD"/>
    <w:rsid w:val="00DC3784"/>
    <w:rsid w:val="00DC458D"/>
    <w:rsid w:val="00DC45D5"/>
    <w:rsid w:val="00DC4F10"/>
    <w:rsid w:val="00DC536A"/>
    <w:rsid w:val="00DD2576"/>
    <w:rsid w:val="00DD7FCF"/>
    <w:rsid w:val="00DE0301"/>
    <w:rsid w:val="00DE2964"/>
    <w:rsid w:val="00DE3C4A"/>
    <w:rsid w:val="00DE45FA"/>
    <w:rsid w:val="00DE4D5F"/>
    <w:rsid w:val="00DE52B1"/>
    <w:rsid w:val="00DE5333"/>
    <w:rsid w:val="00DE697D"/>
    <w:rsid w:val="00DF0DA7"/>
    <w:rsid w:val="00DF2CE6"/>
    <w:rsid w:val="00DF3277"/>
    <w:rsid w:val="00DF5DEA"/>
    <w:rsid w:val="00DF7FA1"/>
    <w:rsid w:val="00E01D2D"/>
    <w:rsid w:val="00E01FFA"/>
    <w:rsid w:val="00E02577"/>
    <w:rsid w:val="00E02A59"/>
    <w:rsid w:val="00E05449"/>
    <w:rsid w:val="00E06636"/>
    <w:rsid w:val="00E07089"/>
    <w:rsid w:val="00E07C8D"/>
    <w:rsid w:val="00E10C6A"/>
    <w:rsid w:val="00E1602F"/>
    <w:rsid w:val="00E1606B"/>
    <w:rsid w:val="00E16A8E"/>
    <w:rsid w:val="00E20E21"/>
    <w:rsid w:val="00E24F42"/>
    <w:rsid w:val="00E311BF"/>
    <w:rsid w:val="00E348B2"/>
    <w:rsid w:val="00E34937"/>
    <w:rsid w:val="00E36721"/>
    <w:rsid w:val="00E371E3"/>
    <w:rsid w:val="00E37A06"/>
    <w:rsid w:val="00E40612"/>
    <w:rsid w:val="00E41A12"/>
    <w:rsid w:val="00E42000"/>
    <w:rsid w:val="00E43D24"/>
    <w:rsid w:val="00E43F8D"/>
    <w:rsid w:val="00E45408"/>
    <w:rsid w:val="00E4728B"/>
    <w:rsid w:val="00E47756"/>
    <w:rsid w:val="00E47B42"/>
    <w:rsid w:val="00E508EE"/>
    <w:rsid w:val="00E50B02"/>
    <w:rsid w:val="00E51227"/>
    <w:rsid w:val="00E5163A"/>
    <w:rsid w:val="00E537AF"/>
    <w:rsid w:val="00E55F6B"/>
    <w:rsid w:val="00E56522"/>
    <w:rsid w:val="00E566CC"/>
    <w:rsid w:val="00E6202D"/>
    <w:rsid w:val="00E6494E"/>
    <w:rsid w:val="00E662D2"/>
    <w:rsid w:val="00E66F62"/>
    <w:rsid w:val="00E671DA"/>
    <w:rsid w:val="00E725FC"/>
    <w:rsid w:val="00E72E89"/>
    <w:rsid w:val="00E73206"/>
    <w:rsid w:val="00E7407C"/>
    <w:rsid w:val="00E74E41"/>
    <w:rsid w:val="00E803B8"/>
    <w:rsid w:val="00E845CE"/>
    <w:rsid w:val="00E84691"/>
    <w:rsid w:val="00E847B0"/>
    <w:rsid w:val="00E8650D"/>
    <w:rsid w:val="00E87CAB"/>
    <w:rsid w:val="00E9332F"/>
    <w:rsid w:val="00E93E07"/>
    <w:rsid w:val="00E95811"/>
    <w:rsid w:val="00E961B5"/>
    <w:rsid w:val="00E963B6"/>
    <w:rsid w:val="00E972F1"/>
    <w:rsid w:val="00EA15C0"/>
    <w:rsid w:val="00EA2441"/>
    <w:rsid w:val="00EA4EF8"/>
    <w:rsid w:val="00EB3CA8"/>
    <w:rsid w:val="00EB3ED9"/>
    <w:rsid w:val="00EB48A7"/>
    <w:rsid w:val="00EB51DE"/>
    <w:rsid w:val="00EB582D"/>
    <w:rsid w:val="00EB72DE"/>
    <w:rsid w:val="00EC0473"/>
    <w:rsid w:val="00EC06EB"/>
    <w:rsid w:val="00EC2B6F"/>
    <w:rsid w:val="00EC4770"/>
    <w:rsid w:val="00EC5076"/>
    <w:rsid w:val="00EC50C0"/>
    <w:rsid w:val="00EC530C"/>
    <w:rsid w:val="00EC5A3E"/>
    <w:rsid w:val="00EC6725"/>
    <w:rsid w:val="00EC7691"/>
    <w:rsid w:val="00ED0D17"/>
    <w:rsid w:val="00ED13A3"/>
    <w:rsid w:val="00ED1D96"/>
    <w:rsid w:val="00ED4AE0"/>
    <w:rsid w:val="00ED59DB"/>
    <w:rsid w:val="00ED66CD"/>
    <w:rsid w:val="00ED7244"/>
    <w:rsid w:val="00EE1665"/>
    <w:rsid w:val="00EE1915"/>
    <w:rsid w:val="00EE7E23"/>
    <w:rsid w:val="00EF103A"/>
    <w:rsid w:val="00EF23D2"/>
    <w:rsid w:val="00EF4F5D"/>
    <w:rsid w:val="00EF651A"/>
    <w:rsid w:val="00EF7AED"/>
    <w:rsid w:val="00EF7B5E"/>
    <w:rsid w:val="00F005FE"/>
    <w:rsid w:val="00F00EB6"/>
    <w:rsid w:val="00F016B8"/>
    <w:rsid w:val="00F01894"/>
    <w:rsid w:val="00F01AE9"/>
    <w:rsid w:val="00F03B20"/>
    <w:rsid w:val="00F03F6C"/>
    <w:rsid w:val="00F04100"/>
    <w:rsid w:val="00F041DB"/>
    <w:rsid w:val="00F0630F"/>
    <w:rsid w:val="00F066F7"/>
    <w:rsid w:val="00F072C6"/>
    <w:rsid w:val="00F07E68"/>
    <w:rsid w:val="00F1204D"/>
    <w:rsid w:val="00F131B2"/>
    <w:rsid w:val="00F13DF3"/>
    <w:rsid w:val="00F161AC"/>
    <w:rsid w:val="00F17431"/>
    <w:rsid w:val="00F21AD1"/>
    <w:rsid w:val="00F22C94"/>
    <w:rsid w:val="00F23D7D"/>
    <w:rsid w:val="00F2439B"/>
    <w:rsid w:val="00F24538"/>
    <w:rsid w:val="00F257D8"/>
    <w:rsid w:val="00F25CD0"/>
    <w:rsid w:val="00F26D4C"/>
    <w:rsid w:val="00F27951"/>
    <w:rsid w:val="00F3204B"/>
    <w:rsid w:val="00F32788"/>
    <w:rsid w:val="00F33986"/>
    <w:rsid w:val="00F35110"/>
    <w:rsid w:val="00F354C6"/>
    <w:rsid w:val="00F3597C"/>
    <w:rsid w:val="00F36245"/>
    <w:rsid w:val="00F413DA"/>
    <w:rsid w:val="00F41A2A"/>
    <w:rsid w:val="00F41FF3"/>
    <w:rsid w:val="00F42143"/>
    <w:rsid w:val="00F42251"/>
    <w:rsid w:val="00F4390B"/>
    <w:rsid w:val="00F515A5"/>
    <w:rsid w:val="00F51E90"/>
    <w:rsid w:val="00F5270B"/>
    <w:rsid w:val="00F52820"/>
    <w:rsid w:val="00F62AA3"/>
    <w:rsid w:val="00F6439D"/>
    <w:rsid w:val="00F64CA0"/>
    <w:rsid w:val="00F65433"/>
    <w:rsid w:val="00F70A2F"/>
    <w:rsid w:val="00F71CFC"/>
    <w:rsid w:val="00F72AAC"/>
    <w:rsid w:val="00F72E9E"/>
    <w:rsid w:val="00F7352C"/>
    <w:rsid w:val="00F737E2"/>
    <w:rsid w:val="00F7483F"/>
    <w:rsid w:val="00F76EAB"/>
    <w:rsid w:val="00F7727F"/>
    <w:rsid w:val="00F80A3D"/>
    <w:rsid w:val="00F81D19"/>
    <w:rsid w:val="00F856C1"/>
    <w:rsid w:val="00F85BDD"/>
    <w:rsid w:val="00F85F2F"/>
    <w:rsid w:val="00F868D0"/>
    <w:rsid w:val="00F8730F"/>
    <w:rsid w:val="00F87ED5"/>
    <w:rsid w:val="00F87F2B"/>
    <w:rsid w:val="00F9042D"/>
    <w:rsid w:val="00F9067E"/>
    <w:rsid w:val="00F91609"/>
    <w:rsid w:val="00F91972"/>
    <w:rsid w:val="00F93B06"/>
    <w:rsid w:val="00F95518"/>
    <w:rsid w:val="00F95ADD"/>
    <w:rsid w:val="00FA1890"/>
    <w:rsid w:val="00FA47AD"/>
    <w:rsid w:val="00FA7281"/>
    <w:rsid w:val="00FA7DFF"/>
    <w:rsid w:val="00FA7F91"/>
    <w:rsid w:val="00FB3D85"/>
    <w:rsid w:val="00FB4093"/>
    <w:rsid w:val="00FC4690"/>
    <w:rsid w:val="00FC7139"/>
    <w:rsid w:val="00FD145D"/>
    <w:rsid w:val="00FD1AAF"/>
    <w:rsid w:val="00FD23E4"/>
    <w:rsid w:val="00FD623D"/>
    <w:rsid w:val="00FE07DE"/>
    <w:rsid w:val="00FE0D5D"/>
    <w:rsid w:val="00FE2826"/>
    <w:rsid w:val="00FE3C63"/>
    <w:rsid w:val="00FE58A1"/>
    <w:rsid w:val="00FF03C1"/>
    <w:rsid w:val="00FF09D4"/>
    <w:rsid w:val="00FF11D3"/>
    <w:rsid w:val="00FF1DE1"/>
    <w:rsid w:val="00FF2F89"/>
    <w:rsid w:val="00FF3689"/>
    <w:rsid w:val="00FF3943"/>
    <w:rsid w:val="00FF3F22"/>
    <w:rsid w:val="00FF41FA"/>
    <w:rsid w:val="00FF4286"/>
    <w:rsid w:val="00FF4DC6"/>
    <w:rsid w:val="00FF538D"/>
    <w:rsid w:val="00FF6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0B360"/>
  <w15:docId w15:val="{27715F26-FB4B-40A4-A20C-502B1F1D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5A2"/>
    <w:pPr>
      <w:widowControl w:val="0"/>
    </w:pPr>
    <w:rPr>
      <w:snapToGrid w:val="0"/>
      <w:lang w:val="es-ES_tradnl"/>
    </w:rPr>
  </w:style>
  <w:style w:type="paragraph" w:styleId="Ttulo1">
    <w:name w:val="heading 1"/>
    <w:basedOn w:val="Normal"/>
    <w:next w:val="Normal"/>
    <w:qFormat/>
    <w:rsid w:val="00CC25A2"/>
    <w:pPr>
      <w:keepNext/>
      <w:spacing w:before="240"/>
      <w:outlineLvl w:val="0"/>
    </w:pPr>
    <w:rPr>
      <w:rFonts w:ascii="Arial" w:hAnsi="Arial"/>
      <w:b/>
      <w:color w:val="000000"/>
      <w:sz w:val="24"/>
    </w:rPr>
  </w:style>
  <w:style w:type="paragraph" w:styleId="Ttulo2">
    <w:name w:val="heading 2"/>
    <w:basedOn w:val="Normal"/>
    <w:next w:val="Normal"/>
    <w:qFormat/>
    <w:rsid w:val="00CC25A2"/>
    <w:pPr>
      <w:spacing w:before="240"/>
      <w:jc w:val="center"/>
      <w:outlineLvl w:val="1"/>
    </w:pPr>
    <w:rPr>
      <w:rFonts w:ascii="Arial" w:hAnsi="Arial"/>
      <w:b/>
      <w:color w:val="000000"/>
      <w:sz w:val="28"/>
    </w:rPr>
  </w:style>
  <w:style w:type="paragraph" w:styleId="Ttulo4">
    <w:name w:val="heading 4"/>
    <w:basedOn w:val="Normal"/>
    <w:next w:val="Normal"/>
    <w:link w:val="Ttulo4Car"/>
    <w:semiHidden/>
    <w:unhideWhenUsed/>
    <w:qFormat/>
    <w:rsid w:val="00215B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C25A2"/>
    <w:pPr>
      <w:tabs>
        <w:tab w:val="center" w:pos="4252"/>
        <w:tab w:val="right" w:pos="8504"/>
      </w:tabs>
    </w:pPr>
  </w:style>
  <w:style w:type="paragraph" w:styleId="Encabezado">
    <w:name w:val="header"/>
    <w:basedOn w:val="Normal"/>
    <w:link w:val="EncabezadoCar"/>
    <w:rsid w:val="00CC25A2"/>
    <w:pPr>
      <w:tabs>
        <w:tab w:val="center" w:pos="4252"/>
        <w:tab w:val="right" w:pos="8504"/>
      </w:tabs>
    </w:pPr>
  </w:style>
  <w:style w:type="paragraph" w:customStyle="1" w:styleId="p0">
    <w:name w:val="p0"/>
    <w:basedOn w:val="Normal"/>
    <w:rsid w:val="00CC25A2"/>
    <w:pPr>
      <w:keepLines/>
      <w:spacing w:before="240"/>
      <w:jc w:val="both"/>
    </w:pPr>
    <w:rPr>
      <w:rFonts w:ascii="Arial" w:hAnsi="Arial"/>
      <w:color w:val="0000FF"/>
      <w:sz w:val="24"/>
    </w:rPr>
  </w:style>
  <w:style w:type="paragraph" w:customStyle="1" w:styleId="bullet">
    <w:name w:val="bullet"/>
    <w:basedOn w:val="Normal"/>
    <w:rsid w:val="00CC25A2"/>
    <w:pPr>
      <w:spacing w:before="240"/>
      <w:ind w:left="1701" w:right="699" w:hanging="274"/>
    </w:pPr>
    <w:rPr>
      <w:rFonts w:ascii="Arial" w:hAnsi="Arial"/>
      <w:b/>
      <w:color w:val="000080"/>
      <w:sz w:val="22"/>
    </w:rPr>
  </w:style>
  <w:style w:type="paragraph" w:customStyle="1" w:styleId="p1">
    <w:name w:val="p1"/>
    <w:basedOn w:val="p0"/>
    <w:rsid w:val="00CC25A2"/>
    <w:pPr>
      <w:spacing w:before="360"/>
    </w:pPr>
  </w:style>
  <w:style w:type="paragraph" w:styleId="Mapadeldocumento">
    <w:name w:val="Document Map"/>
    <w:basedOn w:val="Normal"/>
    <w:semiHidden/>
    <w:rsid w:val="00CC25A2"/>
    <w:pPr>
      <w:shd w:val="clear" w:color="auto" w:fill="000080"/>
    </w:pPr>
    <w:rPr>
      <w:rFonts w:ascii="Tahoma" w:hAnsi="Tahoma"/>
    </w:rPr>
  </w:style>
  <w:style w:type="paragraph" w:styleId="TDC7">
    <w:name w:val="toc 7"/>
    <w:basedOn w:val="Normal"/>
    <w:next w:val="Normal"/>
    <w:autoRedefine/>
    <w:semiHidden/>
    <w:rsid w:val="00CC25A2"/>
    <w:pPr>
      <w:widowControl/>
      <w:tabs>
        <w:tab w:val="left" w:leader="dot" w:pos="8079"/>
        <w:tab w:val="right" w:pos="8505"/>
      </w:tabs>
      <w:ind w:left="4253" w:right="850"/>
    </w:pPr>
    <w:rPr>
      <w:rFonts w:ascii="Univers" w:hAnsi="Univers"/>
      <w:snapToGrid/>
      <w:sz w:val="24"/>
    </w:rPr>
  </w:style>
  <w:style w:type="paragraph" w:customStyle="1" w:styleId="not3">
    <w:name w:val="not3"/>
    <w:basedOn w:val="Normal"/>
    <w:rsid w:val="00CC25A2"/>
    <w:pPr>
      <w:keepLines/>
      <w:widowControl/>
      <w:spacing w:before="480"/>
      <w:ind w:right="14"/>
      <w:jc w:val="both"/>
    </w:pPr>
    <w:rPr>
      <w:rFonts w:ascii="Arial" w:hAnsi="Arial"/>
      <w:snapToGrid/>
      <w:color w:val="0000FF"/>
      <w:sz w:val="24"/>
    </w:rPr>
  </w:style>
  <w:style w:type="paragraph" w:styleId="Textoindependiente">
    <w:name w:val="Body Text"/>
    <w:basedOn w:val="Normal"/>
    <w:rsid w:val="00CC25A2"/>
    <w:pPr>
      <w:spacing w:before="360"/>
      <w:jc w:val="both"/>
    </w:pPr>
    <w:rPr>
      <w:rFonts w:ascii="Arial" w:hAnsi="Arial"/>
      <w:sz w:val="24"/>
    </w:rPr>
  </w:style>
  <w:style w:type="paragraph" w:styleId="Textoindependiente2">
    <w:name w:val="Body Text 2"/>
    <w:basedOn w:val="Normal"/>
    <w:rsid w:val="00CC25A2"/>
    <w:pPr>
      <w:keepLines/>
      <w:spacing w:before="120"/>
      <w:jc w:val="both"/>
    </w:pPr>
    <w:rPr>
      <w:rFonts w:ascii="Arial" w:hAnsi="Arial"/>
      <w:snapToGrid/>
      <w:color w:val="000000"/>
      <w:sz w:val="24"/>
      <w:lang w:val="es-MX"/>
    </w:rPr>
  </w:style>
  <w:style w:type="paragraph" w:styleId="Textodeglobo">
    <w:name w:val="Balloon Text"/>
    <w:basedOn w:val="Normal"/>
    <w:link w:val="TextodegloboCar"/>
    <w:uiPriority w:val="99"/>
    <w:semiHidden/>
    <w:rsid w:val="00CC25A2"/>
    <w:rPr>
      <w:rFonts w:ascii="Tahoma" w:hAnsi="Tahoma" w:cs="Tahoma"/>
      <w:sz w:val="16"/>
      <w:szCs w:val="16"/>
    </w:rPr>
  </w:style>
  <w:style w:type="paragraph" w:styleId="NormalWeb">
    <w:name w:val="Normal (Web)"/>
    <w:basedOn w:val="Normal"/>
    <w:uiPriority w:val="99"/>
    <w:rsid w:val="007C1993"/>
    <w:pPr>
      <w:widowControl/>
      <w:spacing w:before="100" w:beforeAutospacing="1" w:after="100" w:afterAutospacing="1"/>
    </w:pPr>
    <w:rPr>
      <w:rFonts w:ascii="Arial" w:hAnsi="Arial" w:cs="Arial"/>
      <w:snapToGrid/>
      <w:color w:val="000000"/>
      <w:sz w:val="16"/>
      <w:szCs w:val="16"/>
      <w:lang w:val="es-ES"/>
    </w:rPr>
  </w:style>
  <w:style w:type="character" w:customStyle="1" w:styleId="EncabezadoCar">
    <w:name w:val="Encabezado Car"/>
    <w:basedOn w:val="Fuentedeprrafopredeter"/>
    <w:link w:val="Encabezado"/>
    <w:rsid w:val="001A1A23"/>
    <w:rPr>
      <w:snapToGrid w:val="0"/>
      <w:lang w:val="es-ES_tradnl"/>
    </w:rPr>
  </w:style>
  <w:style w:type="character" w:customStyle="1" w:styleId="PiedepginaCar">
    <w:name w:val="Pie de página Car"/>
    <w:basedOn w:val="Fuentedeprrafopredeter"/>
    <w:link w:val="Piedepgina"/>
    <w:uiPriority w:val="99"/>
    <w:rsid w:val="001A1A23"/>
    <w:rPr>
      <w:snapToGrid w:val="0"/>
      <w:lang w:val="es-ES_tradnl"/>
    </w:rPr>
  </w:style>
  <w:style w:type="table" w:styleId="Tablaconcuadrcula">
    <w:name w:val="Table Grid"/>
    <w:basedOn w:val="Tablanormal"/>
    <w:rsid w:val="00372D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1">
    <w:name w:val="parrafo1"/>
    <w:basedOn w:val="p0"/>
    <w:rsid w:val="000B3FFF"/>
    <w:pPr>
      <w:keepLines w:val="0"/>
      <w:widowControl/>
      <w:spacing w:before="480"/>
      <w:ind w:left="426" w:right="443"/>
    </w:pPr>
    <w:rPr>
      <w:snapToGrid/>
      <w:color w:val="auto"/>
    </w:rPr>
  </w:style>
  <w:style w:type="paragraph" w:styleId="TDC8">
    <w:name w:val="toc 8"/>
    <w:basedOn w:val="Normal"/>
    <w:next w:val="Normal"/>
    <w:autoRedefine/>
    <w:rsid w:val="00ED59DB"/>
    <w:pPr>
      <w:spacing w:after="100"/>
      <w:ind w:left="1400"/>
    </w:pPr>
  </w:style>
  <w:style w:type="paragraph" w:styleId="Ttulo">
    <w:name w:val="Title"/>
    <w:basedOn w:val="Normal"/>
    <w:link w:val="TtuloCar"/>
    <w:qFormat/>
    <w:rsid w:val="00ED59DB"/>
    <w:pPr>
      <w:widowControl/>
      <w:jc w:val="center"/>
    </w:pPr>
    <w:rPr>
      <w:rFonts w:ascii="Arial" w:hAnsi="Arial"/>
      <w:b/>
      <w:smallCaps/>
      <w:snapToGrid/>
      <w:sz w:val="24"/>
      <w:lang w:val="es-ES"/>
    </w:rPr>
  </w:style>
  <w:style w:type="character" w:customStyle="1" w:styleId="TtuloCar">
    <w:name w:val="Título Car"/>
    <w:basedOn w:val="Fuentedeprrafopredeter"/>
    <w:link w:val="Ttulo"/>
    <w:rsid w:val="00ED59DB"/>
    <w:rPr>
      <w:rFonts w:ascii="Arial" w:hAnsi="Arial"/>
      <w:b/>
      <w:smallCaps/>
      <w:sz w:val="24"/>
    </w:rPr>
  </w:style>
  <w:style w:type="paragraph" w:customStyle="1" w:styleId="not41">
    <w:name w:val="not41"/>
    <w:basedOn w:val="Normal"/>
    <w:rsid w:val="00ED59DB"/>
    <w:pPr>
      <w:keepLines/>
      <w:widowControl/>
      <w:spacing w:before="480"/>
      <w:ind w:left="504" w:right="14" w:hanging="504"/>
      <w:jc w:val="both"/>
    </w:pPr>
    <w:rPr>
      <w:rFonts w:ascii="Arial" w:hAnsi="Arial"/>
      <w:snapToGrid/>
      <w:color w:val="0000FF"/>
      <w:sz w:val="24"/>
    </w:rPr>
  </w:style>
  <w:style w:type="paragraph" w:styleId="Textonotapie">
    <w:name w:val="footnote text"/>
    <w:basedOn w:val="Normal"/>
    <w:link w:val="TextonotapieCar"/>
    <w:rsid w:val="00D84935"/>
    <w:pPr>
      <w:widowControl/>
    </w:pPr>
    <w:rPr>
      <w:snapToGrid/>
      <w:lang w:val="es-ES"/>
    </w:rPr>
  </w:style>
  <w:style w:type="character" w:customStyle="1" w:styleId="TextonotapieCar">
    <w:name w:val="Texto nota pie Car"/>
    <w:basedOn w:val="Fuentedeprrafopredeter"/>
    <w:link w:val="Textonotapie"/>
    <w:rsid w:val="00D84935"/>
  </w:style>
  <w:style w:type="character" w:styleId="Refdenotaalpie">
    <w:name w:val="footnote reference"/>
    <w:basedOn w:val="Fuentedeprrafopredeter"/>
    <w:rsid w:val="00D84935"/>
    <w:rPr>
      <w:rFonts w:cs="Arial"/>
      <w:b/>
      <w:smallCaps/>
      <w:sz w:val="22"/>
      <w:vertAlign w:val="superscript"/>
      <w:lang w:val="es-MX"/>
    </w:rPr>
  </w:style>
  <w:style w:type="paragraph" w:customStyle="1" w:styleId="numero1">
    <w:name w:val="numero1"/>
    <w:basedOn w:val="Normal"/>
    <w:next w:val="Normal"/>
    <w:rsid w:val="00F04100"/>
    <w:pPr>
      <w:widowControl/>
      <w:spacing w:before="360" w:after="120"/>
      <w:ind w:left="446" w:hanging="446"/>
      <w:jc w:val="both"/>
    </w:pPr>
    <w:rPr>
      <w:rFonts w:ascii="Arial" w:hAnsi="Arial"/>
      <w:snapToGrid/>
      <w:sz w:val="24"/>
    </w:rPr>
  </w:style>
  <w:style w:type="paragraph" w:customStyle="1" w:styleId="titdoc">
    <w:name w:val="titdoc"/>
    <w:basedOn w:val="Normal"/>
    <w:rsid w:val="00F04100"/>
    <w:pPr>
      <w:widowControl/>
      <w:spacing w:before="120"/>
      <w:ind w:left="709" w:hanging="709"/>
      <w:jc w:val="both"/>
    </w:pPr>
    <w:rPr>
      <w:rFonts w:ascii="Arial" w:hAnsi="Arial"/>
      <w:b/>
      <w:snapToGrid/>
      <w:sz w:val="24"/>
    </w:rPr>
  </w:style>
  <w:style w:type="paragraph" w:customStyle="1" w:styleId="not31">
    <w:name w:val="not31"/>
    <w:basedOn w:val="Normal"/>
    <w:rsid w:val="0057593E"/>
    <w:pPr>
      <w:keepLines/>
      <w:widowControl/>
      <w:spacing w:before="480"/>
      <w:ind w:right="14"/>
      <w:jc w:val="both"/>
    </w:pPr>
    <w:rPr>
      <w:rFonts w:ascii="Arial" w:hAnsi="Arial"/>
      <w:snapToGrid/>
      <w:color w:val="0000FF"/>
      <w:sz w:val="24"/>
    </w:rPr>
  </w:style>
  <w:style w:type="paragraph" w:customStyle="1" w:styleId="p01">
    <w:name w:val="p01"/>
    <w:basedOn w:val="Normal"/>
    <w:next w:val="p0"/>
    <w:rsid w:val="0057593E"/>
    <w:pPr>
      <w:keepLines/>
      <w:widowControl/>
      <w:spacing w:before="240"/>
      <w:jc w:val="both"/>
    </w:pPr>
    <w:rPr>
      <w:rFonts w:ascii="Univers" w:hAnsi="Univers"/>
      <w:snapToGrid/>
      <w:color w:val="0000FF"/>
      <w:sz w:val="24"/>
    </w:rPr>
  </w:style>
  <w:style w:type="paragraph" w:customStyle="1" w:styleId="Default">
    <w:name w:val="Default"/>
    <w:rsid w:val="00215435"/>
    <w:pPr>
      <w:widowControl w:val="0"/>
      <w:autoSpaceDE w:val="0"/>
      <w:autoSpaceDN w:val="0"/>
      <w:adjustRightInd w:val="0"/>
    </w:pPr>
    <w:rPr>
      <w:rFonts w:ascii="Arial" w:eastAsiaTheme="minorEastAsia" w:hAnsi="Arial" w:cs="Arial"/>
      <w:color w:val="000000"/>
      <w:sz w:val="24"/>
      <w:szCs w:val="24"/>
    </w:rPr>
  </w:style>
  <w:style w:type="character" w:customStyle="1" w:styleId="Ttulo4Car">
    <w:name w:val="Título 4 Car"/>
    <w:basedOn w:val="Fuentedeprrafopredeter"/>
    <w:link w:val="Ttulo4"/>
    <w:semiHidden/>
    <w:rsid w:val="00215B14"/>
    <w:rPr>
      <w:rFonts w:asciiTheme="majorHAnsi" w:eastAsiaTheme="majorEastAsia" w:hAnsiTheme="majorHAnsi" w:cstheme="majorBidi"/>
      <w:i/>
      <w:iCs/>
      <w:snapToGrid w:val="0"/>
      <w:color w:val="365F91" w:themeColor="accent1" w:themeShade="BF"/>
      <w:lang w:val="es-ES_tradnl"/>
    </w:rPr>
  </w:style>
  <w:style w:type="character" w:styleId="Hipervnculo">
    <w:name w:val="Hyperlink"/>
    <w:basedOn w:val="Fuentedeprrafopredeter"/>
    <w:rsid w:val="005D2DE3"/>
    <w:rPr>
      <w:color w:val="0000FF"/>
      <w:u w:val="single"/>
    </w:rPr>
  </w:style>
  <w:style w:type="paragraph" w:styleId="Prrafodelista">
    <w:name w:val="List Paragraph"/>
    <w:basedOn w:val="Normal"/>
    <w:uiPriority w:val="34"/>
    <w:qFormat/>
    <w:rsid w:val="00B80710"/>
    <w:pPr>
      <w:ind w:left="720"/>
      <w:contextualSpacing/>
    </w:pPr>
  </w:style>
  <w:style w:type="character" w:styleId="Refdecomentario">
    <w:name w:val="annotation reference"/>
    <w:basedOn w:val="Fuentedeprrafopredeter"/>
    <w:semiHidden/>
    <w:unhideWhenUsed/>
    <w:rsid w:val="00D92426"/>
    <w:rPr>
      <w:sz w:val="16"/>
      <w:szCs w:val="16"/>
    </w:rPr>
  </w:style>
  <w:style w:type="paragraph" w:styleId="Textocomentario">
    <w:name w:val="annotation text"/>
    <w:basedOn w:val="Normal"/>
    <w:link w:val="TextocomentarioCar"/>
    <w:semiHidden/>
    <w:unhideWhenUsed/>
    <w:rsid w:val="00D92426"/>
  </w:style>
  <w:style w:type="character" w:customStyle="1" w:styleId="TextocomentarioCar">
    <w:name w:val="Texto comentario Car"/>
    <w:basedOn w:val="Fuentedeprrafopredeter"/>
    <w:link w:val="Textocomentario"/>
    <w:semiHidden/>
    <w:rsid w:val="00D92426"/>
    <w:rPr>
      <w:snapToGrid w:val="0"/>
      <w:lang w:val="es-ES_tradnl"/>
    </w:rPr>
  </w:style>
  <w:style w:type="paragraph" w:styleId="Asuntodelcomentario">
    <w:name w:val="annotation subject"/>
    <w:basedOn w:val="Textocomentario"/>
    <w:next w:val="Textocomentario"/>
    <w:link w:val="AsuntodelcomentarioCar"/>
    <w:semiHidden/>
    <w:unhideWhenUsed/>
    <w:rsid w:val="00D92426"/>
    <w:rPr>
      <w:b/>
      <w:bCs/>
    </w:rPr>
  </w:style>
  <w:style w:type="character" w:customStyle="1" w:styleId="AsuntodelcomentarioCar">
    <w:name w:val="Asunto del comentario Car"/>
    <w:basedOn w:val="TextocomentarioCar"/>
    <w:link w:val="Asuntodelcomentario"/>
    <w:semiHidden/>
    <w:rsid w:val="00D92426"/>
    <w:rPr>
      <w:b/>
      <w:bCs/>
      <w:snapToGrid w:val="0"/>
      <w:lang w:val="es-ES_tradnl"/>
    </w:rPr>
  </w:style>
  <w:style w:type="character" w:customStyle="1" w:styleId="TextodegloboCar">
    <w:name w:val="Texto de globo Car"/>
    <w:basedOn w:val="Fuentedeprrafopredeter"/>
    <w:link w:val="Textodeglobo"/>
    <w:uiPriority w:val="99"/>
    <w:semiHidden/>
    <w:rsid w:val="00696FDA"/>
    <w:rPr>
      <w:rFonts w:ascii="Tahoma" w:hAnsi="Tahoma" w:cs="Tahoma"/>
      <w:snapToGrid w:val="0"/>
      <w:sz w:val="16"/>
      <w:szCs w:val="16"/>
      <w:lang w:val="es-ES_tradnl"/>
    </w:rPr>
  </w:style>
  <w:style w:type="paragraph" w:customStyle="1" w:styleId="Profesin">
    <w:name w:val="Profesión"/>
    <w:basedOn w:val="Normal"/>
    <w:rsid w:val="006F6587"/>
    <w:pPr>
      <w:widowControl/>
      <w:jc w:val="center"/>
    </w:pPr>
    <w:rPr>
      <w:rFonts w:ascii="Arial" w:hAnsi="Arial" w:cs="Arial"/>
      <w:b/>
      <w:bCs/>
      <w:caps/>
      <w:snapToGr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78095">
      <w:bodyDiv w:val="1"/>
      <w:marLeft w:val="0"/>
      <w:marRight w:val="0"/>
      <w:marTop w:val="0"/>
      <w:marBottom w:val="0"/>
      <w:divBdr>
        <w:top w:val="none" w:sz="0" w:space="0" w:color="auto"/>
        <w:left w:val="none" w:sz="0" w:space="0" w:color="auto"/>
        <w:bottom w:val="none" w:sz="0" w:space="0" w:color="auto"/>
        <w:right w:val="none" w:sz="0" w:space="0" w:color="auto"/>
      </w:divBdr>
    </w:div>
    <w:div w:id="1492675663">
      <w:bodyDiv w:val="1"/>
      <w:marLeft w:val="0"/>
      <w:marRight w:val="0"/>
      <w:marTop w:val="0"/>
      <w:marBottom w:val="0"/>
      <w:divBdr>
        <w:top w:val="none" w:sz="0" w:space="0" w:color="auto"/>
        <w:left w:val="none" w:sz="0" w:space="0" w:color="auto"/>
        <w:bottom w:val="none" w:sz="0" w:space="0" w:color="auto"/>
        <w:right w:val="none" w:sz="0" w:space="0" w:color="auto"/>
      </w:divBdr>
    </w:div>
    <w:div w:id="19170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www.inegi.org.m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hyperlink" Target="https://www.inegi.org.mx/temas/ofyd/" TargetMode="External"/><Relationship Id="rId37" Type="http://schemas.openxmlformats.org/officeDocument/2006/relationships/hyperlink" Target="https://www.inegi.org.mx/app/indicadores/bie.html"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www.inegi.org.mx/temas/itab/"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contenidos/programas/ofyd/2013/doc/met_oubst.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inegi.org.mx/contenidos/programas/itab/2013/doc/met_itab.pdf" TargetMode="External"/><Relationship Id="rId43" Type="http://schemas.openxmlformats.org/officeDocument/2006/relationships/footer" Target="footer3.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hyperlink" Target="https://www.inegi.org.mx/app/indicadores/bie.html" TargetMode="External"/><Relationship Id="rId38" Type="http://schemas.openxmlformats.org/officeDocument/2006/relationships/hyperlink" Target="http://www.inegi.org.mx" TargetMode="External"/><Relationship Id="rId20" Type="http://schemas.openxmlformats.org/officeDocument/2006/relationships/footer" Target="footer1.xm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ahorro%20desestacionalizada%20y%20tendencia%20tercer%20trim).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Oferta%20y%20utilizaci&#243;n%20desestacionalizada%20y%20tendencia.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ahorro%20desestacionalizada%20y%20tendencia%20tercer%20trim).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Oferta%20y%20demanda%20y%20ahorro\1&#176;%20trim\Gr&#225;fica%20ahorro%20desestacionalizada%20y%20tendencia%20tercer%20trim).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Datos!$K$38:$K$78</c:f>
              <c:numCache>
                <c:formatCode>0.0</c:formatCode>
                <c:ptCount val="41"/>
                <c:pt idx="0">
                  <c:v>20097169.392869599</c:v>
                </c:pt>
                <c:pt idx="1">
                  <c:v>20217413.6516614</c:v>
                </c:pt>
                <c:pt idx="2">
                  <c:v>20639144.751027599</c:v>
                </c:pt>
                <c:pt idx="3">
                  <c:v>20688713.0455258</c:v>
                </c:pt>
                <c:pt idx="4">
                  <c:v>20936021.850457001</c:v>
                </c:pt>
                <c:pt idx="5">
                  <c:v>21128397.102453802</c:v>
                </c:pt>
                <c:pt idx="6">
                  <c:v>21210736.110080902</c:v>
                </c:pt>
                <c:pt idx="7">
                  <c:v>21493993.785529401</c:v>
                </c:pt>
                <c:pt idx="8">
                  <c:v>21526847.162964098</c:v>
                </c:pt>
                <c:pt idx="9">
                  <c:v>21450639.3185842</c:v>
                </c:pt>
                <c:pt idx="10">
                  <c:v>21620170.662689801</c:v>
                </c:pt>
                <c:pt idx="11">
                  <c:v>21677093.2270636</c:v>
                </c:pt>
                <c:pt idx="12">
                  <c:v>21923219.956691202</c:v>
                </c:pt>
                <c:pt idx="13">
                  <c:v>22301710.940683</c:v>
                </c:pt>
                <c:pt idx="14">
                  <c:v>22409876.889403999</c:v>
                </c:pt>
                <c:pt idx="15">
                  <c:v>22750725.003569499</c:v>
                </c:pt>
                <c:pt idx="16">
                  <c:v>22840420.171895701</c:v>
                </c:pt>
                <c:pt idx="17">
                  <c:v>23188971.187424101</c:v>
                </c:pt>
                <c:pt idx="18">
                  <c:v>23494211.415589999</c:v>
                </c:pt>
                <c:pt idx="19">
                  <c:v>23424768.0335056</c:v>
                </c:pt>
                <c:pt idx="20">
                  <c:v>23510198.330192499</c:v>
                </c:pt>
                <c:pt idx="21">
                  <c:v>23609530.500171699</c:v>
                </c:pt>
                <c:pt idx="22">
                  <c:v>23932354.3615744</c:v>
                </c:pt>
                <c:pt idx="23">
                  <c:v>24161957.832883399</c:v>
                </c:pt>
                <c:pt idx="24">
                  <c:v>24428463.6313565</c:v>
                </c:pt>
                <c:pt idx="25">
                  <c:v>24592220.756385799</c:v>
                </c:pt>
                <c:pt idx="26">
                  <c:v>24549505.7092993</c:v>
                </c:pt>
                <c:pt idx="27">
                  <c:v>24909964.983925998</c:v>
                </c:pt>
                <c:pt idx="28">
                  <c:v>25332081.679891799</c:v>
                </c:pt>
                <c:pt idx="29">
                  <c:v>25353127.375766002</c:v>
                </c:pt>
                <c:pt idx="30">
                  <c:v>25500075.361513201</c:v>
                </c:pt>
                <c:pt idx="31">
                  <c:v>25531451.404548801</c:v>
                </c:pt>
                <c:pt idx="32">
                  <c:v>25416361.912419502</c:v>
                </c:pt>
                <c:pt idx="33">
                  <c:v>25425931.685635701</c:v>
                </c:pt>
                <c:pt idx="34">
                  <c:v>25518591.4626383</c:v>
                </c:pt>
                <c:pt idx="35">
                  <c:v>25051930.284678102</c:v>
                </c:pt>
                <c:pt idx="36">
                  <c:v>24742171.833628699</c:v>
                </c:pt>
                <c:pt idx="37">
                  <c:v>19918110.5025433</c:v>
                </c:pt>
                <c:pt idx="38">
                  <c:v>22614319.334780101</c:v>
                </c:pt>
                <c:pt idx="39">
                  <c:v>23770783.8641252</c:v>
                </c:pt>
                <c:pt idx="40">
                  <c:v>24236389.1378376</c:v>
                </c:pt>
              </c:numCache>
            </c:numRef>
          </c:val>
          <c:extLst>
            <c:ext xmlns:c16="http://schemas.microsoft.com/office/drawing/2014/chart" uri="{C3380CC4-5D6E-409C-BE32-E72D297353CC}">
              <c16:uniqueId val="{00000000-9421-49F3-8E02-E17D64DC53F9}"/>
            </c:ext>
          </c:extLst>
        </c:ser>
        <c:dLbls>
          <c:showLegendKey val="0"/>
          <c:showVal val="1"/>
          <c:showCatName val="0"/>
          <c:showSerName val="0"/>
          <c:showPercent val="0"/>
          <c:showBubbleSize val="0"/>
        </c:dLbls>
        <c:gapWidth val="40"/>
        <c:axId val="318171952"/>
        <c:axId val="3181735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Datos!$L$38:$L$78</c:f>
              <c:numCache>
                <c:formatCode>0.0</c:formatCode>
                <c:ptCount val="41"/>
                <c:pt idx="0">
                  <c:v>20081316.971351799</c:v>
                </c:pt>
                <c:pt idx="1">
                  <c:v>20273904.653338</c:v>
                </c:pt>
                <c:pt idx="2">
                  <c:v>20491126.5574883</c:v>
                </c:pt>
                <c:pt idx="3">
                  <c:v>20713528.694343802</c:v>
                </c:pt>
                <c:pt idx="4">
                  <c:v>20929524.6318345</c:v>
                </c:pt>
                <c:pt idx="5">
                  <c:v>21103188.3780712</c:v>
                </c:pt>
                <c:pt idx="6">
                  <c:v>21269887.8124316</c:v>
                </c:pt>
                <c:pt idx="7">
                  <c:v>21452145.980004899</c:v>
                </c:pt>
                <c:pt idx="8">
                  <c:v>21510756.314566199</c:v>
                </c:pt>
                <c:pt idx="9">
                  <c:v>21503003.360363498</c:v>
                </c:pt>
                <c:pt idx="10">
                  <c:v>21571697.3089232</c:v>
                </c:pt>
                <c:pt idx="11">
                  <c:v>21703427.8773202</c:v>
                </c:pt>
                <c:pt idx="12">
                  <c:v>21948614.491494201</c:v>
                </c:pt>
                <c:pt idx="13">
                  <c:v>22235248.863724899</c:v>
                </c:pt>
                <c:pt idx="14">
                  <c:v>22482176.887315601</c:v>
                </c:pt>
                <c:pt idx="15">
                  <c:v>22677444.829114199</c:v>
                </c:pt>
                <c:pt idx="16">
                  <c:v>22899894.9789952</c:v>
                </c:pt>
                <c:pt idx="17">
                  <c:v>23191155.8106483</c:v>
                </c:pt>
                <c:pt idx="18">
                  <c:v>23430996.267512798</c:v>
                </c:pt>
                <c:pt idx="19">
                  <c:v>23474002.687297702</c:v>
                </c:pt>
                <c:pt idx="20">
                  <c:v>23484457.791395999</c:v>
                </c:pt>
                <c:pt idx="21">
                  <c:v>23648175.0452508</c:v>
                </c:pt>
                <c:pt idx="22">
                  <c:v>23899544.8134127</c:v>
                </c:pt>
                <c:pt idx="23">
                  <c:v>24181766.392586902</c:v>
                </c:pt>
                <c:pt idx="24">
                  <c:v>24425825.597997598</c:v>
                </c:pt>
                <c:pt idx="25">
                  <c:v>24539840.442251101</c:v>
                </c:pt>
                <c:pt idx="26">
                  <c:v>24619346.3781044</c:v>
                </c:pt>
                <c:pt idx="27">
                  <c:v>24918865.130577002</c:v>
                </c:pt>
                <c:pt idx="28">
                  <c:v>25259411.274509601</c:v>
                </c:pt>
                <c:pt idx="29">
                  <c:v>25409551.844205</c:v>
                </c:pt>
                <c:pt idx="30">
                  <c:v>25484613.146678399</c:v>
                </c:pt>
                <c:pt idx="31">
                  <c:v>25509275.2288417</c:v>
                </c:pt>
                <c:pt idx="32">
                  <c:v>25441615.757101201</c:v>
                </c:pt>
                <c:pt idx="33">
                  <c:v>25460874.26794</c:v>
                </c:pt>
                <c:pt idx="34">
                  <c:v>25401355.072263099</c:v>
                </c:pt>
                <c:pt idx="35">
                  <c:v>25068045.302985601</c:v>
                </c:pt>
                <c:pt idx="36">
                  <c:v>24798054.829345599</c:v>
                </c:pt>
                <c:pt idx="37">
                  <c:v>22490555.366204102</c:v>
                </c:pt>
                <c:pt idx="38">
                  <c:v>22919880.3836223</c:v>
                </c:pt>
                <c:pt idx="39">
                  <c:v>23575152.053693801</c:v>
                </c:pt>
                <c:pt idx="40">
                  <c:v>24178180.340630699</c:v>
                </c:pt>
              </c:numCache>
            </c:numRef>
          </c:val>
          <c:smooth val="0"/>
          <c:extLst>
            <c:ext xmlns:c16="http://schemas.microsoft.com/office/drawing/2014/chart" uri="{C3380CC4-5D6E-409C-BE32-E72D297353CC}">
              <c16:uniqueId val="{00000001-9421-49F3-8E02-E17D64DC53F9}"/>
            </c:ext>
          </c:extLst>
        </c:ser>
        <c:dLbls>
          <c:showLegendKey val="0"/>
          <c:showVal val="0"/>
          <c:showCatName val="0"/>
          <c:showSerName val="0"/>
          <c:showPercent val="0"/>
          <c:showBubbleSize val="0"/>
        </c:dLbls>
        <c:marker val="1"/>
        <c:smooth val="0"/>
        <c:axId val="318171952"/>
        <c:axId val="318173520"/>
      </c:lineChart>
      <c:catAx>
        <c:axId val="31817195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73520"/>
        <c:crosses val="autoZero"/>
        <c:auto val="0"/>
        <c:lblAlgn val="ctr"/>
        <c:lblOffset val="0"/>
        <c:tickLblSkip val="1"/>
        <c:tickMarkSkip val="4"/>
        <c:noMultiLvlLbl val="1"/>
      </c:catAx>
      <c:valAx>
        <c:axId val="318173520"/>
        <c:scaling>
          <c:orientation val="minMax"/>
          <c:max val="26000000"/>
          <c:min val="1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195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txPr>
        <a:bodyPr/>
        <a:lstStyle/>
        <a:p>
          <a:pPr>
            <a:defRPr sz="600"/>
          </a:pPr>
          <a:endParaRPr lang="es-MX"/>
        </a:p>
      </c:txPr>
    </c:legend>
    <c:plotVisOnly val="1"/>
    <c:dispBlanksAs val="gap"/>
    <c:showDLblsOverMax val="0"/>
  </c:chart>
  <c:spPr>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Datos!$G$6:$G$46</c:f>
              <c:numCache>
                <c:formatCode>0.0</c:formatCode>
                <c:ptCount val="41"/>
                <c:pt idx="0">
                  <c:v>113086.181714274</c:v>
                </c:pt>
                <c:pt idx="1">
                  <c:v>157531.86652799899</c:v>
                </c:pt>
                <c:pt idx="2">
                  <c:v>306368.625938593</c:v>
                </c:pt>
                <c:pt idx="3">
                  <c:v>85985.391847584906</c:v>
                </c:pt>
                <c:pt idx="4">
                  <c:v>148219.878564079</c:v>
                </c:pt>
                <c:pt idx="5">
                  <c:v>121825.08053068499</c:v>
                </c:pt>
                <c:pt idx="6">
                  <c:v>216282.530984079</c:v>
                </c:pt>
                <c:pt idx="7">
                  <c:v>355911.59599522402</c:v>
                </c:pt>
                <c:pt idx="8">
                  <c:v>398838.370746047</c:v>
                </c:pt>
                <c:pt idx="9">
                  <c:v>450725.68401448597</c:v>
                </c:pt>
                <c:pt idx="10">
                  <c:v>365932.54453064501</c:v>
                </c:pt>
                <c:pt idx="11">
                  <c:v>397245.575516254</c:v>
                </c:pt>
                <c:pt idx="12">
                  <c:v>391562.10242001299</c:v>
                </c:pt>
                <c:pt idx="13">
                  <c:v>445398.13940800301</c:v>
                </c:pt>
                <c:pt idx="14">
                  <c:v>224650.70830085999</c:v>
                </c:pt>
                <c:pt idx="15">
                  <c:v>312003.84577050997</c:v>
                </c:pt>
                <c:pt idx="16">
                  <c:v>417508.85370608303</c:v>
                </c:pt>
                <c:pt idx="17">
                  <c:v>491301.86769287701</c:v>
                </c:pt>
                <c:pt idx="18">
                  <c:v>559734.782498457</c:v>
                </c:pt>
                <c:pt idx="19">
                  <c:v>519592.43356789101</c:v>
                </c:pt>
                <c:pt idx="20">
                  <c:v>471980.95541389199</c:v>
                </c:pt>
                <c:pt idx="21">
                  <c:v>519538.48231767601</c:v>
                </c:pt>
                <c:pt idx="22">
                  <c:v>449470.39869942801</c:v>
                </c:pt>
                <c:pt idx="23">
                  <c:v>411178.86765178799</c:v>
                </c:pt>
                <c:pt idx="24">
                  <c:v>612164.38603616296</c:v>
                </c:pt>
                <c:pt idx="25">
                  <c:v>298021.88912989898</c:v>
                </c:pt>
                <c:pt idx="26">
                  <c:v>409698.28345948999</c:v>
                </c:pt>
                <c:pt idx="27">
                  <c:v>350950.22484912799</c:v>
                </c:pt>
                <c:pt idx="28">
                  <c:v>387337.70522646297</c:v>
                </c:pt>
                <c:pt idx="29">
                  <c:v>498117.88761700399</c:v>
                </c:pt>
                <c:pt idx="30">
                  <c:v>559222.88726582204</c:v>
                </c:pt>
                <c:pt idx="31">
                  <c:v>537811.97530549194</c:v>
                </c:pt>
                <c:pt idx="32">
                  <c:v>224909.70772671301</c:v>
                </c:pt>
                <c:pt idx="33">
                  <c:v>3430.5061357086502</c:v>
                </c:pt>
                <c:pt idx="34">
                  <c:v>100318.241513834</c:v>
                </c:pt>
                <c:pt idx="35">
                  <c:v>77259.511624819599</c:v>
                </c:pt>
                <c:pt idx="36">
                  <c:v>-162450.410349493</c:v>
                </c:pt>
                <c:pt idx="37">
                  <c:v>329349.50336716499</c:v>
                </c:pt>
                <c:pt idx="38">
                  <c:v>-1383386.89716725</c:v>
                </c:pt>
                <c:pt idx="39">
                  <c:v>-961834.76345896896</c:v>
                </c:pt>
                <c:pt idx="40">
                  <c:v>-515206.35676088103</c:v>
                </c:pt>
              </c:numCache>
            </c:numRef>
          </c:val>
          <c:extLst>
            <c:ext xmlns:c16="http://schemas.microsoft.com/office/drawing/2014/chart" uri="{C3380CC4-5D6E-409C-BE32-E72D297353CC}">
              <c16:uniqueId val="{00000000-6145-4FC1-BC75-B850A7F38402}"/>
            </c:ext>
          </c:extLst>
        </c:ser>
        <c:dLbls>
          <c:showLegendKey val="0"/>
          <c:showVal val="1"/>
          <c:showCatName val="0"/>
          <c:showSerName val="0"/>
          <c:showPercent val="0"/>
          <c:showBubbleSize val="0"/>
        </c:dLbls>
        <c:gapWidth val="40"/>
        <c:axId val="559935712"/>
        <c:axId val="183259136"/>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Datos!$H$6:$H$46</c:f>
              <c:numCache>
                <c:formatCode>0.0</c:formatCode>
                <c:ptCount val="41"/>
                <c:pt idx="0">
                  <c:v>148102.35945742601</c:v>
                </c:pt>
                <c:pt idx="1">
                  <c:v>136868.19287677901</c:v>
                </c:pt>
                <c:pt idx="2">
                  <c:v>204283.51328599299</c:v>
                </c:pt>
                <c:pt idx="3">
                  <c:v>229241.426871453</c:v>
                </c:pt>
                <c:pt idx="4">
                  <c:v>172364.917815144</c:v>
                </c:pt>
                <c:pt idx="5">
                  <c:v>128568.314393938</c:v>
                </c:pt>
                <c:pt idx="6">
                  <c:v>221142.87604935799</c:v>
                </c:pt>
                <c:pt idx="7">
                  <c:v>337735.821850062</c:v>
                </c:pt>
                <c:pt idx="8">
                  <c:v>417290.74914116802</c:v>
                </c:pt>
                <c:pt idx="9">
                  <c:v>421470.50952384202</c:v>
                </c:pt>
                <c:pt idx="10">
                  <c:v>395735.60485663702</c:v>
                </c:pt>
                <c:pt idx="11">
                  <c:v>388178.30946826498</c:v>
                </c:pt>
                <c:pt idx="12">
                  <c:v>375141.91288954002</c:v>
                </c:pt>
                <c:pt idx="13">
                  <c:v>343986.20590697799</c:v>
                </c:pt>
                <c:pt idx="14">
                  <c:v>365466.89537541702</c:v>
                </c:pt>
                <c:pt idx="15">
                  <c:v>404804.88546233397</c:v>
                </c:pt>
                <c:pt idx="16">
                  <c:v>430945.924343878</c:v>
                </c:pt>
                <c:pt idx="17">
                  <c:v>493308.81199903402</c:v>
                </c:pt>
                <c:pt idx="18">
                  <c:v>544732.16962985403</c:v>
                </c:pt>
                <c:pt idx="19">
                  <c:v>519479.94407439901</c:v>
                </c:pt>
                <c:pt idx="20">
                  <c:v>495142.10138270899</c:v>
                </c:pt>
                <c:pt idx="21">
                  <c:v>492943.61395361501</c:v>
                </c:pt>
                <c:pt idx="22">
                  <c:v>458594.27163191303</c:v>
                </c:pt>
                <c:pt idx="23">
                  <c:v>417218.79974869598</c:v>
                </c:pt>
                <c:pt idx="24">
                  <c:v>429783.35030042898</c:v>
                </c:pt>
                <c:pt idx="25">
                  <c:v>441372.47241580999</c:v>
                </c:pt>
                <c:pt idx="26">
                  <c:v>403929.48897872801</c:v>
                </c:pt>
                <c:pt idx="27">
                  <c:v>360942.30129925098</c:v>
                </c:pt>
                <c:pt idx="28">
                  <c:v>394924.50943411799</c:v>
                </c:pt>
                <c:pt idx="29">
                  <c:v>491419.39015673299</c:v>
                </c:pt>
                <c:pt idx="30">
                  <c:v>572155.85586015601</c:v>
                </c:pt>
                <c:pt idx="31">
                  <c:v>494351.53062742902</c:v>
                </c:pt>
                <c:pt idx="32">
                  <c:v>236362.090814553</c:v>
                </c:pt>
                <c:pt idx="33">
                  <c:v>52278.068155184803</c:v>
                </c:pt>
                <c:pt idx="34">
                  <c:v>75235.087025091707</c:v>
                </c:pt>
                <c:pt idx="35">
                  <c:v>76962.181592456502</c:v>
                </c:pt>
                <c:pt idx="36">
                  <c:v>-216752.675684646</c:v>
                </c:pt>
                <c:pt idx="37">
                  <c:v>-651846.41358055698</c:v>
                </c:pt>
                <c:pt idx="38">
                  <c:v>-949150.80236114899</c:v>
                </c:pt>
                <c:pt idx="39">
                  <c:v>-902435.62913857505</c:v>
                </c:pt>
                <c:pt idx="40">
                  <c:v>-683149.93201019999</c:v>
                </c:pt>
              </c:numCache>
            </c:numRef>
          </c:val>
          <c:smooth val="0"/>
          <c:extLst>
            <c:ext xmlns:c16="http://schemas.microsoft.com/office/drawing/2014/chart" uri="{C3380CC4-5D6E-409C-BE32-E72D297353CC}">
              <c16:uniqueId val="{00000001-6145-4FC1-BC75-B850A7F38402}"/>
            </c:ext>
          </c:extLst>
        </c:ser>
        <c:dLbls>
          <c:showLegendKey val="0"/>
          <c:showVal val="0"/>
          <c:showCatName val="0"/>
          <c:showSerName val="0"/>
          <c:showPercent val="0"/>
          <c:showBubbleSize val="0"/>
        </c:dLbls>
        <c:marker val="1"/>
        <c:smooth val="0"/>
        <c:axId val="559935712"/>
        <c:axId val="183259136"/>
      </c:lineChart>
      <c:catAx>
        <c:axId val="559935712"/>
        <c:scaling>
          <c:orientation val="minMax"/>
        </c:scaling>
        <c:delete val="0"/>
        <c:axPos val="b"/>
        <c:numFmt formatCode="General" sourceLinked="1"/>
        <c:majorTickMark val="out"/>
        <c:minorTickMark val="none"/>
        <c:tickLblPos val="low"/>
        <c:spPr>
          <a:ln>
            <a:solidFill>
              <a:schemeClr val="tx1"/>
            </a:solidFill>
          </a:ln>
        </c:spPr>
        <c:txPr>
          <a:bodyPr rot="0" vert="horz"/>
          <a:lstStyle/>
          <a:p>
            <a:pPr>
              <a:defRPr sz="600"/>
            </a:pPr>
            <a:endParaRPr lang="es-MX"/>
          </a:p>
        </c:txPr>
        <c:crossAx val="183259136"/>
        <c:crosses val="autoZero"/>
        <c:auto val="0"/>
        <c:lblAlgn val="ctr"/>
        <c:lblOffset val="0"/>
        <c:tickLblSkip val="1"/>
        <c:tickMarkSkip val="4"/>
        <c:noMultiLvlLbl val="1"/>
      </c:catAx>
      <c:valAx>
        <c:axId val="183259136"/>
        <c:scaling>
          <c:orientation val="minMax"/>
          <c:max val="10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9935712"/>
        <c:crosses val="autoZero"/>
        <c:crossBetween val="between"/>
        <c:majorUnit val="500000"/>
        <c:minorUnit val="100000"/>
      </c:valAx>
      <c:spPr>
        <a:noFill/>
        <a:ln w="9525">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Datos!$U$38:$U$78</c:f>
              <c:numCache>
                <c:formatCode>0.0</c:formatCode>
                <c:ptCount val="41"/>
                <c:pt idx="0">
                  <c:v>15264783.183964901</c:v>
                </c:pt>
                <c:pt idx="1">
                  <c:v>15345245.986634601</c:v>
                </c:pt>
                <c:pt idx="2">
                  <c:v>15638251.0332614</c:v>
                </c:pt>
                <c:pt idx="3">
                  <c:v>15748533.0629793</c:v>
                </c:pt>
                <c:pt idx="4">
                  <c:v>15851773.8100492</c:v>
                </c:pt>
                <c:pt idx="5">
                  <c:v>15982886.8876456</c:v>
                </c:pt>
                <c:pt idx="6">
                  <c:v>16078687.1278558</c:v>
                </c:pt>
                <c:pt idx="7">
                  <c:v>16214936.898345901</c:v>
                </c:pt>
                <c:pt idx="8">
                  <c:v>16259413.669601901</c:v>
                </c:pt>
                <c:pt idx="9">
                  <c:v>16156805.997258</c:v>
                </c:pt>
                <c:pt idx="10">
                  <c:v>16312967.3115931</c:v>
                </c:pt>
                <c:pt idx="11">
                  <c:v>16408659.991735199</c:v>
                </c:pt>
                <c:pt idx="12">
                  <c:v>16520732.3709487</c:v>
                </c:pt>
                <c:pt idx="13">
                  <c:v>16726511.723223001</c:v>
                </c:pt>
                <c:pt idx="14">
                  <c:v>16785330.451977499</c:v>
                </c:pt>
                <c:pt idx="15">
                  <c:v>16966366.852543499</c:v>
                </c:pt>
                <c:pt idx="16">
                  <c:v>17058041.458454601</c:v>
                </c:pt>
                <c:pt idx="17">
                  <c:v>17258289.8837207</c:v>
                </c:pt>
                <c:pt idx="18">
                  <c:v>17472994.7051793</c:v>
                </c:pt>
                <c:pt idx="19">
                  <c:v>17428194.103620499</c:v>
                </c:pt>
                <c:pt idx="20">
                  <c:v>17530935.180679999</c:v>
                </c:pt>
                <c:pt idx="21">
                  <c:v>17597897.939362898</c:v>
                </c:pt>
                <c:pt idx="22">
                  <c:v>17781821.799815599</c:v>
                </c:pt>
                <c:pt idx="23">
                  <c:v>17968231.316674799</c:v>
                </c:pt>
                <c:pt idx="24">
                  <c:v>18052757.5865377</c:v>
                </c:pt>
                <c:pt idx="25">
                  <c:v>18122549.672622401</c:v>
                </c:pt>
                <c:pt idx="26">
                  <c:v>18065736.816035099</c:v>
                </c:pt>
                <c:pt idx="27">
                  <c:v>18286792.904019199</c:v>
                </c:pt>
                <c:pt idx="28">
                  <c:v>18499322.3920177</c:v>
                </c:pt>
                <c:pt idx="29">
                  <c:v>18521193.018151</c:v>
                </c:pt>
                <c:pt idx="30">
                  <c:v>18579177.022030398</c:v>
                </c:pt>
                <c:pt idx="31">
                  <c:v>18509473.772701301</c:v>
                </c:pt>
                <c:pt idx="32">
                  <c:v>18525979.249074299</c:v>
                </c:pt>
                <c:pt idx="33">
                  <c:v>18547247.041113701</c:v>
                </c:pt>
                <c:pt idx="34">
                  <c:v>18560935.060867999</c:v>
                </c:pt>
                <c:pt idx="35">
                  <c:v>18348723.361632999</c:v>
                </c:pt>
                <c:pt idx="36">
                  <c:v>18138020.6992644</c:v>
                </c:pt>
                <c:pt idx="37">
                  <c:v>15077974.1212033</c:v>
                </c:pt>
                <c:pt idx="38">
                  <c:v>16957128.7347266</c:v>
                </c:pt>
                <c:pt idx="39">
                  <c:v>17502140.507766899</c:v>
                </c:pt>
                <c:pt idx="40">
                  <c:v>17635562.940891098</c:v>
                </c:pt>
              </c:numCache>
            </c:numRef>
          </c:val>
          <c:extLst>
            <c:ext xmlns:c16="http://schemas.microsoft.com/office/drawing/2014/chart" uri="{C3380CC4-5D6E-409C-BE32-E72D297353CC}">
              <c16:uniqueId val="{00000000-86F1-4806-BBC9-161969E0E141}"/>
            </c:ext>
          </c:extLst>
        </c:ser>
        <c:dLbls>
          <c:showLegendKey val="0"/>
          <c:showVal val="1"/>
          <c:showCatName val="0"/>
          <c:showSerName val="0"/>
          <c:showPercent val="0"/>
          <c:showBubbleSize val="0"/>
        </c:dLbls>
        <c:gapWidth val="40"/>
        <c:axId val="316957392"/>
        <c:axId val="31695033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Datos!$V$38:$V$78</c:f>
              <c:numCache>
                <c:formatCode>0.0</c:formatCode>
                <c:ptCount val="41"/>
                <c:pt idx="0">
                  <c:v>15265233.6645867</c:v>
                </c:pt>
                <c:pt idx="1">
                  <c:v>15423193.8169872</c:v>
                </c:pt>
                <c:pt idx="2">
                  <c:v>15604807.1722808</c:v>
                </c:pt>
                <c:pt idx="3">
                  <c:v>15748562.6189007</c:v>
                </c:pt>
                <c:pt idx="4">
                  <c:v>15860368.742296699</c:v>
                </c:pt>
                <c:pt idx="5">
                  <c:v>15972685.454081699</c:v>
                </c:pt>
                <c:pt idx="6">
                  <c:v>16093959.094676901</c:v>
                </c:pt>
                <c:pt idx="7">
                  <c:v>16206506.1273735</c:v>
                </c:pt>
                <c:pt idx="8">
                  <c:v>16236686.24951</c:v>
                </c:pt>
                <c:pt idx="9">
                  <c:v>16231255.1436464</c:v>
                </c:pt>
                <c:pt idx="10">
                  <c:v>16295018.3770383</c:v>
                </c:pt>
                <c:pt idx="11">
                  <c:v>16405841.252698099</c:v>
                </c:pt>
                <c:pt idx="12">
                  <c:v>16544081.645244099</c:v>
                </c:pt>
                <c:pt idx="13">
                  <c:v>16689075.486606101</c:v>
                </c:pt>
                <c:pt idx="14">
                  <c:v>16820630.847144499</c:v>
                </c:pt>
                <c:pt idx="15">
                  <c:v>16936297.563441701</c:v>
                </c:pt>
                <c:pt idx="16">
                  <c:v>17080874.1166577</c:v>
                </c:pt>
                <c:pt idx="17">
                  <c:v>17265942.423810001</c:v>
                </c:pt>
                <c:pt idx="18">
                  <c:v>17412413.758096699</c:v>
                </c:pt>
                <c:pt idx="19">
                  <c:v>17465989.919071801</c:v>
                </c:pt>
                <c:pt idx="20">
                  <c:v>17507647.693627998</c:v>
                </c:pt>
                <c:pt idx="21">
                  <c:v>17617518.6113059</c:v>
                </c:pt>
                <c:pt idx="22">
                  <c:v>17781079.711070299</c:v>
                </c:pt>
                <c:pt idx="23">
                  <c:v>17954168.8086362</c:v>
                </c:pt>
                <c:pt idx="24">
                  <c:v>18065378.214761</c:v>
                </c:pt>
                <c:pt idx="25">
                  <c:v>18092607.115983099</c:v>
                </c:pt>
                <c:pt idx="26">
                  <c:v>18131647.584304299</c:v>
                </c:pt>
                <c:pt idx="27">
                  <c:v>18287108.069871701</c:v>
                </c:pt>
                <c:pt idx="28">
                  <c:v>18467305.220256101</c:v>
                </c:pt>
                <c:pt idx="29">
                  <c:v>18549871.44571</c:v>
                </c:pt>
                <c:pt idx="30">
                  <c:v>18551444.054173201</c:v>
                </c:pt>
                <c:pt idx="31">
                  <c:v>18531159.7523093</c:v>
                </c:pt>
                <c:pt idx="32">
                  <c:v>18520905.155494701</c:v>
                </c:pt>
                <c:pt idx="33">
                  <c:v>18562371.2894837</c:v>
                </c:pt>
                <c:pt idx="34">
                  <c:v>18528206.729561199</c:v>
                </c:pt>
                <c:pt idx="35">
                  <c:v>18345780.228785299</c:v>
                </c:pt>
                <c:pt idx="36">
                  <c:v>18168536.721200898</c:v>
                </c:pt>
                <c:pt idx="37">
                  <c:v>16908548.393289998</c:v>
                </c:pt>
                <c:pt idx="38">
                  <c:v>17098876.106632501</c:v>
                </c:pt>
                <c:pt idx="39">
                  <c:v>17378879.642239999</c:v>
                </c:pt>
                <c:pt idx="40">
                  <c:v>17607535.1261218</c:v>
                </c:pt>
              </c:numCache>
            </c:numRef>
          </c:val>
          <c:smooth val="0"/>
          <c:extLst>
            <c:ext xmlns:c16="http://schemas.microsoft.com/office/drawing/2014/chart" uri="{C3380CC4-5D6E-409C-BE32-E72D297353CC}">
              <c16:uniqueId val="{00000001-86F1-4806-BBC9-161969E0E141}"/>
            </c:ext>
          </c:extLst>
        </c:ser>
        <c:dLbls>
          <c:showLegendKey val="0"/>
          <c:showVal val="0"/>
          <c:showCatName val="0"/>
          <c:showSerName val="0"/>
          <c:showPercent val="0"/>
          <c:showBubbleSize val="0"/>
        </c:dLbls>
        <c:marker val="1"/>
        <c:smooth val="0"/>
        <c:axId val="316957392"/>
        <c:axId val="316950336"/>
      </c:lineChart>
      <c:catAx>
        <c:axId val="316957392"/>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0336"/>
        <c:crosses val="autoZero"/>
        <c:auto val="0"/>
        <c:lblAlgn val="ctr"/>
        <c:lblOffset val="0"/>
        <c:tickLblSkip val="1"/>
        <c:tickMarkSkip val="4"/>
        <c:noMultiLvlLbl val="1"/>
      </c:catAx>
      <c:valAx>
        <c:axId val="316950336"/>
        <c:scaling>
          <c:orientation val="minMax"/>
          <c:max val="19000000"/>
          <c:min val="14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7392"/>
        <c:crosses val="autoZero"/>
        <c:crossBetween val="between"/>
        <c:majorUnit val="2000000"/>
        <c:minorUnit val="400000"/>
      </c:valAx>
      <c:spPr>
        <a:noFill/>
        <a:ln>
          <a:solidFill>
            <a:schemeClr val="bg1">
              <a:lumMod val="75000"/>
            </a:schemeClr>
          </a:solidFill>
        </a:ln>
      </c:spPr>
    </c:plotArea>
    <c:legend>
      <c:legendPos val="b"/>
      <c:layout>
        <c:manualLayout>
          <c:xMode val="edge"/>
          <c:yMode val="edge"/>
          <c:x val="0"/>
          <c:y val="0.93466608340624091"/>
          <c:w val="0.9993683270125109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Datos!$G$38:$G$78</c:f>
              <c:numCache>
                <c:formatCode>0.0</c:formatCode>
                <c:ptCount val="41"/>
                <c:pt idx="0">
                  <c:v>4862109.5411845697</c:v>
                </c:pt>
                <c:pt idx="1">
                  <c:v>4867347.3552665301</c:v>
                </c:pt>
                <c:pt idx="2">
                  <c:v>4987187.9613045696</c:v>
                </c:pt>
                <c:pt idx="3">
                  <c:v>4936260.1391479196</c:v>
                </c:pt>
                <c:pt idx="4">
                  <c:v>5085423.3332845904</c:v>
                </c:pt>
                <c:pt idx="5">
                  <c:v>5142914.6357546402</c:v>
                </c:pt>
                <c:pt idx="6">
                  <c:v>5117355.1486105602</c:v>
                </c:pt>
                <c:pt idx="7">
                  <c:v>5285401.3515511705</c:v>
                </c:pt>
                <c:pt idx="8">
                  <c:v>5279560.2161420695</c:v>
                </c:pt>
                <c:pt idx="9">
                  <c:v>5291412.4672876596</c:v>
                </c:pt>
                <c:pt idx="10">
                  <c:v>5305319.7066986104</c:v>
                </c:pt>
                <c:pt idx="11">
                  <c:v>5274384.4748579301</c:v>
                </c:pt>
                <c:pt idx="12">
                  <c:v>5397147.3717833497</c:v>
                </c:pt>
                <c:pt idx="13">
                  <c:v>5580741.0175645696</c:v>
                </c:pt>
                <c:pt idx="14">
                  <c:v>5626571.7714169901</c:v>
                </c:pt>
                <c:pt idx="15">
                  <c:v>5794149.1180366501</c:v>
                </c:pt>
                <c:pt idx="16">
                  <c:v>5767839.94520419</c:v>
                </c:pt>
                <c:pt idx="17">
                  <c:v>5936307.6928429799</c:v>
                </c:pt>
                <c:pt idx="18">
                  <c:v>6036298.2173065804</c:v>
                </c:pt>
                <c:pt idx="19">
                  <c:v>5988247.7617955599</c:v>
                </c:pt>
                <c:pt idx="20">
                  <c:v>5943535.3798656203</c:v>
                </c:pt>
                <c:pt idx="21">
                  <c:v>6014827.4449653104</c:v>
                </c:pt>
                <c:pt idx="22">
                  <c:v>6159512.54290816</c:v>
                </c:pt>
                <c:pt idx="23">
                  <c:v>6184853.2538420996</c:v>
                </c:pt>
                <c:pt idx="24">
                  <c:v>6385817.7347363103</c:v>
                </c:pt>
                <c:pt idx="25">
                  <c:v>6471886.8499394804</c:v>
                </c:pt>
                <c:pt idx="26">
                  <c:v>6488876.9884647597</c:v>
                </c:pt>
                <c:pt idx="27">
                  <c:v>6613590.4126039799</c:v>
                </c:pt>
                <c:pt idx="28">
                  <c:v>6852552.7620083103</c:v>
                </c:pt>
                <c:pt idx="29">
                  <c:v>6828126.88441025</c:v>
                </c:pt>
                <c:pt idx="30">
                  <c:v>6924304.8288597399</c:v>
                </c:pt>
                <c:pt idx="31">
                  <c:v>7019719.6387810698</c:v>
                </c:pt>
                <c:pt idx="32">
                  <c:v>6887495.8152534403</c:v>
                </c:pt>
                <c:pt idx="33">
                  <c:v>6887193.4322551899</c:v>
                </c:pt>
                <c:pt idx="34">
                  <c:v>6975527.2546923002</c:v>
                </c:pt>
                <c:pt idx="35">
                  <c:v>6685021.1121954499</c:v>
                </c:pt>
                <c:pt idx="36">
                  <c:v>6556613.52697758</c:v>
                </c:pt>
                <c:pt idx="37">
                  <c:v>4849702.3825596198</c:v>
                </c:pt>
                <c:pt idx="38">
                  <c:v>5690664.2271636399</c:v>
                </c:pt>
                <c:pt idx="39">
                  <c:v>6237115.1494960701</c:v>
                </c:pt>
                <c:pt idx="40">
                  <c:v>6603941.2242183201</c:v>
                </c:pt>
              </c:numCache>
            </c:numRef>
          </c:val>
          <c:extLst>
            <c:ext xmlns:c16="http://schemas.microsoft.com/office/drawing/2014/chart" uri="{C3380CC4-5D6E-409C-BE32-E72D297353CC}">
              <c16:uniqueId val="{00000000-A7DC-43B7-93D3-E8BF47EF8099}"/>
            </c:ext>
          </c:extLst>
        </c:ser>
        <c:dLbls>
          <c:showLegendKey val="0"/>
          <c:showVal val="1"/>
          <c:showCatName val="0"/>
          <c:showSerName val="0"/>
          <c:showPercent val="0"/>
          <c:showBubbleSize val="0"/>
        </c:dLbls>
        <c:gapWidth val="40"/>
        <c:axId val="316954256"/>
        <c:axId val="316952296"/>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Datos!$H$38:$H$78</c:f>
              <c:numCache>
                <c:formatCode>0.0</c:formatCode>
                <c:ptCount val="41"/>
                <c:pt idx="0">
                  <c:v>4838194.2202915596</c:v>
                </c:pt>
                <c:pt idx="1">
                  <c:v>4896517.5032147896</c:v>
                </c:pt>
                <c:pt idx="2">
                  <c:v>4944585.6396498196</c:v>
                </c:pt>
                <c:pt idx="3">
                  <c:v>5005345.80102266</c:v>
                </c:pt>
                <c:pt idx="4">
                  <c:v>5076065.0239760298</c:v>
                </c:pt>
                <c:pt idx="5">
                  <c:v>5123735.2479600301</c:v>
                </c:pt>
                <c:pt idx="6">
                  <c:v>5171648.0993454503</c:v>
                </c:pt>
                <c:pt idx="7">
                  <c:v>5248022.9928293601</c:v>
                </c:pt>
                <c:pt idx="8">
                  <c:v>5293857.4784869999</c:v>
                </c:pt>
                <c:pt idx="9">
                  <c:v>5293707.71304214</c:v>
                </c:pt>
                <c:pt idx="10">
                  <c:v>5287298.0309985103</c:v>
                </c:pt>
                <c:pt idx="11">
                  <c:v>5295781.5642932104</c:v>
                </c:pt>
                <c:pt idx="12">
                  <c:v>5404910.4888405502</c:v>
                </c:pt>
                <c:pt idx="13">
                  <c:v>5547301.6936064502</c:v>
                </c:pt>
                <c:pt idx="14">
                  <c:v>5664930.3584898999</c:v>
                </c:pt>
                <c:pt idx="15">
                  <c:v>5753256.1193720503</c:v>
                </c:pt>
                <c:pt idx="16">
                  <c:v>5838397.0700442297</c:v>
                </c:pt>
                <c:pt idx="17">
                  <c:v>5935344.3070374299</c:v>
                </c:pt>
                <c:pt idx="18">
                  <c:v>6016259.1903221803</c:v>
                </c:pt>
                <c:pt idx="19">
                  <c:v>5991090.301244</c:v>
                </c:pt>
                <c:pt idx="20">
                  <c:v>5954936.8957409197</c:v>
                </c:pt>
                <c:pt idx="21">
                  <c:v>6025850.6831435496</c:v>
                </c:pt>
                <c:pt idx="22">
                  <c:v>6123701.9935611496</c:v>
                </c:pt>
                <c:pt idx="23">
                  <c:v>6227843.57952403</c:v>
                </c:pt>
                <c:pt idx="24">
                  <c:v>6361121.76963857</c:v>
                </c:pt>
                <c:pt idx="25">
                  <c:v>6462269.00609734</c:v>
                </c:pt>
                <c:pt idx="26">
                  <c:v>6501379.8173999097</c:v>
                </c:pt>
                <c:pt idx="27">
                  <c:v>6641798.17005256</c:v>
                </c:pt>
                <c:pt idx="28">
                  <c:v>6796628.9395339601</c:v>
                </c:pt>
                <c:pt idx="29">
                  <c:v>6865233.6645435998</c:v>
                </c:pt>
                <c:pt idx="30">
                  <c:v>6932051.9595913803</c:v>
                </c:pt>
                <c:pt idx="31">
                  <c:v>6976659.68412764</c:v>
                </c:pt>
                <c:pt idx="32">
                  <c:v>6921953.26402009</c:v>
                </c:pt>
                <c:pt idx="33">
                  <c:v>6898828.7267090799</c:v>
                </c:pt>
                <c:pt idx="34">
                  <c:v>6864317.8813144397</c:v>
                </c:pt>
                <c:pt idx="35">
                  <c:v>6701016.0188691104</c:v>
                </c:pt>
                <c:pt idx="36">
                  <c:v>6569098.2825919297</c:v>
                </c:pt>
                <c:pt idx="37">
                  <c:v>5598875.6735913502</c:v>
                </c:pt>
                <c:pt idx="38">
                  <c:v>5847395.8049285999</c:v>
                </c:pt>
                <c:pt idx="39">
                  <c:v>6232333.74390468</c:v>
                </c:pt>
                <c:pt idx="40">
                  <c:v>6585852.4417300001</c:v>
                </c:pt>
              </c:numCache>
            </c:numRef>
          </c:val>
          <c:smooth val="0"/>
          <c:extLst>
            <c:ext xmlns:c16="http://schemas.microsoft.com/office/drawing/2014/chart" uri="{C3380CC4-5D6E-409C-BE32-E72D297353CC}">
              <c16:uniqueId val="{00000001-A7DC-43B7-93D3-E8BF47EF8099}"/>
            </c:ext>
          </c:extLst>
        </c:ser>
        <c:dLbls>
          <c:showLegendKey val="0"/>
          <c:showVal val="0"/>
          <c:showCatName val="0"/>
          <c:showSerName val="0"/>
          <c:showPercent val="0"/>
          <c:showBubbleSize val="0"/>
        </c:dLbls>
        <c:marker val="1"/>
        <c:smooth val="0"/>
        <c:axId val="316954256"/>
        <c:axId val="316952296"/>
      </c:lineChart>
      <c:catAx>
        <c:axId val="31695425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2296"/>
        <c:crosses val="autoZero"/>
        <c:auto val="0"/>
        <c:lblAlgn val="ctr"/>
        <c:lblOffset val="0"/>
        <c:tickLblSkip val="1"/>
        <c:tickMarkSkip val="4"/>
        <c:noMultiLvlLbl val="1"/>
      </c:catAx>
      <c:valAx>
        <c:axId val="316952296"/>
        <c:scaling>
          <c:orientation val="minMax"/>
          <c:max val="7500000"/>
          <c:min val="37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4256"/>
        <c:crosses val="autoZero"/>
        <c:crossBetween val="between"/>
        <c:majorUnit val="1000000"/>
        <c:minorUnit val="100000"/>
      </c:valAx>
      <c:spPr>
        <a:ln>
          <a:solidFill>
            <a:schemeClr val="bg1">
              <a:lumMod val="75000"/>
            </a:schemeClr>
          </a:solidFill>
        </a:ln>
      </c:spPr>
    </c:plotArea>
    <c:legend>
      <c:legendPos val="b"/>
      <c:layout>
        <c:manualLayout>
          <c:xMode val="edge"/>
          <c:yMode val="edge"/>
          <c:x val="1.4637436171423964E-3"/>
          <c:y val="0.94392532357352577"/>
          <c:w val="0.99491893880339488"/>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Datos!$M$38:$M$78</c:f>
              <c:numCache>
                <c:formatCode>0.0</c:formatCode>
                <c:ptCount val="41"/>
                <c:pt idx="0">
                  <c:v>10205075.6637291</c:v>
                </c:pt>
                <c:pt idx="1">
                  <c:v>10364616.1958219</c:v>
                </c:pt>
                <c:pt idx="2">
                  <c:v>10498191.085520601</c:v>
                </c:pt>
                <c:pt idx="3">
                  <c:v>10502087.333618701</c:v>
                </c:pt>
                <c:pt idx="4">
                  <c:v>10602886.6466051</c:v>
                </c:pt>
                <c:pt idx="5">
                  <c:v>10577056.2793005</c:v>
                </c:pt>
                <c:pt idx="6">
                  <c:v>10622598.5693886</c:v>
                </c:pt>
                <c:pt idx="7">
                  <c:v>10678653.6383364</c:v>
                </c:pt>
                <c:pt idx="8">
                  <c:v>10815058.6957822</c:v>
                </c:pt>
                <c:pt idx="9">
                  <c:v>10770207.1259517</c:v>
                </c:pt>
                <c:pt idx="10">
                  <c:v>10822873.980738601</c:v>
                </c:pt>
                <c:pt idx="11">
                  <c:v>10891767.2545914</c:v>
                </c:pt>
                <c:pt idx="12">
                  <c:v>10895764.486656999</c:v>
                </c:pt>
                <c:pt idx="13">
                  <c:v>11097927.939064899</c:v>
                </c:pt>
                <c:pt idx="14">
                  <c:v>11083959.4991128</c:v>
                </c:pt>
                <c:pt idx="15">
                  <c:v>11149416.9862299</c:v>
                </c:pt>
                <c:pt idx="16">
                  <c:v>11190193.2849229</c:v>
                </c:pt>
                <c:pt idx="17">
                  <c:v>11285003.496381599</c:v>
                </c:pt>
                <c:pt idx="18">
                  <c:v>11390191.1791333</c:v>
                </c:pt>
                <c:pt idx="19">
                  <c:v>11545449.5864514</c:v>
                </c:pt>
                <c:pt idx="20">
                  <c:v>11622124.518581299</c:v>
                </c:pt>
                <c:pt idx="21">
                  <c:v>11620678.863977401</c:v>
                </c:pt>
                <c:pt idx="22">
                  <c:v>11807191.0608087</c:v>
                </c:pt>
                <c:pt idx="23">
                  <c:v>11942463.307877401</c:v>
                </c:pt>
                <c:pt idx="24">
                  <c:v>12042152.075941199</c:v>
                </c:pt>
                <c:pt idx="25">
                  <c:v>12152593.5423005</c:v>
                </c:pt>
                <c:pt idx="26">
                  <c:v>12169701.8066872</c:v>
                </c:pt>
                <c:pt idx="27">
                  <c:v>12214405.406410201</c:v>
                </c:pt>
                <c:pt idx="28">
                  <c:v>12441548.437382899</c:v>
                </c:pt>
                <c:pt idx="29">
                  <c:v>12476336.724184001</c:v>
                </c:pt>
                <c:pt idx="30">
                  <c:v>12506809.9477141</c:v>
                </c:pt>
                <c:pt idx="31">
                  <c:v>12400021.530676199</c:v>
                </c:pt>
                <c:pt idx="32">
                  <c:v>12443183.4913968</c:v>
                </c:pt>
                <c:pt idx="33">
                  <c:v>12547805.2260848</c:v>
                </c:pt>
                <c:pt idx="34">
                  <c:v>12574888.434276899</c:v>
                </c:pt>
                <c:pt idx="35">
                  <c:v>12444351.3228475</c:v>
                </c:pt>
                <c:pt idx="36">
                  <c:v>12274927.499986799</c:v>
                </c:pt>
                <c:pt idx="37">
                  <c:v>9909664.0026031602</c:v>
                </c:pt>
                <c:pt idx="38">
                  <c:v>10966542.7871313</c:v>
                </c:pt>
                <c:pt idx="39">
                  <c:v>11528915.959848899</c:v>
                </c:pt>
                <c:pt idx="40">
                  <c:v>11862929.218315501</c:v>
                </c:pt>
              </c:numCache>
            </c:numRef>
          </c:val>
          <c:extLst>
            <c:ext xmlns:c16="http://schemas.microsoft.com/office/drawing/2014/chart" uri="{C3380CC4-5D6E-409C-BE32-E72D297353CC}">
              <c16:uniqueId val="{00000000-683D-44EE-B089-F41401EF7BD4}"/>
            </c:ext>
          </c:extLst>
        </c:ser>
        <c:dLbls>
          <c:showLegendKey val="0"/>
          <c:showVal val="1"/>
          <c:showCatName val="0"/>
          <c:showSerName val="0"/>
          <c:showPercent val="0"/>
          <c:showBubbleSize val="0"/>
        </c:dLbls>
        <c:gapWidth val="40"/>
        <c:axId val="316953080"/>
        <c:axId val="316953864"/>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Datos!$N$38:$N$78</c:f>
              <c:numCache>
                <c:formatCode>0.0</c:formatCode>
                <c:ptCount val="41"/>
                <c:pt idx="0">
                  <c:v>10242223.40934</c:v>
                </c:pt>
                <c:pt idx="1">
                  <c:v>10358355.791242599</c:v>
                </c:pt>
                <c:pt idx="2">
                  <c:v>10473938.6770605</c:v>
                </c:pt>
                <c:pt idx="3">
                  <c:v>10535137.695454501</c:v>
                </c:pt>
                <c:pt idx="4">
                  <c:v>10571934.7698914</c:v>
                </c:pt>
                <c:pt idx="5">
                  <c:v>10596063.6448269</c:v>
                </c:pt>
                <c:pt idx="6">
                  <c:v>10613172.650076199</c:v>
                </c:pt>
                <c:pt idx="7">
                  <c:v>10702307.542604599</c:v>
                </c:pt>
                <c:pt idx="8">
                  <c:v>10774079.597553801</c:v>
                </c:pt>
                <c:pt idx="9">
                  <c:v>10795962.7360685</c:v>
                </c:pt>
                <c:pt idx="10">
                  <c:v>10821533.5394186</c:v>
                </c:pt>
                <c:pt idx="11">
                  <c:v>10875000.5598474</c:v>
                </c:pt>
                <c:pt idx="12">
                  <c:v>10946876.4538927</c:v>
                </c:pt>
                <c:pt idx="13">
                  <c:v>11032670.891469801</c:v>
                </c:pt>
                <c:pt idx="14">
                  <c:v>11101763.769380899</c:v>
                </c:pt>
                <c:pt idx="15">
                  <c:v>11138503.738352399</c:v>
                </c:pt>
                <c:pt idx="16">
                  <c:v>11199178.6079855</c:v>
                </c:pt>
                <c:pt idx="17">
                  <c:v>11278883.413900301</c:v>
                </c:pt>
                <c:pt idx="18">
                  <c:v>11402552.355754299</c:v>
                </c:pt>
                <c:pt idx="19">
                  <c:v>11535968.9610934</c:v>
                </c:pt>
                <c:pt idx="20">
                  <c:v>11602621.278916899</c:v>
                </c:pt>
                <c:pt idx="21">
                  <c:v>11657779.566867899</c:v>
                </c:pt>
                <c:pt idx="22">
                  <c:v>11788477.9848959</c:v>
                </c:pt>
                <c:pt idx="23">
                  <c:v>11940210.602152299</c:v>
                </c:pt>
                <c:pt idx="24">
                  <c:v>12053197.0536648</c:v>
                </c:pt>
                <c:pt idx="25">
                  <c:v>12133182.431146899</c:v>
                </c:pt>
                <c:pt idx="26">
                  <c:v>12178767.7915562</c:v>
                </c:pt>
                <c:pt idx="27">
                  <c:v>12275306.9072074</c:v>
                </c:pt>
                <c:pt idx="28">
                  <c:v>12411777.764027899</c:v>
                </c:pt>
                <c:pt idx="29">
                  <c:v>12497016.573209699</c:v>
                </c:pt>
                <c:pt idx="30">
                  <c:v>12475959.141741799</c:v>
                </c:pt>
                <c:pt idx="31">
                  <c:v>12427608.0868457</c:v>
                </c:pt>
                <c:pt idx="32">
                  <c:v>12446892.0984951</c:v>
                </c:pt>
                <c:pt idx="33">
                  <c:v>12543479.1888327</c:v>
                </c:pt>
                <c:pt idx="34">
                  <c:v>12560290.100613801</c:v>
                </c:pt>
                <c:pt idx="35">
                  <c:v>12434340.9259791</c:v>
                </c:pt>
                <c:pt idx="36">
                  <c:v>12292423.9467497</c:v>
                </c:pt>
                <c:pt idx="37">
                  <c:v>10854454.1260655</c:v>
                </c:pt>
                <c:pt idx="38">
                  <c:v>11117302.987806801</c:v>
                </c:pt>
                <c:pt idx="39">
                  <c:v>11516058.437890301</c:v>
                </c:pt>
                <c:pt idx="40">
                  <c:v>11846786.6770931</c:v>
                </c:pt>
              </c:numCache>
            </c:numRef>
          </c:val>
          <c:smooth val="0"/>
          <c:extLst>
            <c:ext xmlns:c16="http://schemas.microsoft.com/office/drawing/2014/chart" uri="{C3380CC4-5D6E-409C-BE32-E72D297353CC}">
              <c16:uniqueId val="{00000001-683D-44EE-B089-F41401EF7BD4}"/>
            </c:ext>
          </c:extLst>
        </c:ser>
        <c:dLbls>
          <c:showLegendKey val="0"/>
          <c:showVal val="0"/>
          <c:showCatName val="0"/>
          <c:showSerName val="0"/>
          <c:showPercent val="0"/>
          <c:showBubbleSize val="0"/>
        </c:dLbls>
        <c:marker val="1"/>
        <c:smooth val="0"/>
        <c:axId val="316953080"/>
        <c:axId val="316953864"/>
      </c:lineChart>
      <c:catAx>
        <c:axId val="31695308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3864"/>
        <c:crosses val="autoZero"/>
        <c:auto val="0"/>
        <c:lblAlgn val="ctr"/>
        <c:lblOffset val="0"/>
        <c:tickLblSkip val="1"/>
        <c:tickMarkSkip val="4"/>
        <c:noMultiLvlLbl val="1"/>
      </c:catAx>
      <c:valAx>
        <c:axId val="316953864"/>
        <c:scaling>
          <c:orientation val="minMax"/>
          <c:min val="9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308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43"/>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4974462730535871"/>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Datos!$O$38:$O$78</c:f>
              <c:numCache>
                <c:formatCode>0.0</c:formatCode>
                <c:ptCount val="41"/>
                <c:pt idx="0">
                  <c:v>1875200.5049520801</c:v>
                </c:pt>
                <c:pt idx="1">
                  <c:v>1889591.29151867</c:v>
                </c:pt>
                <c:pt idx="2">
                  <c:v>1927095.0187616299</c:v>
                </c:pt>
                <c:pt idx="3">
                  <c:v>1945418.77457841</c:v>
                </c:pt>
                <c:pt idx="4">
                  <c:v>1967910.7889908201</c:v>
                </c:pt>
                <c:pt idx="5">
                  <c:v>1984818.4135543001</c:v>
                </c:pt>
                <c:pt idx="6">
                  <c:v>1968870.7173858001</c:v>
                </c:pt>
                <c:pt idx="7">
                  <c:v>1973798.72752184</c:v>
                </c:pt>
                <c:pt idx="8">
                  <c:v>1960384.22874345</c:v>
                </c:pt>
                <c:pt idx="9">
                  <c:v>1956239.5782313501</c:v>
                </c:pt>
                <c:pt idx="10">
                  <c:v>1999652.9248253</c:v>
                </c:pt>
                <c:pt idx="11">
                  <c:v>2022378.2025886199</c:v>
                </c:pt>
                <c:pt idx="12">
                  <c:v>2010215.7593436299</c:v>
                </c:pt>
                <c:pt idx="13">
                  <c:v>2013480.42381708</c:v>
                </c:pt>
                <c:pt idx="14">
                  <c:v>2064741.4458928599</c:v>
                </c:pt>
                <c:pt idx="15">
                  <c:v>2059007.8313577201</c:v>
                </c:pt>
                <c:pt idx="16">
                  <c:v>2085781.11537038</c:v>
                </c:pt>
                <c:pt idx="17">
                  <c:v>2070574.20815693</c:v>
                </c:pt>
                <c:pt idx="18">
                  <c:v>2070333.5248227499</c:v>
                </c:pt>
                <c:pt idx="19">
                  <c:v>2076787.38956773</c:v>
                </c:pt>
                <c:pt idx="20">
                  <c:v>2093074.3203402599</c:v>
                </c:pt>
                <c:pt idx="21">
                  <c:v>2118994.9240765702</c:v>
                </c:pt>
                <c:pt idx="22">
                  <c:v>2152137.85019306</c:v>
                </c:pt>
                <c:pt idx="23">
                  <c:v>2155513.55660456</c:v>
                </c:pt>
                <c:pt idx="24">
                  <c:v>2131782.4778158502</c:v>
                </c:pt>
                <c:pt idx="25">
                  <c:v>2128160.4644515002</c:v>
                </c:pt>
                <c:pt idx="26">
                  <c:v>2140455.7593296398</c:v>
                </c:pt>
                <c:pt idx="27">
                  <c:v>2175952.52897526</c:v>
                </c:pt>
                <c:pt idx="28">
                  <c:v>2206025.73286943</c:v>
                </c:pt>
                <c:pt idx="29">
                  <c:v>2226622.5340054799</c:v>
                </c:pt>
                <c:pt idx="30">
                  <c:v>2201248.7686281302</c:v>
                </c:pt>
                <c:pt idx="31">
                  <c:v>2187103.6431547599</c:v>
                </c:pt>
                <c:pt idx="32">
                  <c:v>2181349.9657546999</c:v>
                </c:pt>
                <c:pt idx="33">
                  <c:v>2176321.6076006899</c:v>
                </c:pt>
                <c:pt idx="34">
                  <c:v>2168841.2401797301</c:v>
                </c:pt>
                <c:pt idx="35">
                  <c:v>2182264.4724826599</c:v>
                </c:pt>
                <c:pt idx="36">
                  <c:v>2245626.4268030599</c:v>
                </c:pt>
                <c:pt idx="37">
                  <c:v>2220793.5413652002</c:v>
                </c:pt>
                <c:pt idx="38">
                  <c:v>2224650.27796927</c:v>
                </c:pt>
                <c:pt idx="39">
                  <c:v>2219526.4864516598</c:v>
                </c:pt>
                <c:pt idx="40">
                  <c:v>2229953.01016809</c:v>
                </c:pt>
              </c:numCache>
            </c:numRef>
          </c:val>
          <c:extLst>
            <c:ext xmlns:c16="http://schemas.microsoft.com/office/drawing/2014/chart" uri="{C3380CC4-5D6E-409C-BE32-E72D297353CC}">
              <c16:uniqueId val="{00000000-5C08-4591-B1A1-40C6CAE95503}"/>
            </c:ext>
          </c:extLst>
        </c:ser>
        <c:dLbls>
          <c:showLegendKey val="0"/>
          <c:showVal val="1"/>
          <c:showCatName val="0"/>
          <c:showSerName val="0"/>
          <c:showPercent val="0"/>
          <c:showBubbleSize val="0"/>
        </c:dLbls>
        <c:gapWidth val="40"/>
        <c:axId val="316955040"/>
        <c:axId val="316955432"/>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Datos!$P$38:$P$78</c:f>
              <c:numCache>
                <c:formatCode>0.0</c:formatCode>
                <c:ptCount val="41"/>
                <c:pt idx="0">
                  <c:v>1872746.8875391199</c:v>
                </c:pt>
                <c:pt idx="1">
                  <c:v>1894186.1354486099</c:v>
                </c:pt>
                <c:pt idx="2">
                  <c:v>1922275.21461963</c:v>
                </c:pt>
                <c:pt idx="3">
                  <c:v>1947849.2586616001</c:v>
                </c:pt>
                <c:pt idx="4">
                  <c:v>1969197.0964426</c:v>
                </c:pt>
                <c:pt idx="5">
                  <c:v>1978870.71734342</c:v>
                </c:pt>
                <c:pt idx="6">
                  <c:v>1975695.66174721</c:v>
                </c:pt>
                <c:pt idx="7">
                  <c:v>1968773.4742360101</c:v>
                </c:pt>
                <c:pt idx="8">
                  <c:v>1960072.7953608599</c:v>
                </c:pt>
                <c:pt idx="9">
                  <c:v>1964961.93184659</c:v>
                </c:pt>
                <c:pt idx="10">
                  <c:v>1996156.93527453</c:v>
                </c:pt>
                <c:pt idx="11">
                  <c:v>2017458.6408887799</c:v>
                </c:pt>
                <c:pt idx="12">
                  <c:v>2013327.9605756099</c:v>
                </c:pt>
                <c:pt idx="13">
                  <c:v>2017864.5679596099</c:v>
                </c:pt>
                <c:pt idx="14">
                  <c:v>2038914.3220222699</c:v>
                </c:pt>
                <c:pt idx="15">
                  <c:v>2064701.94572022</c:v>
                </c:pt>
                <c:pt idx="16">
                  <c:v>2077537.8226774</c:v>
                </c:pt>
                <c:pt idx="17">
                  <c:v>2075287.1912429801</c:v>
                </c:pt>
                <c:pt idx="18">
                  <c:v>2069514.6528572999</c:v>
                </c:pt>
                <c:pt idx="19">
                  <c:v>2077032.4809357601</c:v>
                </c:pt>
                <c:pt idx="20">
                  <c:v>2093236.73680151</c:v>
                </c:pt>
                <c:pt idx="21">
                  <c:v>2121533.8821938201</c:v>
                </c:pt>
                <c:pt idx="22">
                  <c:v>2149226.4882756202</c:v>
                </c:pt>
                <c:pt idx="23">
                  <c:v>2152242.0050712898</c:v>
                </c:pt>
                <c:pt idx="24">
                  <c:v>2135557.1623051399</c:v>
                </c:pt>
                <c:pt idx="25">
                  <c:v>2127317.8266968001</c:v>
                </c:pt>
                <c:pt idx="26">
                  <c:v>2143092.4493573299</c:v>
                </c:pt>
                <c:pt idx="27">
                  <c:v>2174228.95493042</c:v>
                </c:pt>
                <c:pt idx="28">
                  <c:v>2208085.0736875501</c:v>
                </c:pt>
                <c:pt idx="29">
                  <c:v>2219128.2563238898</c:v>
                </c:pt>
                <c:pt idx="30">
                  <c:v>2205334.3209899198</c:v>
                </c:pt>
                <c:pt idx="31">
                  <c:v>2187538.8941123202</c:v>
                </c:pt>
                <c:pt idx="32">
                  <c:v>2181020.3685288299</c:v>
                </c:pt>
                <c:pt idx="33">
                  <c:v>2173374.2961069802</c:v>
                </c:pt>
                <c:pt idx="34">
                  <c:v>2174371.0006267601</c:v>
                </c:pt>
                <c:pt idx="35">
                  <c:v>2194349.4717236902</c:v>
                </c:pt>
                <c:pt idx="36">
                  <c:v>2216037.2450142102</c:v>
                </c:pt>
                <c:pt idx="37">
                  <c:v>2223341.1384866699</c:v>
                </c:pt>
                <c:pt idx="38">
                  <c:v>2222033.5045595299</c:v>
                </c:pt>
                <c:pt idx="39">
                  <c:v>2223525.2640225501</c:v>
                </c:pt>
                <c:pt idx="40">
                  <c:v>2226038.2970141498</c:v>
                </c:pt>
              </c:numCache>
            </c:numRef>
          </c:val>
          <c:smooth val="0"/>
          <c:extLst>
            <c:ext xmlns:c16="http://schemas.microsoft.com/office/drawing/2014/chart" uri="{C3380CC4-5D6E-409C-BE32-E72D297353CC}">
              <c16:uniqueId val="{00000001-5C08-4591-B1A1-40C6CAE95503}"/>
            </c:ext>
          </c:extLst>
        </c:ser>
        <c:dLbls>
          <c:showLegendKey val="0"/>
          <c:showVal val="0"/>
          <c:showCatName val="0"/>
          <c:showSerName val="0"/>
          <c:showPercent val="0"/>
          <c:showBubbleSize val="0"/>
        </c:dLbls>
        <c:marker val="1"/>
        <c:smooth val="0"/>
        <c:axId val="316955040"/>
        <c:axId val="316955432"/>
      </c:lineChart>
      <c:catAx>
        <c:axId val="31695504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6955432"/>
        <c:crosses val="autoZero"/>
        <c:auto val="0"/>
        <c:lblAlgn val="ctr"/>
        <c:lblOffset val="0"/>
        <c:tickLblSkip val="1"/>
        <c:tickMarkSkip val="4"/>
        <c:noMultiLvlLbl val="1"/>
      </c:catAx>
      <c:valAx>
        <c:axId val="316955432"/>
        <c:scaling>
          <c:orientation val="minMax"/>
          <c:max val="2400000"/>
          <c:min val="1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6955040"/>
        <c:crosses val="autoZero"/>
        <c:crossBetween val="between"/>
        <c:majorUnit val="200000"/>
        <c:minorUnit val="2000"/>
      </c:valAx>
      <c:spPr>
        <a:noFill/>
        <a:ln>
          <a:solidFill>
            <a:schemeClr val="bg1">
              <a:lumMod val="75000"/>
            </a:schemeClr>
          </a:solidFill>
        </a:ln>
      </c:spPr>
    </c:plotArea>
    <c:legend>
      <c:legendPos val="b"/>
      <c:layout>
        <c:manualLayout>
          <c:xMode val="edge"/>
          <c:yMode val="edge"/>
          <c:x val="0"/>
          <c:y val="0.94392532357352665"/>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Datos!$Q$38:$Q$78</c:f>
              <c:numCache>
                <c:formatCode>0.0</c:formatCode>
                <c:ptCount val="41"/>
                <c:pt idx="0">
                  <c:v>3228989.5109727802</c:v>
                </c:pt>
                <c:pt idx="1">
                  <c:v>3378581.7050267002</c:v>
                </c:pt>
                <c:pt idx="2">
                  <c:v>3461188.4732164098</c:v>
                </c:pt>
                <c:pt idx="3">
                  <c:v>3552194.1789149102</c:v>
                </c:pt>
                <c:pt idx="4">
                  <c:v>3547503.4313222701</c:v>
                </c:pt>
                <c:pt idx="5">
                  <c:v>3580007.5472204001</c:v>
                </c:pt>
                <c:pt idx="6">
                  <c:v>3628089.1429133499</c:v>
                </c:pt>
                <c:pt idx="7">
                  <c:v>3552054.9604207301</c:v>
                </c:pt>
                <c:pt idx="8">
                  <c:v>3549008.4420264699</c:v>
                </c:pt>
                <c:pt idx="9">
                  <c:v>3437912.2674540798</c:v>
                </c:pt>
                <c:pt idx="10">
                  <c:v>3407206.6776569802</c:v>
                </c:pt>
                <c:pt idx="11">
                  <c:v>3442071.7725065202</c:v>
                </c:pt>
                <c:pt idx="12">
                  <c:v>3475671.67644447</c:v>
                </c:pt>
                <c:pt idx="13">
                  <c:v>3552849.1410642001</c:v>
                </c:pt>
                <c:pt idx="14">
                  <c:v>3536527.7620309</c:v>
                </c:pt>
                <c:pt idx="15">
                  <c:v>3666531.1099870401</c:v>
                </c:pt>
                <c:pt idx="16">
                  <c:v>3612925.0470041102</c:v>
                </c:pt>
                <c:pt idx="17">
                  <c:v>3738293.3048286098</c:v>
                </c:pt>
                <c:pt idx="18">
                  <c:v>3857527.5961088701</c:v>
                </c:pt>
                <c:pt idx="19">
                  <c:v>3717486.0690012602</c:v>
                </c:pt>
                <c:pt idx="20">
                  <c:v>3772373.47827507</c:v>
                </c:pt>
                <c:pt idx="21">
                  <c:v>3727604.5078010801</c:v>
                </c:pt>
                <c:pt idx="22">
                  <c:v>3749282.2596045998</c:v>
                </c:pt>
                <c:pt idx="23">
                  <c:v>3805999.0637813299</c:v>
                </c:pt>
                <c:pt idx="24">
                  <c:v>3711078.3920059199</c:v>
                </c:pt>
                <c:pt idx="25">
                  <c:v>3703887.1913015</c:v>
                </c:pt>
                <c:pt idx="26">
                  <c:v>3734905.7703022799</c:v>
                </c:pt>
                <c:pt idx="27">
                  <c:v>3736830.10776156</c:v>
                </c:pt>
                <c:pt idx="28">
                  <c:v>3806827.7957823202</c:v>
                </c:pt>
                <c:pt idx="29">
                  <c:v>3797645.63118634</c:v>
                </c:pt>
                <c:pt idx="30">
                  <c:v>3767858.51307528</c:v>
                </c:pt>
                <c:pt idx="31">
                  <c:v>3636151.7590727801</c:v>
                </c:pt>
                <c:pt idx="32">
                  <c:v>3703175.6835678802</c:v>
                </c:pt>
                <c:pt idx="33">
                  <c:v>3588349.7792208102</c:v>
                </c:pt>
                <c:pt idx="34">
                  <c:v>3540711.72848093</c:v>
                </c:pt>
                <c:pt idx="35">
                  <c:v>3471849.6428272999</c:v>
                </c:pt>
                <c:pt idx="36">
                  <c:v>3352810.00642676</c:v>
                </c:pt>
                <c:pt idx="37">
                  <c:v>2376278.1186149698</c:v>
                </c:pt>
                <c:pt idx="38">
                  <c:v>2916792.57760762</c:v>
                </c:pt>
                <c:pt idx="39">
                  <c:v>3027971.0203102501</c:v>
                </c:pt>
                <c:pt idx="40">
                  <c:v>3187147.7359787999</c:v>
                </c:pt>
              </c:numCache>
            </c:numRef>
          </c:val>
          <c:extLst>
            <c:ext xmlns:c16="http://schemas.microsoft.com/office/drawing/2014/chart" uri="{C3380CC4-5D6E-409C-BE32-E72D297353CC}">
              <c16:uniqueId val="{00000000-FF97-4A02-88C9-BDF1DF8EBEFC}"/>
            </c:ext>
          </c:extLst>
        </c:ser>
        <c:dLbls>
          <c:showLegendKey val="0"/>
          <c:showVal val="1"/>
          <c:showCatName val="0"/>
          <c:showSerName val="0"/>
          <c:showPercent val="0"/>
          <c:showBubbleSize val="0"/>
        </c:dLbls>
        <c:gapWidth val="40"/>
        <c:axId val="318172736"/>
        <c:axId val="31816372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Datos!$R$38:$R$78</c:f>
              <c:numCache>
                <c:formatCode>0.0</c:formatCode>
                <c:ptCount val="41"/>
                <c:pt idx="0">
                  <c:v>3269837.4736609901</c:v>
                </c:pt>
                <c:pt idx="1">
                  <c:v>3364225.6349144899</c:v>
                </c:pt>
                <c:pt idx="2">
                  <c:v>3472868.7974869399</c:v>
                </c:pt>
                <c:pt idx="3">
                  <c:v>3534793.0570295299</c:v>
                </c:pt>
                <c:pt idx="4">
                  <c:v>3558848.4757629498</c:v>
                </c:pt>
                <c:pt idx="5">
                  <c:v>3588677.4540734501</c:v>
                </c:pt>
                <c:pt idx="6">
                  <c:v>3603359.3152715601</c:v>
                </c:pt>
                <c:pt idx="7">
                  <c:v>3579820.5408884501</c:v>
                </c:pt>
                <c:pt idx="8">
                  <c:v>3521878.9707473498</c:v>
                </c:pt>
                <c:pt idx="9">
                  <c:v>3452836.96312794</c:v>
                </c:pt>
                <c:pt idx="10">
                  <c:v>3411026.03249622</c:v>
                </c:pt>
                <c:pt idx="11">
                  <c:v>3433871.5935897999</c:v>
                </c:pt>
                <c:pt idx="12">
                  <c:v>3489029.3767049299</c:v>
                </c:pt>
                <c:pt idx="13">
                  <c:v>3527320.8703076402</c:v>
                </c:pt>
                <c:pt idx="14">
                  <c:v>3569778.3065323001</c:v>
                </c:pt>
                <c:pt idx="15">
                  <c:v>3599329.8734518699</c:v>
                </c:pt>
                <c:pt idx="16">
                  <c:v>3647710.7957031699</c:v>
                </c:pt>
                <c:pt idx="17">
                  <c:v>3732130.3915645801</c:v>
                </c:pt>
                <c:pt idx="18">
                  <c:v>3784280.0792083698</c:v>
                </c:pt>
                <c:pt idx="19">
                  <c:v>3765048.8545984998</c:v>
                </c:pt>
                <c:pt idx="20">
                  <c:v>3744433.8746766299</c:v>
                </c:pt>
                <c:pt idx="21">
                  <c:v>3741424.1079492099</c:v>
                </c:pt>
                <c:pt idx="22">
                  <c:v>3760683.1198383099</c:v>
                </c:pt>
                <c:pt idx="23">
                  <c:v>3774716.1512557399</c:v>
                </c:pt>
                <c:pt idx="24">
                  <c:v>3732290.3479715399</c:v>
                </c:pt>
                <c:pt idx="25">
                  <c:v>3705193.03370535</c:v>
                </c:pt>
                <c:pt idx="26">
                  <c:v>3722829.1833080798</c:v>
                </c:pt>
                <c:pt idx="27">
                  <c:v>3754777.0892332601</c:v>
                </c:pt>
                <c:pt idx="28">
                  <c:v>3791714.5435170201</c:v>
                </c:pt>
                <c:pt idx="29">
                  <c:v>3803425.0366784902</c:v>
                </c:pt>
                <c:pt idx="30">
                  <c:v>3761468.5876743998</c:v>
                </c:pt>
                <c:pt idx="31">
                  <c:v>3705648.0363121498</c:v>
                </c:pt>
                <c:pt idx="32">
                  <c:v>3646817.6005643699</c:v>
                </c:pt>
                <c:pt idx="33">
                  <c:v>3593884.83000733</c:v>
                </c:pt>
                <c:pt idx="34">
                  <c:v>3540033.5308580101</c:v>
                </c:pt>
                <c:pt idx="35">
                  <c:v>3458515.08029779</c:v>
                </c:pt>
                <c:pt idx="36">
                  <c:v>3370014.1972924401</c:v>
                </c:pt>
                <c:pt idx="37">
                  <c:v>2901288.5796644301</c:v>
                </c:pt>
                <c:pt idx="38">
                  <c:v>2928335.09823782</c:v>
                </c:pt>
                <c:pt idx="39">
                  <c:v>3036076.3523593601</c:v>
                </c:pt>
                <c:pt idx="40">
                  <c:v>3155478.9354828401</c:v>
                </c:pt>
              </c:numCache>
            </c:numRef>
          </c:val>
          <c:smooth val="0"/>
          <c:extLst>
            <c:ext xmlns:c16="http://schemas.microsoft.com/office/drawing/2014/chart" uri="{C3380CC4-5D6E-409C-BE32-E72D297353CC}">
              <c16:uniqueId val="{00000001-FF97-4A02-88C9-BDF1DF8EBEFC}"/>
            </c:ext>
          </c:extLst>
        </c:ser>
        <c:dLbls>
          <c:showLegendKey val="0"/>
          <c:showVal val="0"/>
          <c:showCatName val="0"/>
          <c:showSerName val="0"/>
          <c:showPercent val="0"/>
          <c:showBubbleSize val="0"/>
        </c:dLbls>
        <c:marker val="1"/>
        <c:smooth val="0"/>
        <c:axId val="318172736"/>
        <c:axId val="318163720"/>
      </c:lineChart>
      <c:catAx>
        <c:axId val="3181727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3720"/>
        <c:crosses val="autoZero"/>
        <c:auto val="0"/>
        <c:lblAlgn val="ctr"/>
        <c:lblOffset val="0"/>
        <c:tickLblSkip val="1"/>
        <c:tickMarkSkip val="4"/>
        <c:noMultiLvlLbl val="1"/>
      </c:catAx>
      <c:valAx>
        <c:axId val="318163720"/>
        <c:scaling>
          <c:orientation val="minMax"/>
          <c:min val="20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72736"/>
        <c:crosses val="autoZero"/>
        <c:crossBetween val="between"/>
        <c:majorUnit val="300000"/>
      </c:valAx>
      <c:spPr>
        <a:noFill/>
        <a:ln>
          <a:solidFill>
            <a:schemeClr val="bg1">
              <a:lumMod val="75000"/>
            </a:schemeClr>
          </a:solidFill>
        </a:ln>
      </c:spPr>
    </c:plotArea>
    <c:legend>
      <c:legendPos val="b"/>
      <c:layout>
        <c:manualLayout>
          <c:xMode val="edge"/>
          <c:yMode val="edge"/>
          <c:x val="1.4637436171423964E-3"/>
          <c:y val="0.94392532357352676"/>
          <c:w val="0.99853625638285759"/>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5122775670839745"/>
          <c:h val="0.81211954070389314"/>
        </c:manualLayout>
      </c:layout>
      <c:barChart>
        <c:barDir val="col"/>
        <c:grouping val="clustered"/>
        <c:varyColors val="0"/>
        <c:ser>
          <c:idx val="0"/>
          <c:order val="0"/>
          <c:tx>
            <c:strRef>
              <c:f>Datos!$C$5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Datos!$S$38:$S$78</c:f>
              <c:numCache>
                <c:formatCode>0.0</c:formatCode>
                <c:ptCount val="41"/>
                <c:pt idx="0">
                  <c:v>4717945.0644298997</c:v>
                </c:pt>
                <c:pt idx="1">
                  <c:v>4697036.2862710701</c:v>
                </c:pt>
                <c:pt idx="2">
                  <c:v>4731364.7172959195</c:v>
                </c:pt>
                <c:pt idx="3">
                  <c:v>4727376.9441611497</c:v>
                </c:pt>
                <c:pt idx="4">
                  <c:v>5015361.5375672998</c:v>
                </c:pt>
                <c:pt idx="5">
                  <c:v>5074722.0685505597</c:v>
                </c:pt>
                <c:pt idx="6">
                  <c:v>4992391.8334455201</c:v>
                </c:pt>
                <c:pt idx="7">
                  <c:v>5022895.1419709204</c:v>
                </c:pt>
                <c:pt idx="8">
                  <c:v>4983969.8807039</c:v>
                </c:pt>
                <c:pt idx="9">
                  <c:v>5058253.5680309804</c:v>
                </c:pt>
                <c:pt idx="10">
                  <c:v>5169505.6804348398</c:v>
                </c:pt>
                <c:pt idx="11">
                  <c:v>5163584.68821079</c:v>
                </c:pt>
                <c:pt idx="12">
                  <c:v>5151661.4965932705</c:v>
                </c:pt>
                <c:pt idx="13">
                  <c:v>5375422.00294232</c:v>
                </c:pt>
                <c:pt idx="14">
                  <c:v>5542915.2142513003</c:v>
                </c:pt>
                <c:pt idx="15">
                  <c:v>5720430.1019035196</c:v>
                </c:pt>
                <c:pt idx="16">
                  <c:v>5773565.8493787404</c:v>
                </c:pt>
                <c:pt idx="17">
                  <c:v>5938883.1721567204</c:v>
                </c:pt>
                <c:pt idx="18">
                  <c:v>5931561.5497758901</c:v>
                </c:pt>
                <c:pt idx="19">
                  <c:v>5996845.4344998803</c:v>
                </c:pt>
                <c:pt idx="20">
                  <c:v>5996772.85312883</c:v>
                </c:pt>
                <c:pt idx="21">
                  <c:v>5978112.2778132996</c:v>
                </c:pt>
                <c:pt idx="22">
                  <c:v>6256817.6469636597</c:v>
                </c:pt>
                <c:pt idx="23">
                  <c:v>6258134.2752259104</c:v>
                </c:pt>
                <c:pt idx="24">
                  <c:v>6479595.9421864403</c:v>
                </c:pt>
                <c:pt idx="25">
                  <c:v>6296061.8187026503</c:v>
                </c:pt>
                <c:pt idx="26">
                  <c:v>6241350.2004057402</c:v>
                </c:pt>
                <c:pt idx="27">
                  <c:v>6498136.5639514197</c:v>
                </c:pt>
                <c:pt idx="28">
                  <c:v>6652365.26354763</c:v>
                </c:pt>
                <c:pt idx="29">
                  <c:v>6794369.9466802301</c:v>
                </c:pt>
                <c:pt idx="30">
                  <c:v>6795984.3565391302</c:v>
                </c:pt>
                <c:pt idx="31">
                  <c:v>6788057.6330127502</c:v>
                </c:pt>
                <c:pt idx="32">
                  <c:v>6802119.6186331604</c:v>
                </c:pt>
                <c:pt idx="33">
                  <c:v>7020554.1324222302</c:v>
                </c:pt>
                <c:pt idx="34">
                  <c:v>6994020.1816097796</c:v>
                </c:pt>
                <c:pt idx="35">
                  <c:v>6621837.5555856796</c:v>
                </c:pt>
                <c:pt idx="36">
                  <c:v>6930154.6031855</c:v>
                </c:pt>
                <c:pt idx="37">
                  <c:v>4873869.5672151502</c:v>
                </c:pt>
                <c:pt idx="38">
                  <c:v>6805628.8537574699</c:v>
                </c:pt>
                <c:pt idx="39">
                  <c:v>6864101.5644368399</c:v>
                </c:pt>
                <c:pt idx="40">
                  <c:v>6637453.43988657</c:v>
                </c:pt>
              </c:numCache>
            </c:numRef>
          </c:val>
          <c:extLst>
            <c:ext xmlns:c16="http://schemas.microsoft.com/office/drawing/2014/chart" uri="{C3380CC4-5D6E-409C-BE32-E72D297353CC}">
              <c16:uniqueId val="{00000000-173C-4FA4-8076-31117FDD84B1}"/>
            </c:ext>
          </c:extLst>
        </c:ser>
        <c:dLbls>
          <c:showLegendKey val="0"/>
          <c:showVal val="1"/>
          <c:showCatName val="0"/>
          <c:showSerName val="0"/>
          <c:showPercent val="0"/>
          <c:showBubbleSize val="0"/>
        </c:dLbls>
        <c:gapWidth val="40"/>
        <c:axId val="318161760"/>
        <c:axId val="318165680"/>
      </c:barChart>
      <c:lineChart>
        <c:grouping val="standard"/>
        <c:varyColors val="0"/>
        <c:ser>
          <c:idx val="1"/>
          <c:order val="1"/>
          <c:tx>
            <c:strRef>
              <c:f>Datos!$D$5</c:f>
              <c:strCache>
                <c:ptCount val="1"/>
                <c:pt idx="0">
                  <c:v>Tendencia-Ciclo</c:v>
                </c:pt>
              </c:strCache>
            </c:strRef>
          </c:tx>
          <c:spPr>
            <a:ln w="15875">
              <a:solidFill>
                <a:srgbClr val="FF0000"/>
              </a:solidFill>
            </a:ln>
          </c:spPr>
          <c:marker>
            <c:symbol val="none"/>
          </c:marker>
          <c:cat>
            <c:multiLvlStrRef>
              <c:f>Datos!$A$38:$B$78</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Datos!$T$38:$T$78</c:f>
              <c:numCache>
                <c:formatCode>0.0</c:formatCode>
                <c:ptCount val="41"/>
                <c:pt idx="0">
                  <c:v>4682941.1053779703</c:v>
                </c:pt>
                <c:pt idx="1">
                  <c:v>4716151.7645029202</c:v>
                </c:pt>
                <c:pt idx="2">
                  <c:v>4721102.6308311401</c:v>
                </c:pt>
                <c:pt idx="3">
                  <c:v>4829586.2818720601</c:v>
                </c:pt>
                <c:pt idx="4">
                  <c:v>4991611.8896817304</c:v>
                </c:pt>
                <c:pt idx="5">
                  <c:v>5057201.6401762003</c:v>
                </c:pt>
                <c:pt idx="6">
                  <c:v>5024463.5638160603</c:v>
                </c:pt>
                <c:pt idx="7">
                  <c:v>4996101.8123625396</c:v>
                </c:pt>
                <c:pt idx="8">
                  <c:v>5002978.4082562802</c:v>
                </c:pt>
                <c:pt idx="9">
                  <c:v>5063973.5719817998</c:v>
                </c:pt>
                <c:pt idx="10">
                  <c:v>5150024.6974497996</c:v>
                </c:pt>
                <c:pt idx="11">
                  <c:v>5154001.4195582103</c:v>
                </c:pt>
                <c:pt idx="12">
                  <c:v>5190844.6249069097</c:v>
                </c:pt>
                <c:pt idx="13">
                  <c:v>5349117.6698927097</c:v>
                </c:pt>
                <c:pt idx="14">
                  <c:v>5557651.1776987603</c:v>
                </c:pt>
                <c:pt idx="15">
                  <c:v>5693191.6677356903</c:v>
                </c:pt>
                <c:pt idx="16">
                  <c:v>5811849.0869828202</c:v>
                </c:pt>
                <c:pt idx="17">
                  <c:v>5899962.3175160503</c:v>
                </c:pt>
                <c:pt idx="18">
                  <c:v>5959699.0845127199</c:v>
                </c:pt>
                <c:pt idx="19">
                  <c:v>5983281.3108902397</c:v>
                </c:pt>
                <c:pt idx="20">
                  <c:v>5977007.4867251404</c:v>
                </c:pt>
                <c:pt idx="21">
                  <c:v>6043513.9599778196</c:v>
                </c:pt>
                <c:pt idx="22">
                  <c:v>6178083.1792582497</c:v>
                </c:pt>
                <c:pt idx="23">
                  <c:v>6340568.4248179104</c:v>
                </c:pt>
                <c:pt idx="24">
                  <c:v>6394497.5449128496</c:v>
                </c:pt>
                <c:pt idx="25">
                  <c:v>6321845.0326833697</c:v>
                </c:pt>
                <c:pt idx="26">
                  <c:v>6285166.1219840702</c:v>
                </c:pt>
                <c:pt idx="27">
                  <c:v>6461100.9864729699</c:v>
                </c:pt>
                <c:pt idx="28">
                  <c:v>6668408.9628141196</c:v>
                </c:pt>
                <c:pt idx="29">
                  <c:v>6775351.3336359402</c:v>
                </c:pt>
                <c:pt idx="30">
                  <c:v>6803277.0322191501</c:v>
                </c:pt>
                <c:pt idx="31">
                  <c:v>6776980.94243134</c:v>
                </c:pt>
                <c:pt idx="32">
                  <c:v>6848505.0069116</c:v>
                </c:pt>
                <c:pt idx="33">
                  <c:v>6978039.1031535398</c:v>
                </c:pt>
                <c:pt idx="34">
                  <c:v>6978937.2726362599</c:v>
                </c:pt>
                <c:pt idx="35">
                  <c:v>6903693.0264248699</c:v>
                </c:pt>
                <c:pt idx="36">
                  <c:v>6891572.5026394501</c:v>
                </c:pt>
                <c:pt idx="37">
                  <c:v>6865797.6135087702</c:v>
                </c:pt>
                <c:pt idx="38">
                  <c:v>6842443.9358257297</c:v>
                </c:pt>
                <c:pt idx="39">
                  <c:v>6804700.1474629603</c:v>
                </c:pt>
                <c:pt idx="40">
                  <c:v>6663924.9857608797</c:v>
                </c:pt>
              </c:numCache>
            </c:numRef>
          </c:val>
          <c:smooth val="0"/>
          <c:extLst>
            <c:ext xmlns:c16="http://schemas.microsoft.com/office/drawing/2014/chart" uri="{C3380CC4-5D6E-409C-BE32-E72D297353CC}">
              <c16:uniqueId val="{00000001-173C-4FA4-8076-31117FDD84B1}"/>
            </c:ext>
          </c:extLst>
        </c:ser>
        <c:dLbls>
          <c:showLegendKey val="0"/>
          <c:showVal val="0"/>
          <c:showCatName val="0"/>
          <c:showSerName val="0"/>
          <c:showPercent val="0"/>
          <c:showBubbleSize val="0"/>
        </c:dLbls>
        <c:marker val="1"/>
        <c:smooth val="0"/>
        <c:axId val="318161760"/>
        <c:axId val="318165680"/>
      </c:lineChart>
      <c:catAx>
        <c:axId val="318161760"/>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18165680"/>
        <c:crosses val="autoZero"/>
        <c:auto val="0"/>
        <c:lblAlgn val="ctr"/>
        <c:lblOffset val="0"/>
        <c:tickLblSkip val="1"/>
        <c:tickMarkSkip val="4"/>
        <c:noMultiLvlLbl val="1"/>
      </c:catAx>
      <c:valAx>
        <c:axId val="318165680"/>
        <c:scaling>
          <c:orientation val="minMax"/>
          <c:max val="7200000"/>
          <c:min val="3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18161760"/>
        <c:crosses val="autoZero"/>
        <c:crossBetween val="between"/>
        <c:majorUnit val="1000000"/>
      </c:valAx>
      <c:spPr>
        <a:noFill/>
        <a:ln>
          <a:solidFill>
            <a:schemeClr val="bg1">
              <a:lumMod val="75000"/>
            </a:schemeClr>
          </a:solidFill>
        </a:ln>
      </c:spPr>
    </c:plotArea>
    <c:legend>
      <c:legendPos val="b"/>
      <c:layout>
        <c:manualLayout>
          <c:xMode val="edge"/>
          <c:yMode val="edge"/>
          <c:x val="0"/>
          <c:y val="0.94392532357352699"/>
          <c:w val="0.99936832701251122"/>
          <c:h val="5.1710246530149412E-2"/>
        </c:manualLayout>
      </c:layout>
      <c:overlay val="0"/>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Datos!$C$6:$C$46</c:f>
              <c:numCache>
                <c:formatCode>0.0</c:formatCode>
                <c:ptCount val="41"/>
                <c:pt idx="0">
                  <c:v>3149851.2355841799</c:v>
                </c:pt>
                <c:pt idx="1">
                  <c:v>3294329.3098268402</c:v>
                </c:pt>
                <c:pt idx="2">
                  <c:v>3476190.9800163698</c:v>
                </c:pt>
                <c:pt idx="3">
                  <c:v>3731077.4470850201</c:v>
                </c:pt>
                <c:pt idx="4">
                  <c:v>3692502.0091967699</c:v>
                </c:pt>
                <c:pt idx="5">
                  <c:v>3825211.8520806301</c:v>
                </c:pt>
                <c:pt idx="6">
                  <c:v>3823911.5114415102</c:v>
                </c:pt>
                <c:pt idx="7">
                  <c:v>3790565.3845622898</c:v>
                </c:pt>
                <c:pt idx="8">
                  <c:v>3686232.0572761199</c:v>
                </c:pt>
                <c:pt idx="9">
                  <c:v>3659371.49831089</c:v>
                </c:pt>
                <c:pt idx="10">
                  <c:v>3613229.3211274198</c:v>
                </c:pt>
                <c:pt idx="11">
                  <c:v>3707972.7676138701</c:v>
                </c:pt>
                <c:pt idx="12">
                  <c:v>3844316.1240424202</c:v>
                </c:pt>
                <c:pt idx="13">
                  <c:v>3798221.79003159</c:v>
                </c:pt>
                <c:pt idx="14">
                  <c:v>3852656.8006525501</c:v>
                </c:pt>
                <c:pt idx="15">
                  <c:v>3813245.8456351501</c:v>
                </c:pt>
                <c:pt idx="16">
                  <c:v>4087309.2765206201</c:v>
                </c:pt>
                <c:pt idx="17">
                  <c:v>4283931.0248061102</c:v>
                </c:pt>
                <c:pt idx="18">
                  <c:v>4484985.65874446</c:v>
                </c:pt>
                <c:pt idx="19">
                  <c:v>4466827.2257096404</c:v>
                </c:pt>
                <c:pt idx="20">
                  <c:v>4562879.1917180102</c:v>
                </c:pt>
                <c:pt idx="21">
                  <c:v>4654499.3986804904</c:v>
                </c:pt>
                <c:pt idx="22">
                  <c:v>4787270.4824078996</c:v>
                </c:pt>
                <c:pt idx="23">
                  <c:v>5003300.5774831399</c:v>
                </c:pt>
                <c:pt idx="24">
                  <c:v>5005582.8288018396</c:v>
                </c:pt>
                <c:pt idx="25">
                  <c:v>5001252.3539346298</c:v>
                </c:pt>
                <c:pt idx="26">
                  <c:v>4990534.02263253</c:v>
                </c:pt>
                <c:pt idx="27">
                  <c:v>5093839.7625201503</c:v>
                </c:pt>
                <c:pt idx="28">
                  <c:v>5204940.5135311903</c:v>
                </c:pt>
                <c:pt idx="29">
                  <c:v>5387118.2516093599</c:v>
                </c:pt>
                <c:pt idx="30">
                  <c:v>5445919.1448618397</c:v>
                </c:pt>
                <c:pt idx="31">
                  <c:v>5343500.7708605602</c:v>
                </c:pt>
                <c:pt idx="32">
                  <c:v>5258644.2232230799</c:v>
                </c:pt>
                <c:pt idx="33">
                  <c:v>5197696.4687260697</c:v>
                </c:pt>
                <c:pt idx="34">
                  <c:v>5201071.2190198796</c:v>
                </c:pt>
                <c:pt idx="35">
                  <c:v>5063792.7342967298</c:v>
                </c:pt>
                <c:pt idx="36">
                  <c:v>4825455.2978433603</c:v>
                </c:pt>
                <c:pt idx="37">
                  <c:v>3758590.2813174501</c:v>
                </c:pt>
                <c:pt idx="38">
                  <c:v>4557364.3418853302</c:v>
                </c:pt>
                <c:pt idx="39">
                  <c:v>4669437.0810376499</c:v>
                </c:pt>
                <c:pt idx="40">
                  <c:v>4984202.7542330902</c:v>
                </c:pt>
              </c:numCache>
            </c:numRef>
          </c:val>
          <c:extLst>
            <c:ext xmlns:c16="http://schemas.microsoft.com/office/drawing/2014/chart" uri="{C3380CC4-5D6E-409C-BE32-E72D297353CC}">
              <c16:uniqueId val="{00000000-38FC-41EC-A7A0-7E70CA62EFB3}"/>
            </c:ext>
          </c:extLst>
        </c:ser>
        <c:dLbls>
          <c:showLegendKey val="0"/>
          <c:showVal val="1"/>
          <c:showCatName val="0"/>
          <c:showSerName val="0"/>
          <c:showPercent val="0"/>
          <c:showBubbleSize val="0"/>
        </c:dLbls>
        <c:gapWidth val="40"/>
        <c:axId val="556454136"/>
        <c:axId val="556455704"/>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Datos!$D$6:$D$46</c:f>
              <c:numCache>
                <c:formatCode>0.0</c:formatCode>
                <c:ptCount val="41"/>
                <c:pt idx="0">
                  <c:v>3168560.88998979</c:v>
                </c:pt>
                <c:pt idx="1">
                  <c:v>3291463.8757631201</c:v>
                </c:pt>
                <c:pt idx="2">
                  <c:v>3481528.64191416</c:v>
                </c:pt>
                <c:pt idx="3">
                  <c:v>3635353.7197998702</c:v>
                </c:pt>
                <c:pt idx="4">
                  <c:v>3741473.7204908798</c:v>
                </c:pt>
                <c:pt idx="5">
                  <c:v>3808586.24489738</c:v>
                </c:pt>
                <c:pt idx="6">
                  <c:v>3832329.5327718402</c:v>
                </c:pt>
                <c:pt idx="7">
                  <c:v>3776805.1431609201</c:v>
                </c:pt>
                <c:pt idx="8">
                  <c:v>3704237.3071383801</c:v>
                </c:pt>
                <c:pt idx="9">
                  <c:v>3640506.6234962898</c:v>
                </c:pt>
                <c:pt idx="10">
                  <c:v>3632457.9249447002</c:v>
                </c:pt>
                <c:pt idx="11">
                  <c:v>3716421.4218953298</c:v>
                </c:pt>
                <c:pt idx="12">
                  <c:v>3805733.3694563801</c:v>
                </c:pt>
                <c:pt idx="13">
                  <c:v>3826987.4081550799</c:v>
                </c:pt>
                <c:pt idx="14">
                  <c:v>3830944.3937303498</c:v>
                </c:pt>
                <c:pt idx="15">
                  <c:v>3914315.09921803</c:v>
                </c:pt>
                <c:pt idx="16">
                  <c:v>4074998.6380167198</c:v>
                </c:pt>
                <c:pt idx="17">
                  <c:v>4300333.4985954799</c:v>
                </c:pt>
                <c:pt idx="18">
                  <c:v>4443208.9967290899</c:v>
                </c:pt>
                <c:pt idx="19">
                  <c:v>4499562.5496436898</c:v>
                </c:pt>
                <c:pt idx="20">
                  <c:v>4550935.3042822499</c:v>
                </c:pt>
                <c:pt idx="21">
                  <c:v>4654878.2691780701</c:v>
                </c:pt>
                <c:pt idx="22">
                  <c:v>4811675.5349860396</c:v>
                </c:pt>
                <c:pt idx="23">
                  <c:v>4965340.3044573199</c:v>
                </c:pt>
                <c:pt idx="24">
                  <c:v>5020280.5401938995</c:v>
                </c:pt>
                <c:pt idx="25">
                  <c:v>4992551.1798828002</c:v>
                </c:pt>
                <c:pt idx="26">
                  <c:v>5007175.4937566901</c:v>
                </c:pt>
                <c:pt idx="27">
                  <c:v>5081393.1479879497</c:v>
                </c:pt>
                <c:pt idx="28">
                  <c:v>5223865.1707499595</c:v>
                </c:pt>
                <c:pt idx="29">
                  <c:v>5375618.8124528602</c:v>
                </c:pt>
                <c:pt idx="30">
                  <c:v>5430013.2223549997</c:v>
                </c:pt>
                <c:pt idx="31">
                  <c:v>5356162.0179362902</c:v>
                </c:pt>
                <c:pt idx="32">
                  <c:v>5256142.8188792104</c:v>
                </c:pt>
                <c:pt idx="33">
                  <c:v>5215714.5753016602</c:v>
                </c:pt>
                <c:pt idx="34">
                  <c:v>5183113.2802611897</c:v>
                </c:pt>
                <c:pt idx="35">
                  <c:v>5054559.2682600599</c:v>
                </c:pt>
                <c:pt idx="36">
                  <c:v>4836177.4863999803</c:v>
                </c:pt>
                <c:pt idx="37">
                  <c:v>4642586.5415628804</c:v>
                </c:pt>
                <c:pt idx="38">
                  <c:v>4583485.2811835501</c:v>
                </c:pt>
                <c:pt idx="39">
                  <c:v>4695276.0463548005</c:v>
                </c:pt>
                <c:pt idx="40">
                  <c:v>4867366.2909790697</c:v>
                </c:pt>
              </c:numCache>
            </c:numRef>
          </c:val>
          <c:smooth val="0"/>
          <c:extLst>
            <c:ext xmlns:c16="http://schemas.microsoft.com/office/drawing/2014/chart" uri="{C3380CC4-5D6E-409C-BE32-E72D297353CC}">
              <c16:uniqueId val="{00000001-38FC-41EC-A7A0-7E70CA62EFB3}"/>
            </c:ext>
          </c:extLst>
        </c:ser>
        <c:dLbls>
          <c:showLegendKey val="0"/>
          <c:showVal val="0"/>
          <c:showCatName val="0"/>
          <c:showSerName val="0"/>
          <c:showPercent val="0"/>
          <c:showBubbleSize val="0"/>
        </c:dLbls>
        <c:marker val="1"/>
        <c:smooth val="0"/>
        <c:axId val="556454136"/>
        <c:axId val="556455704"/>
      </c:lineChart>
      <c:catAx>
        <c:axId val="55645413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556455704"/>
        <c:crosses val="autoZero"/>
        <c:auto val="0"/>
        <c:lblAlgn val="ctr"/>
        <c:lblOffset val="0"/>
        <c:tickLblSkip val="1"/>
        <c:tickMarkSkip val="4"/>
        <c:noMultiLvlLbl val="1"/>
      </c:catAx>
      <c:valAx>
        <c:axId val="556455704"/>
        <c:scaling>
          <c:orientation val="minMax"/>
          <c:max val="5500000"/>
          <c:min val="25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556454136"/>
        <c:crosses val="autoZero"/>
        <c:crossBetween val="between"/>
        <c:majorUnit val="1000000"/>
        <c:minorUnit val="200000"/>
      </c:valAx>
      <c:spPr>
        <a:noFill/>
        <a:ln w="25400">
          <a:no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0.13580563907675033"/>
          <c:y val="2.4492411085430238E-2"/>
          <c:w val="0.83787956737965963"/>
          <c:h val="0.81211954070389314"/>
        </c:manualLayout>
      </c:layout>
      <c:barChart>
        <c:barDir val="col"/>
        <c:grouping val="clustered"/>
        <c:varyColors val="0"/>
        <c:ser>
          <c:idx val="0"/>
          <c:order val="0"/>
          <c:tx>
            <c:strRef>
              <c:f>Datos!$E$5</c:f>
              <c:strCache>
                <c:ptCount val="1"/>
                <c:pt idx="0">
                  <c:v>Serie Desestacionalizada</c:v>
                </c:pt>
              </c:strCache>
            </c:strRef>
          </c:tx>
          <c:spPr>
            <a:solidFill>
              <a:schemeClr val="accent3">
                <a:lumMod val="75000"/>
              </a:schemeClr>
            </a:solidFill>
            <a:effectLst/>
            <a:scene3d>
              <a:camera prst="orthographicFront"/>
              <a:lightRig rig="threePt" dir="t">
                <a:rot lat="0" lon="0" rev="1200000"/>
              </a:lightRig>
            </a:scene3d>
            <a:sp3d/>
          </c:spPr>
          <c:invertIfNegative val="0"/>
          <c:dLbls>
            <c:delete val="1"/>
          </c:dLbls>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Datos!$E$6:$E$46</c:f>
              <c:numCache>
                <c:formatCode>0.0</c:formatCode>
                <c:ptCount val="41"/>
                <c:pt idx="0">
                  <c:v>3036765.0538699101</c:v>
                </c:pt>
                <c:pt idx="1">
                  <c:v>3136797.44329884</c:v>
                </c:pt>
                <c:pt idx="2">
                  <c:v>3169822.3540777699</c:v>
                </c:pt>
                <c:pt idx="3">
                  <c:v>3645092.0552374301</c:v>
                </c:pt>
                <c:pt idx="4">
                  <c:v>3544282.1306326902</c:v>
                </c:pt>
                <c:pt idx="5">
                  <c:v>3703386.7715499499</c:v>
                </c:pt>
                <c:pt idx="6">
                  <c:v>3607628.9804574298</c:v>
                </c:pt>
                <c:pt idx="7">
                  <c:v>3434653.7885670601</c:v>
                </c:pt>
                <c:pt idx="8">
                  <c:v>3287393.6865300699</c:v>
                </c:pt>
                <c:pt idx="9">
                  <c:v>3208645.8142964002</c:v>
                </c:pt>
                <c:pt idx="10">
                  <c:v>3247296.7765967702</c:v>
                </c:pt>
                <c:pt idx="11">
                  <c:v>3310727.1920976099</c:v>
                </c:pt>
                <c:pt idx="12">
                  <c:v>3452754.02162241</c:v>
                </c:pt>
                <c:pt idx="13">
                  <c:v>3352823.6506235902</c:v>
                </c:pt>
                <c:pt idx="14">
                  <c:v>3628006.0923516899</c:v>
                </c:pt>
                <c:pt idx="15">
                  <c:v>3501241.9998646402</c:v>
                </c:pt>
                <c:pt idx="16">
                  <c:v>3669800.4228145401</c:v>
                </c:pt>
                <c:pt idx="17">
                  <c:v>3792629.1571132401</c:v>
                </c:pt>
                <c:pt idx="18">
                  <c:v>3925250.8762460002</c:v>
                </c:pt>
                <c:pt idx="19">
                  <c:v>3947234.79214175</c:v>
                </c:pt>
                <c:pt idx="20">
                  <c:v>4090898.2363041099</c:v>
                </c:pt>
                <c:pt idx="21">
                  <c:v>4134960.9163628202</c:v>
                </c:pt>
                <c:pt idx="22">
                  <c:v>4337800.0837084698</c:v>
                </c:pt>
                <c:pt idx="23">
                  <c:v>4592121.7098313496</c:v>
                </c:pt>
                <c:pt idx="24">
                  <c:v>4393418.4427656801</c:v>
                </c:pt>
                <c:pt idx="25">
                  <c:v>4703230.4648047304</c:v>
                </c:pt>
                <c:pt idx="26">
                  <c:v>4580835.7391730398</c:v>
                </c:pt>
                <c:pt idx="27">
                  <c:v>4742889.5376710296</c:v>
                </c:pt>
                <c:pt idx="28">
                  <c:v>4817602.8083047196</c:v>
                </c:pt>
                <c:pt idx="29">
                  <c:v>4889000.3639923604</c:v>
                </c:pt>
                <c:pt idx="30">
                  <c:v>4886696.2575960197</c:v>
                </c:pt>
                <c:pt idx="31">
                  <c:v>4805688.79555507</c:v>
                </c:pt>
                <c:pt idx="32">
                  <c:v>5033734.5154963704</c:v>
                </c:pt>
                <c:pt idx="33">
                  <c:v>5194265.9625903601</c:v>
                </c:pt>
                <c:pt idx="34">
                  <c:v>5100752.9775060499</c:v>
                </c:pt>
                <c:pt idx="35">
                  <c:v>4986533.2226719102</c:v>
                </c:pt>
                <c:pt idx="36">
                  <c:v>4987905.7081928505</c:v>
                </c:pt>
                <c:pt idx="37">
                  <c:v>3429240.7779502799</c:v>
                </c:pt>
                <c:pt idx="38">
                  <c:v>5940751.2390525797</c:v>
                </c:pt>
                <c:pt idx="39">
                  <c:v>5631271.8444966199</c:v>
                </c:pt>
                <c:pt idx="40">
                  <c:v>5499409.1109939804</c:v>
                </c:pt>
              </c:numCache>
            </c:numRef>
          </c:val>
          <c:extLst>
            <c:ext xmlns:c16="http://schemas.microsoft.com/office/drawing/2014/chart" uri="{C3380CC4-5D6E-409C-BE32-E72D297353CC}">
              <c16:uniqueId val="{00000000-BBE0-4A9C-AD53-6B2F81536626}"/>
            </c:ext>
          </c:extLst>
        </c:ser>
        <c:dLbls>
          <c:showLegendKey val="0"/>
          <c:showVal val="1"/>
          <c:showCatName val="0"/>
          <c:showSerName val="0"/>
          <c:showPercent val="0"/>
          <c:showBubbleSize val="0"/>
        </c:dLbls>
        <c:gapWidth val="40"/>
        <c:axId val="320904776"/>
        <c:axId val="320903208"/>
      </c:barChart>
      <c:lineChart>
        <c:grouping val="standard"/>
        <c:varyColors val="0"/>
        <c:ser>
          <c:idx val="1"/>
          <c:order val="1"/>
          <c:tx>
            <c:strRef>
              <c:f>Datos!$F$5</c:f>
              <c:strCache>
                <c:ptCount val="1"/>
                <c:pt idx="0">
                  <c:v>Tendencia-Ciclo</c:v>
                </c:pt>
              </c:strCache>
            </c:strRef>
          </c:tx>
          <c:spPr>
            <a:ln w="15875">
              <a:solidFill>
                <a:srgbClr val="FF0000"/>
              </a:solidFill>
            </a:ln>
          </c:spPr>
          <c:marker>
            <c:symbol val="none"/>
          </c:marker>
          <c:cat>
            <c:multiLvlStrRef>
              <c:f>Datos!$A$6:$B$46</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2011</c:v>
                  </c:pt>
                  <c:pt idx="4">
                    <c:v>2012</c:v>
                  </c:pt>
                  <c:pt idx="8">
                    <c:v>2013</c:v>
                  </c:pt>
                  <c:pt idx="12">
                    <c:v>2014</c:v>
                  </c:pt>
                  <c:pt idx="16">
                    <c:v>2015</c:v>
                  </c:pt>
                  <c:pt idx="20">
                    <c:v>2016</c:v>
                  </c:pt>
                  <c:pt idx="24">
                    <c:v>2017</c:v>
                  </c:pt>
                  <c:pt idx="28">
                    <c:v>2018</c:v>
                  </c:pt>
                  <c:pt idx="32">
                    <c:v>2019</c:v>
                  </c:pt>
                  <c:pt idx="36">
                    <c:v>2020</c:v>
                  </c:pt>
                  <c:pt idx="40">
                    <c:v>2021</c:v>
                  </c:pt>
                </c:lvl>
              </c:multiLvlStrCache>
            </c:multiLvlStrRef>
          </c:cat>
          <c:val>
            <c:numRef>
              <c:f>Datos!$F$6:$F$46</c:f>
              <c:numCache>
                <c:formatCode>0.0</c:formatCode>
                <c:ptCount val="41"/>
                <c:pt idx="0">
                  <c:v>3020614.3863164699</c:v>
                </c:pt>
                <c:pt idx="1">
                  <c:v>3146417.8927411302</c:v>
                </c:pt>
                <c:pt idx="2">
                  <c:v>3308203.3336028499</c:v>
                </c:pt>
                <c:pt idx="3">
                  <c:v>3455333.1134425001</c:v>
                </c:pt>
                <c:pt idx="4">
                  <c:v>3584791.0058831102</c:v>
                </c:pt>
                <c:pt idx="5">
                  <c:v>3664750.7251733998</c:v>
                </c:pt>
                <c:pt idx="6">
                  <c:v>3613114.8663027999</c:v>
                </c:pt>
                <c:pt idx="7">
                  <c:v>3439069.3213108601</c:v>
                </c:pt>
                <c:pt idx="8">
                  <c:v>3286946.5579972202</c:v>
                </c:pt>
                <c:pt idx="9">
                  <c:v>3219036.1139724501</c:v>
                </c:pt>
                <c:pt idx="10">
                  <c:v>3236544.45776706</c:v>
                </c:pt>
                <c:pt idx="11">
                  <c:v>3329938.6549816099</c:v>
                </c:pt>
                <c:pt idx="12">
                  <c:v>3426705.6971165501</c:v>
                </c:pt>
                <c:pt idx="13">
                  <c:v>3479498.7339618802</c:v>
                </c:pt>
                <c:pt idx="14">
                  <c:v>3479039.2249552398</c:v>
                </c:pt>
                <c:pt idx="15">
                  <c:v>3530448.9939126102</c:v>
                </c:pt>
                <c:pt idx="16">
                  <c:v>3650370.3114654901</c:v>
                </c:pt>
                <c:pt idx="17">
                  <c:v>3805548.8168778601</c:v>
                </c:pt>
                <c:pt idx="18">
                  <c:v>3899349.7905429602</c:v>
                </c:pt>
                <c:pt idx="19">
                  <c:v>3980540.9113772502</c:v>
                </c:pt>
                <c:pt idx="20">
                  <c:v>4055678.62644755</c:v>
                </c:pt>
                <c:pt idx="21">
                  <c:v>4161810.9054464102</c:v>
                </c:pt>
                <c:pt idx="22">
                  <c:v>4354422.8738468699</c:v>
                </c:pt>
                <c:pt idx="23">
                  <c:v>4544718.1799486503</c:v>
                </c:pt>
                <c:pt idx="24">
                  <c:v>4588380.7553403797</c:v>
                </c:pt>
                <c:pt idx="25">
                  <c:v>4554980.7764677396</c:v>
                </c:pt>
                <c:pt idx="26">
                  <c:v>4607931.55491657</c:v>
                </c:pt>
                <c:pt idx="27">
                  <c:v>4719491.1119991904</c:v>
                </c:pt>
                <c:pt idx="28">
                  <c:v>4828940.6613158397</c:v>
                </c:pt>
                <c:pt idx="29">
                  <c:v>4884199.4222961199</c:v>
                </c:pt>
                <c:pt idx="30">
                  <c:v>4857857.36649484</c:v>
                </c:pt>
                <c:pt idx="31">
                  <c:v>4861810.4873088598</c:v>
                </c:pt>
                <c:pt idx="32">
                  <c:v>5019780.7280646497</c:v>
                </c:pt>
                <c:pt idx="33">
                  <c:v>5163436.5071464796</c:v>
                </c:pt>
                <c:pt idx="34">
                  <c:v>5107878.1932360996</c:v>
                </c:pt>
                <c:pt idx="35">
                  <c:v>4986110.0485411398</c:v>
                </c:pt>
                <c:pt idx="36">
                  <c:v>5019047.9543442996</c:v>
                </c:pt>
                <c:pt idx="37">
                  <c:v>5230662.5348712802</c:v>
                </c:pt>
                <c:pt idx="38">
                  <c:v>5491550.1670155702</c:v>
                </c:pt>
                <c:pt idx="39">
                  <c:v>5586734.99457213</c:v>
                </c:pt>
                <c:pt idx="40">
                  <c:v>5533449.6935310103</c:v>
                </c:pt>
              </c:numCache>
            </c:numRef>
          </c:val>
          <c:smooth val="0"/>
          <c:extLst>
            <c:ext xmlns:c16="http://schemas.microsoft.com/office/drawing/2014/chart" uri="{C3380CC4-5D6E-409C-BE32-E72D297353CC}">
              <c16:uniqueId val="{00000001-BBE0-4A9C-AD53-6B2F81536626}"/>
            </c:ext>
          </c:extLst>
        </c:ser>
        <c:dLbls>
          <c:showLegendKey val="0"/>
          <c:showVal val="0"/>
          <c:showCatName val="0"/>
          <c:showSerName val="0"/>
          <c:showPercent val="0"/>
          <c:showBubbleSize val="0"/>
        </c:dLbls>
        <c:marker val="1"/>
        <c:smooth val="0"/>
        <c:axId val="320904776"/>
        <c:axId val="320903208"/>
      </c:lineChart>
      <c:catAx>
        <c:axId val="320904776"/>
        <c:scaling>
          <c:orientation val="minMax"/>
        </c:scaling>
        <c:delete val="0"/>
        <c:axPos val="b"/>
        <c:numFmt formatCode="General" sourceLinked="1"/>
        <c:majorTickMark val="out"/>
        <c:minorTickMark val="none"/>
        <c:tickLblPos val="nextTo"/>
        <c:spPr>
          <a:ln>
            <a:solidFill>
              <a:schemeClr val="tx1"/>
            </a:solidFill>
          </a:ln>
        </c:spPr>
        <c:txPr>
          <a:bodyPr rot="0" vert="horz"/>
          <a:lstStyle/>
          <a:p>
            <a:pPr>
              <a:defRPr sz="600"/>
            </a:pPr>
            <a:endParaRPr lang="es-MX"/>
          </a:p>
        </c:txPr>
        <c:crossAx val="320903208"/>
        <c:crosses val="autoZero"/>
        <c:auto val="0"/>
        <c:lblAlgn val="ctr"/>
        <c:lblOffset val="0"/>
        <c:tickLblSkip val="1"/>
        <c:tickMarkSkip val="4"/>
        <c:noMultiLvlLbl val="1"/>
      </c:catAx>
      <c:valAx>
        <c:axId val="320903208"/>
        <c:scaling>
          <c:orientation val="minMax"/>
          <c:max val="6200000"/>
          <c:min val="1900000"/>
        </c:scaling>
        <c:delete val="0"/>
        <c:axPos val="l"/>
        <c:numFmt formatCode="#,##0" sourceLinked="0"/>
        <c:majorTickMark val="out"/>
        <c:minorTickMark val="none"/>
        <c:tickLblPos val="nextTo"/>
        <c:spPr>
          <a:ln>
            <a:solidFill>
              <a:schemeClr val="tx1"/>
            </a:solidFill>
          </a:ln>
        </c:spPr>
        <c:txPr>
          <a:bodyPr rot="0" vert="horz"/>
          <a:lstStyle/>
          <a:p>
            <a:pPr>
              <a:defRPr sz="600"/>
            </a:pPr>
            <a:endParaRPr lang="es-MX"/>
          </a:p>
        </c:txPr>
        <c:crossAx val="320904776"/>
        <c:crosses val="autoZero"/>
        <c:crossBetween val="between"/>
        <c:majorUnit val="800000"/>
      </c:valAx>
      <c:spPr>
        <a:noFill/>
        <a:ln>
          <a:solidFill>
            <a:schemeClr val="bg1">
              <a:lumMod val="75000"/>
            </a:schemeClr>
          </a:solidFill>
        </a:ln>
      </c:spPr>
    </c:plotArea>
    <c:legend>
      <c:legendPos val="b"/>
      <c:layout>
        <c:manualLayout>
          <c:xMode val="edge"/>
          <c:yMode val="edge"/>
          <c:x val="2.9468730201828229E-3"/>
          <c:y val="0.94392532357352621"/>
          <c:w val="0.99195267999730785"/>
          <c:h val="5.1710246530149412E-2"/>
        </c:manualLayout>
      </c:layout>
      <c:overlay val="0"/>
      <c:spPr>
        <a:noFill/>
      </c:spPr>
      <c:txPr>
        <a:bodyPr/>
        <a:lstStyle/>
        <a:p>
          <a:pPr>
            <a:defRPr sz="600"/>
          </a:pPr>
          <a:endParaRPr lang="es-MX"/>
        </a:p>
      </c:txPr>
    </c:legend>
    <c:plotVisOnly val="1"/>
    <c:dispBlanksAs val="gap"/>
    <c:showDLblsOverMax val="0"/>
  </c:chart>
  <c:spPr>
    <a:noFill/>
    <a:ln>
      <a:solidFill>
        <a:schemeClr val="tx1"/>
      </a:solidFill>
    </a:ln>
    <a:effectLst>
      <a:outerShdw dist="12700" dir="2700000" algn="ctr" rotWithShape="0">
        <a:srgbClr val="000000"/>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DCAA-1AAB-47BF-985F-AD1EE6F3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21</Pages>
  <Words>5620</Words>
  <Characters>30910</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Comunicado de Prensa. Indicadores Trimestrales de la Oferta y Demanda y del Ahorro Bruto. Primer Trimestre de 2020</vt:lpstr>
      <vt:lpstr>Oferta y Demanda Global al 1°  trimestre del 2000 </vt:lpstr>
    </vt:vector>
  </TitlesOfParts>
  <Company>INEGI</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Trimestrales de la Oferta y Demanda y del Ahorro Bruto. Primer Trimestre de 2021</dc:title>
  <dc:subject/>
  <dc:creator>Víctor M. Pérez M.</dc:creator>
  <cp:keywords/>
  <dc:description/>
  <cp:lastModifiedBy>GUILLEN MEDINA MOISES</cp:lastModifiedBy>
  <cp:revision>143</cp:revision>
  <cp:lastPrinted>2021-06-16T22:43:00Z</cp:lastPrinted>
  <dcterms:created xsi:type="dcterms:W3CDTF">2021-05-13T15:08:00Z</dcterms:created>
  <dcterms:modified xsi:type="dcterms:W3CDTF">2021-06-18T01:39:00Z</dcterms:modified>
</cp:coreProperties>
</file>