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D5DB9" w14:textId="04D0402E" w:rsidR="009005C7" w:rsidRDefault="009005C7" w:rsidP="00D108A6">
      <w:pPr>
        <w:pStyle w:val="Textoindependiente"/>
        <w:spacing w:line="220" w:lineRule="exact"/>
        <w:ind w:left="-142"/>
        <w:rPr>
          <w:rFonts w:asciiTheme="minorHAnsi" w:hAnsiTheme="minorHAnsi" w:cstheme="minorHAnsi"/>
          <w:sz w:val="20"/>
          <w:szCs w:val="20"/>
        </w:rPr>
      </w:pPr>
      <w:r w:rsidRPr="009005C7">
        <w:rPr>
          <w:rFonts w:asciiTheme="minorHAnsi" w:hAnsiTheme="minorHAnsi" w:cstheme="minorHAnsi"/>
          <w:sz w:val="20"/>
          <w:szCs w:val="20"/>
        </w:rPr>
        <w:t xml:space="preserve">El </w:t>
      </w:r>
      <w:r w:rsidRPr="009005C7">
        <w:rPr>
          <w:rFonts w:asciiTheme="minorHAnsi" w:hAnsiTheme="minorHAnsi" w:cstheme="minorHAnsi"/>
          <w:b/>
          <w:sz w:val="20"/>
          <w:szCs w:val="20"/>
        </w:rPr>
        <w:t>Producto Interno Bruto Nominal</w:t>
      </w:r>
      <w:r w:rsidR="00FF578E" w:rsidRPr="00D034C9">
        <w:rPr>
          <w:color w:val="000000" w:themeColor="text1"/>
          <w:sz w:val="20"/>
          <w:vertAlign w:val="superscript"/>
        </w:rPr>
        <w:footnoteReference w:id="1"/>
      </w:r>
      <w:r w:rsidRPr="009360E0">
        <w:t xml:space="preserve"> </w:t>
      </w:r>
      <w:r w:rsidRPr="007B0AB4">
        <w:rPr>
          <w:sz w:val="20"/>
        </w:rPr>
        <w:t>(</w:t>
      </w:r>
      <w:r w:rsidRPr="007B0AB4">
        <w:rPr>
          <w:rFonts w:asciiTheme="minorHAnsi" w:hAnsiTheme="minorHAnsi" w:cstheme="minorHAnsi"/>
          <w:sz w:val="20"/>
          <w:szCs w:val="20"/>
        </w:rPr>
        <w:t>PIBN)</w:t>
      </w:r>
      <w:r w:rsidRPr="009005C7">
        <w:rPr>
          <w:rFonts w:asciiTheme="minorHAnsi" w:hAnsiTheme="minorHAnsi" w:cstheme="minorHAnsi"/>
          <w:sz w:val="20"/>
          <w:szCs w:val="20"/>
        </w:rPr>
        <w:t xml:space="preserve"> a p</w:t>
      </w:r>
      <w:r w:rsidR="003B0B93">
        <w:rPr>
          <w:rFonts w:asciiTheme="minorHAnsi" w:hAnsiTheme="minorHAnsi" w:cstheme="minorHAnsi"/>
          <w:sz w:val="20"/>
          <w:szCs w:val="20"/>
        </w:rPr>
        <w:t xml:space="preserve">recios de mercado se situó en </w:t>
      </w:r>
      <w:r w:rsidR="00D63D28">
        <w:rPr>
          <w:rFonts w:asciiTheme="minorHAnsi" w:hAnsiTheme="minorHAnsi" w:cstheme="minorHAnsi"/>
          <w:sz w:val="20"/>
          <w:szCs w:val="20"/>
        </w:rPr>
        <w:t>2</w:t>
      </w:r>
      <w:r w:rsidR="009A3556">
        <w:rPr>
          <w:rFonts w:asciiTheme="minorHAnsi" w:hAnsiTheme="minorHAnsi" w:cstheme="minorHAnsi"/>
          <w:sz w:val="20"/>
          <w:szCs w:val="20"/>
        </w:rPr>
        <w:t>5</w:t>
      </w:r>
      <w:r w:rsidR="00C26C6A">
        <w:rPr>
          <w:rFonts w:asciiTheme="minorHAnsi" w:hAnsiTheme="minorHAnsi" w:cstheme="minorHAnsi"/>
          <w:sz w:val="20"/>
          <w:szCs w:val="20"/>
        </w:rPr>
        <w:t>,</w:t>
      </w:r>
      <w:r w:rsidR="009A3556">
        <w:rPr>
          <w:rFonts w:asciiTheme="minorHAnsi" w:hAnsiTheme="minorHAnsi" w:cstheme="minorHAnsi"/>
          <w:sz w:val="20"/>
          <w:szCs w:val="20"/>
        </w:rPr>
        <w:t>931</w:t>
      </w:r>
      <w:r w:rsidR="00D63D28">
        <w:rPr>
          <w:rFonts w:asciiTheme="minorHAnsi" w:hAnsiTheme="minorHAnsi" w:cstheme="minorHAnsi"/>
          <w:sz w:val="20"/>
          <w:szCs w:val="20"/>
        </w:rPr>
        <w:t>,</w:t>
      </w:r>
      <w:r w:rsidR="008070ED">
        <w:rPr>
          <w:rFonts w:asciiTheme="minorHAnsi" w:hAnsiTheme="minorHAnsi" w:cstheme="minorHAnsi"/>
          <w:sz w:val="20"/>
          <w:szCs w:val="20"/>
        </w:rPr>
        <w:t>3</w:t>
      </w:r>
      <w:r w:rsidR="009A3556">
        <w:rPr>
          <w:rFonts w:asciiTheme="minorHAnsi" w:hAnsiTheme="minorHAnsi" w:cstheme="minorHAnsi"/>
          <w:sz w:val="20"/>
          <w:szCs w:val="20"/>
        </w:rPr>
        <w:t>69</w:t>
      </w:r>
      <w:r w:rsidR="006217A6">
        <w:rPr>
          <w:rFonts w:asciiTheme="minorHAnsi" w:hAnsiTheme="minorHAnsi" w:cstheme="minorHAnsi"/>
          <w:sz w:val="20"/>
          <w:szCs w:val="20"/>
        </w:rPr>
        <w:t xml:space="preserve"> </w:t>
      </w:r>
      <w:r w:rsidRPr="009005C7">
        <w:rPr>
          <w:rFonts w:asciiTheme="minorHAnsi" w:hAnsiTheme="minorHAnsi" w:cstheme="minorHAnsi"/>
          <w:sz w:val="20"/>
          <w:szCs w:val="20"/>
        </w:rPr>
        <w:t>millo</w:t>
      </w:r>
      <w:r w:rsidR="003B0B93">
        <w:rPr>
          <w:rFonts w:asciiTheme="minorHAnsi" w:hAnsiTheme="minorHAnsi" w:cstheme="minorHAnsi"/>
          <w:sz w:val="20"/>
          <w:szCs w:val="20"/>
        </w:rPr>
        <w:t>nes de pesos (mp) corrientes (</w:t>
      </w:r>
      <w:r w:rsidR="00D63D28">
        <w:rPr>
          <w:rFonts w:asciiTheme="minorHAnsi" w:hAnsiTheme="minorHAnsi" w:cstheme="minorHAnsi"/>
          <w:sz w:val="20"/>
          <w:szCs w:val="20"/>
        </w:rPr>
        <w:t>2</w:t>
      </w:r>
      <w:r w:rsidR="009A3556">
        <w:rPr>
          <w:rFonts w:asciiTheme="minorHAnsi" w:hAnsiTheme="minorHAnsi" w:cstheme="minorHAnsi"/>
          <w:sz w:val="20"/>
          <w:szCs w:val="20"/>
        </w:rPr>
        <w:t>5</w:t>
      </w:r>
      <w:r w:rsidR="00D63D28">
        <w:rPr>
          <w:rFonts w:asciiTheme="minorHAnsi" w:hAnsiTheme="minorHAnsi" w:cstheme="minorHAnsi"/>
          <w:sz w:val="20"/>
          <w:szCs w:val="20"/>
        </w:rPr>
        <w:t>.</w:t>
      </w:r>
      <w:r w:rsidR="009A3556">
        <w:rPr>
          <w:rFonts w:asciiTheme="minorHAnsi" w:hAnsiTheme="minorHAnsi" w:cstheme="minorHAnsi"/>
          <w:sz w:val="20"/>
          <w:szCs w:val="20"/>
        </w:rPr>
        <w:t>931</w:t>
      </w:r>
      <w:r w:rsidR="008070ED">
        <w:rPr>
          <w:rFonts w:asciiTheme="minorHAnsi" w:hAnsiTheme="minorHAnsi" w:cstheme="minorHAnsi"/>
          <w:sz w:val="20"/>
          <w:szCs w:val="20"/>
        </w:rPr>
        <w:t xml:space="preserve"> </w:t>
      </w:r>
      <w:r w:rsidRPr="009005C7">
        <w:rPr>
          <w:rFonts w:asciiTheme="minorHAnsi" w:hAnsiTheme="minorHAnsi" w:cstheme="minorHAnsi"/>
          <w:sz w:val="20"/>
          <w:szCs w:val="20"/>
        </w:rPr>
        <w:t xml:space="preserve">billones de pesos) en el </w:t>
      </w:r>
      <w:r w:rsidR="009A3556">
        <w:rPr>
          <w:rFonts w:asciiTheme="minorHAnsi" w:hAnsiTheme="minorHAnsi" w:cstheme="minorHAnsi"/>
          <w:sz w:val="20"/>
          <w:szCs w:val="20"/>
        </w:rPr>
        <w:t xml:space="preserve">segundo </w:t>
      </w:r>
      <w:r w:rsidR="0070096A">
        <w:rPr>
          <w:rFonts w:asciiTheme="minorHAnsi" w:hAnsiTheme="minorHAnsi" w:cstheme="minorHAnsi"/>
          <w:sz w:val="20"/>
          <w:szCs w:val="20"/>
        </w:rPr>
        <w:t>trimestre de 20</w:t>
      </w:r>
      <w:r w:rsidR="00E20989">
        <w:rPr>
          <w:rFonts w:asciiTheme="minorHAnsi" w:hAnsiTheme="minorHAnsi" w:cstheme="minorHAnsi"/>
          <w:sz w:val="20"/>
          <w:szCs w:val="20"/>
        </w:rPr>
        <w:t>2</w:t>
      </w:r>
      <w:r w:rsidR="00290FA2">
        <w:rPr>
          <w:rFonts w:asciiTheme="minorHAnsi" w:hAnsiTheme="minorHAnsi" w:cstheme="minorHAnsi"/>
          <w:sz w:val="20"/>
          <w:szCs w:val="20"/>
        </w:rPr>
        <w:t>1</w:t>
      </w:r>
      <w:r w:rsidRPr="009005C7">
        <w:rPr>
          <w:rFonts w:asciiTheme="minorHAnsi" w:hAnsiTheme="minorHAnsi" w:cstheme="minorHAnsi"/>
          <w:sz w:val="20"/>
          <w:szCs w:val="20"/>
        </w:rPr>
        <w:t xml:space="preserve">, </w:t>
      </w:r>
      <w:r w:rsidR="001B43BE">
        <w:rPr>
          <w:rFonts w:asciiTheme="minorHAnsi" w:hAnsiTheme="minorHAnsi" w:cstheme="minorHAnsi"/>
          <w:sz w:val="20"/>
          <w:szCs w:val="20"/>
        </w:rPr>
        <w:t>presentando</w:t>
      </w:r>
      <w:r w:rsidRPr="009005C7">
        <w:rPr>
          <w:rFonts w:asciiTheme="minorHAnsi" w:hAnsiTheme="minorHAnsi" w:cstheme="minorHAnsi"/>
          <w:sz w:val="20"/>
          <w:szCs w:val="20"/>
        </w:rPr>
        <w:t xml:space="preserve"> un</w:t>
      </w:r>
      <w:r w:rsidR="008070ED">
        <w:rPr>
          <w:rFonts w:asciiTheme="minorHAnsi" w:hAnsiTheme="minorHAnsi" w:cstheme="minorHAnsi"/>
          <w:sz w:val="20"/>
          <w:szCs w:val="20"/>
        </w:rPr>
        <w:t xml:space="preserve"> </w:t>
      </w:r>
      <w:r w:rsidR="00E839B4">
        <w:rPr>
          <w:rFonts w:asciiTheme="minorHAnsi" w:hAnsiTheme="minorHAnsi" w:cstheme="minorHAnsi"/>
          <w:sz w:val="20"/>
          <w:szCs w:val="20"/>
        </w:rPr>
        <w:t xml:space="preserve">crecimiento </w:t>
      </w:r>
      <w:r w:rsidR="00414A41">
        <w:rPr>
          <w:rFonts w:asciiTheme="minorHAnsi" w:hAnsiTheme="minorHAnsi" w:cstheme="minorHAnsi"/>
          <w:sz w:val="20"/>
          <w:szCs w:val="20"/>
        </w:rPr>
        <w:t>d</w:t>
      </w:r>
      <w:r w:rsidRPr="009005C7">
        <w:rPr>
          <w:rFonts w:asciiTheme="minorHAnsi" w:hAnsiTheme="minorHAnsi" w:cstheme="minorHAnsi"/>
          <w:sz w:val="20"/>
          <w:szCs w:val="20"/>
        </w:rPr>
        <w:t xml:space="preserve">e </w:t>
      </w:r>
      <w:r w:rsidR="00E839B4">
        <w:rPr>
          <w:rFonts w:asciiTheme="minorHAnsi" w:hAnsiTheme="minorHAnsi" w:cstheme="minorHAnsi"/>
          <w:sz w:val="20"/>
          <w:szCs w:val="20"/>
        </w:rPr>
        <w:t>29.6</w:t>
      </w:r>
      <w:r w:rsidR="007602F7">
        <w:rPr>
          <w:rFonts w:asciiTheme="minorHAnsi" w:hAnsiTheme="minorHAnsi" w:cstheme="minorHAnsi"/>
          <w:sz w:val="20"/>
          <w:szCs w:val="20"/>
        </w:rPr>
        <w:t>%</w:t>
      </w:r>
      <w:r w:rsidRPr="009005C7">
        <w:rPr>
          <w:rFonts w:asciiTheme="minorHAnsi" w:hAnsiTheme="minorHAnsi" w:cstheme="minorHAnsi"/>
          <w:sz w:val="20"/>
          <w:szCs w:val="20"/>
        </w:rPr>
        <w:t xml:space="preserve"> co</w:t>
      </w:r>
      <w:r w:rsidR="0070096A">
        <w:rPr>
          <w:rFonts w:asciiTheme="minorHAnsi" w:hAnsiTheme="minorHAnsi" w:cstheme="minorHAnsi"/>
          <w:sz w:val="20"/>
          <w:szCs w:val="20"/>
        </w:rPr>
        <w:t>n relación a igual lapso de 20</w:t>
      </w:r>
      <w:r w:rsidR="00290FA2">
        <w:rPr>
          <w:rFonts w:asciiTheme="minorHAnsi" w:hAnsiTheme="minorHAnsi" w:cstheme="minorHAnsi"/>
          <w:sz w:val="20"/>
          <w:szCs w:val="20"/>
        </w:rPr>
        <w:t>20</w:t>
      </w:r>
      <w:r w:rsidR="002F0837">
        <w:rPr>
          <w:rFonts w:asciiTheme="minorHAnsi" w:hAnsiTheme="minorHAnsi" w:cstheme="minorHAnsi"/>
          <w:sz w:val="20"/>
          <w:szCs w:val="20"/>
        </w:rPr>
        <w:t xml:space="preserve">. </w:t>
      </w:r>
      <w:r w:rsidRPr="009005C7">
        <w:rPr>
          <w:rFonts w:asciiTheme="minorHAnsi" w:hAnsiTheme="minorHAnsi" w:cstheme="minorHAnsi"/>
          <w:sz w:val="20"/>
          <w:szCs w:val="20"/>
        </w:rPr>
        <w:t>Este resultado se originó de</w:t>
      </w:r>
      <w:r w:rsidR="00E839B4">
        <w:rPr>
          <w:rFonts w:asciiTheme="minorHAnsi" w:hAnsiTheme="minorHAnsi" w:cstheme="minorHAnsi"/>
          <w:sz w:val="20"/>
          <w:szCs w:val="20"/>
        </w:rPr>
        <w:t xml:space="preserve">l aumento </w:t>
      </w:r>
      <w:r w:rsidRPr="009005C7">
        <w:rPr>
          <w:rFonts w:asciiTheme="minorHAnsi" w:hAnsiTheme="minorHAnsi" w:cstheme="minorHAnsi"/>
          <w:sz w:val="20"/>
          <w:szCs w:val="20"/>
        </w:rPr>
        <w:t xml:space="preserve">de </w:t>
      </w:r>
      <w:r w:rsidR="00E839B4">
        <w:rPr>
          <w:rFonts w:asciiTheme="minorHAnsi" w:hAnsiTheme="minorHAnsi" w:cstheme="minorHAnsi"/>
          <w:sz w:val="20"/>
          <w:szCs w:val="20"/>
        </w:rPr>
        <w:t>19</w:t>
      </w:r>
      <w:r w:rsidR="008070ED">
        <w:rPr>
          <w:rFonts w:asciiTheme="minorHAnsi" w:hAnsiTheme="minorHAnsi" w:cstheme="minorHAnsi"/>
          <w:sz w:val="20"/>
          <w:szCs w:val="20"/>
        </w:rPr>
        <w:t>.6</w:t>
      </w:r>
      <w:r w:rsidRPr="005A2E90">
        <w:rPr>
          <w:rFonts w:asciiTheme="minorHAnsi" w:hAnsiTheme="minorHAnsi" w:cstheme="minorHAnsi"/>
          <w:sz w:val="20"/>
          <w:szCs w:val="20"/>
        </w:rPr>
        <w:t>%</w:t>
      </w:r>
      <w:r w:rsidRPr="009005C7">
        <w:rPr>
          <w:rFonts w:asciiTheme="minorHAnsi" w:hAnsiTheme="minorHAnsi" w:cstheme="minorHAnsi"/>
          <w:sz w:val="20"/>
          <w:szCs w:val="20"/>
        </w:rPr>
        <w:t xml:space="preserve"> del PIB real y de</w:t>
      </w:r>
      <w:r w:rsidR="008070ED">
        <w:rPr>
          <w:rFonts w:asciiTheme="minorHAnsi" w:hAnsiTheme="minorHAnsi" w:cstheme="minorHAnsi"/>
          <w:sz w:val="20"/>
          <w:szCs w:val="20"/>
        </w:rPr>
        <w:t xml:space="preserve">l incremento de </w:t>
      </w:r>
      <w:r w:rsidR="00F11DA3">
        <w:rPr>
          <w:rFonts w:asciiTheme="minorHAnsi" w:hAnsiTheme="minorHAnsi" w:cstheme="minorHAnsi"/>
          <w:sz w:val="20"/>
          <w:szCs w:val="20"/>
        </w:rPr>
        <w:t>8.4</w:t>
      </w:r>
      <w:r w:rsidR="009F2D71">
        <w:rPr>
          <w:rFonts w:asciiTheme="minorHAnsi" w:hAnsiTheme="minorHAnsi" w:cstheme="minorHAnsi"/>
          <w:sz w:val="20"/>
          <w:szCs w:val="20"/>
        </w:rPr>
        <w:t>%</w:t>
      </w:r>
      <w:r w:rsidRPr="009005C7">
        <w:rPr>
          <w:rFonts w:asciiTheme="minorHAnsi" w:hAnsiTheme="minorHAnsi" w:cstheme="minorHAnsi"/>
          <w:sz w:val="20"/>
          <w:szCs w:val="20"/>
        </w:rPr>
        <w:t xml:space="preserve"> del índice de precios implícitos del producto.</w:t>
      </w:r>
    </w:p>
    <w:p w14:paraId="00316C4F" w14:textId="77777777" w:rsidR="009005C7" w:rsidRPr="00C11533" w:rsidRDefault="009005C7" w:rsidP="00D108A6">
      <w:pPr>
        <w:pStyle w:val="p0"/>
        <w:keepNext/>
        <w:spacing w:before="120"/>
        <w:ind w:left="-142"/>
        <w:rPr>
          <w:b/>
          <w:i/>
          <w:color w:val="auto"/>
          <w:sz w:val="18"/>
          <w:szCs w:val="18"/>
        </w:rPr>
      </w:pPr>
      <w:r w:rsidRPr="00C11533">
        <w:rPr>
          <w:b/>
          <w:i/>
          <w:color w:val="auto"/>
          <w:sz w:val="18"/>
          <w:szCs w:val="18"/>
        </w:rPr>
        <w:t>Actividades Primarias</w:t>
      </w:r>
    </w:p>
    <w:p w14:paraId="0314CDF9" w14:textId="207957B8" w:rsidR="009005C7" w:rsidRDefault="009005C7" w:rsidP="00AA1FE5">
      <w:pPr>
        <w:pStyle w:val="Textoindependiente"/>
        <w:keepNext/>
        <w:keepLines/>
        <w:widowControl w:val="0"/>
        <w:spacing w:before="120" w:line="220" w:lineRule="exact"/>
        <w:ind w:left="-142"/>
        <w:rPr>
          <w:rFonts w:asciiTheme="minorHAnsi" w:hAnsiTheme="minorHAnsi" w:cstheme="minorHAnsi"/>
          <w:sz w:val="20"/>
          <w:szCs w:val="20"/>
        </w:rPr>
      </w:pPr>
      <w:r w:rsidRPr="009005C7">
        <w:rPr>
          <w:rFonts w:asciiTheme="minorHAnsi" w:hAnsiTheme="minorHAnsi" w:cstheme="minorHAnsi"/>
          <w:sz w:val="20"/>
          <w:szCs w:val="20"/>
        </w:rPr>
        <w:t xml:space="preserve">El sector Agricultura, </w:t>
      </w:r>
      <w:r w:rsidR="00081D0E">
        <w:rPr>
          <w:rFonts w:asciiTheme="minorHAnsi" w:hAnsiTheme="minorHAnsi" w:cstheme="minorHAnsi"/>
          <w:sz w:val="20"/>
          <w:szCs w:val="20"/>
        </w:rPr>
        <w:t xml:space="preserve">cría y explotación de animales, aprovechamiento forestal, </w:t>
      </w:r>
      <w:r w:rsidRPr="009005C7">
        <w:rPr>
          <w:rFonts w:asciiTheme="minorHAnsi" w:hAnsiTheme="minorHAnsi" w:cstheme="minorHAnsi"/>
          <w:sz w:val="20"/>
          <w:szCs w:val="20"/>
        </w:rPr>
        <w:t xml:space="preserve">pesca y caza generó </w:t>
      </w:r>
      <w:r w:rsidR="007461EC">
        <w:rPr>
          <w:rFonts w:asciiTheme="minorHAnsi" w:hAnsiTheme="minorHAnsi" w:cstheme="minorHAnsi"/>
          <w:sz w:val="20"/>
          <w:szCs w:val="20"/>
        </w:rPr>
        <w:t>1,022</w:t>
      </w:r>
      <w:r w:rsidR="001B4B4C">
        <w:rPr>
          <w:rFonts w:asciiTheme="minorHAnsi" w:hAnsiTheme="minorHAnsi" w:cstheme="minorHAnsi"/>
          <w:sz w:val="20"/>
          <w:szCs w:val="20"/>
        </w:rPr>
        <w:t>,4</w:t>
      </w:r>
      <w:r w:rsidR="007461EC">
        <w:rPr>
          <w:rFonts w:asciiTheme="minorHAnsi" w:hAnsiTheme="minorHAnsi" w:cstheme="minorHAnsi"/>
          <w:sz w:val="20"/>
          <w:szCs w:val="20"/>
        </w:rPr>
        <w:t>13</w:t>
      </w:r>
      <w:r w:rsidRPr="009005C7">
        <w:rPr>
          <w:rFonts w:asciiTheme="minorHAnsi" w:hAnsiTheme="minorHAnsi" w:cstheme="minorHAnsi"/>
          <w:sz w:val="20"/>
          <w:szCs w:val="20"/>
        </w:rPr>
        <w:t xml:space="preserve"> mp corr</w:t>
      </w:r>
      <w:r w:rsidR="00917A45">
        <w:rPr>
          <w:rFonts w:asciiTheme="minorHAnsi" w:hAnsiTheme="minorHAnsi" w:cstheme="minorHAnsi"/>
          <w:sz w:val="20"/>
          <w:szCs w:val="20"/>
        </w:rPr>
        <w:t xml:space="preserve">ientes, monto que </w:t>
      </w:r>
      <w:r w:rsidR="00D42019">
        <w:rPr>
          <w:rFonts w:asciiTheme="minorHAnsi" w:hAnsiTheme="minorHAnsi" w:cstheme="minorHAnsi"/>
          <w:sz w:val="20"/>
          <w:szCs w:val="20"/>
        </w:rPr>
        <w:t xml:space="preserve">significó </w:t>
      </w:r>
      <w:r w:rsidR="0062152C">
        <w:rPr>
          <w:rFonts w:asciiTheme="minorHAnsi" w:hAnsiTheme="minorHAnsi" w:cstheme="minorHAnsi"/>
          <w:sz w:val="20"/>
          <w:szCs w:val="20"/>
        </w:rPr>
        <w:t>4.2</w:t>
      </w:r>
      <w:r w:rsidR="00ED1B5C">
        <w:rPr>
          <w:rFonts w:asciiTheme="minorHAnsi" w:hAnsiTheme="minorHAnsi" w:cstheme="minorHAnsi"/>
          <w:sz w:val="20"/>
          <w:szCs w:val="20"/>
        </w:rPr>
        <w:t>%</w:t>
      </w:r>
      <w:r w:rsidRPr="009005C7">
        <w:rPr>
          <w:rFonts w:asciiTheme="minorHAnsi" w:hAnsiTheme="minorHAnsi" w:cstheme="minorHAnsi"/>
          <w:sz w:val="20"/>
          <w:szCs w:val="20"/>
        </w:rPr>
        <w:t xml:space="preserve"> del PIB Nominal a valores básicos</w:t>
      </w:r>
      <w:r w:rsidR="00236CBC">
        <w:rPr>
          <w:rFonts w:asciiTheme="minorHAnsi" w:hAnsiTheme="minorHAnsi" w:cstheme="minorHAnsi"/>
          <w:sz w:val="20"/>
          <w:szCs w:val="20"/>
        </w:rPr>
        <w:t xml:space="preserve"> en el </w:t>
      </w:r>
      <w:r w:rsidR="005A782B">
        <w:rPr>
          <w:rFonts w:asciiTheme="minorHAnsi" w:hAnsiTheme="minorHAnsi" w:cstheme="minorHAnsi"/>
          <w:sz w:val="20"/>
          <w:szCs w:val="20"/>
        </w:rPr>
        <w:t xml:space="preserve">periodo </w:t>
      </w:r>
      <w:r w:rsidR="00236CBC">
        <w:rPr>
          <w:rFonts w:asciiTheme="minorHAnsi" w:hAnsiTheme="minorHAnsi" w:cstheme="minorHAnsi"/>
          <w:sz w:val="20"/>
          <w:szCs w:val="20"/>
        </w:rPr>
        <w:t>en consideración</w:t>
      </w:r>
      <w:r w:rsidRPr="009005C7">
        <w:rPr>
          <w:rFonts w:asciiTheme="minorHAnsi" w:hAnsiTheme="minorHAnsi" w:cstheme="minorHAnsi"/>
          <w:sz w:val="20"/>
          <w:szCs w:val="20"/>
        </w:rPr>
        <w:t>.</w:t>
      </w:r>
    </w:p>
    <w:tbl>
      <w:tblPr>
        <w:tblStyle w:val="Tablaconcuadrcula"/>
        <w:tblW w:w="49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985"/>
      </w:tblGrid>
      <w:tr w:rsidR="00A96075" w:rsidRPr="004568E5" w14:paraId="6CA74BB8" w14:textId="77777777" w:rsidTr="00E26B16">
        <w:trPr>
          <w:jc w:val="center"/>
        </w:trPr>
        <w:tc>
          <w:tcPr>
            <w:tcW w:w="4985" w:type="dxa"/>
          </w:tcPr>
          <w:p w14:paraId="502E7092" w14:textId="7E857165" w:rsidR="009005C7" w:rsidRPr="00366112" w:rsidRDefault="00121C9A" w:rsidP="00D108A6">
            <w:pPr>
              <w:pStyle w:val="p0"/>
              <w:keepNext/>
              <w:widowControl/>
              <w:spacing w:before="240"/>
              <w:ind w:left="-142"/>
              <w:jc w:val="center"/>
              <w:rPr>
                <w:rFonts w:asciiTheme="minorHAnsi" w:hAnsiTheme="minorHAnsi" w:cstheme="minorHAnsi"/>
                <w:b/>
                <w:smallCaps/>
                <w:snapToGrid/>
                <w:color w:val="auto"/>
                <w:sz w:val="18"/>
                <w:szCs w:val="18"/>
                <w:lang w:eastAsia="es-MX"/>
              </w:rPr>
            </w:pPr>
            <w:r w:rsidRPr="00366112">
              <w:rPr>
                <w:rFonts w:asciiTheme="minorHAnsi" w:hAnsiTheme="minorHAnsi" w:cstheme="minorHAnsi"/>
                <w:b/>
                <w:smallCaps/>
                <w:snapToGrid/>
                <w:color w:val="auto"/>
                <w:sz w:val="18"/>
                <w:szCs w:val="18"/>
                <w:lang w:eastAsia="es-MX"/>
              </w:rPr>
              <w:t>Composición de las Actividades P</w:t>
            </w:r>
            <w:r w:rsidR="008E6BAB">
              <w:rPr>
                <w:rFonts w:asciiTheme="minorHAnsi" w:hAnsiTheme="minorHAnsi" w:cstheme="minorHAnsi"/>
                <w:b/>
                <w:smallCaps/>
                <w:snapToGrid/>
                <w:color w:val="auto"/>
                <w:sz w:val="18"/>
                <w:szCs w:val="18"/>
                <w:lang w:eastAsia="es-MX"/>
              </w:rPr>
              <w:t xml:space="preserve">rimarias </w:t>
            </w:r>
            <w:r w:rsidR="008E6BAB">
              <w:rPr>
                <w:rFonts w:asciiTheme="minorHAnsi" w:hAnsiTheme="minorHAnsi" w:cstheme="minorHAnsi"/>
                <w:b/>
                <w:smallCaps/>
                <w:snapToGrid/>
                <w:color w:val="auto"/>
                <w:sz w:val="18"/>
                <w:szCs w:val="18"/>
                <w:lang w:eastAsia="es-MX"/>
              </w:rPr>
              <w:br/>
              <w:t xml:space="preserve">en el </w:t>
            </w:r>
            <w:r w:rsidR="0062152C">
              <w:rPr>
                <w:rFonts w:asciiTheme="minorHAnsi" w:hAnsiTheme="minorHAnsi" w:cstheme="minorHAnsi"/>
                <w:b/>
                <w:smallCaps/>
                <w:snapToGrid/>
                <w:color w:val="auto"/>
                <w:sz w:val="18"/>
                <w:szCs w:val="18"/>
                <w:lang w:eastAsia="es-MX"/>
              </w:rPr>
              <w:t xml:space="preserve">segundo </w:t>
            </w:r>
            <w:r w:rsidR="008E6BAB">
              <w:rPr>
                <w:rFonts w:asciiTheme="minorHAnsi" w:hAnsiTheme="minorHAnsi" w:cstheme="minorHAnsi"/>
                <w:b/>
                <w:smallCaps/>
                <w:snapToGrid/>
                <w:color w:val="auto"/>
                <w:sz w:val="18"/>
                <w:szCs w:val="18"/>
                <w:lang w:eastAsia="es-MX"/>
              </w:rPr>
              <w:t>trime</w:t>
            </w:r>
            <w:r w:rsidR="0070096A">
              <w:rPr>
                <w:rFonts w:asciiTheme="minorHAnsi" w:hAnsiTheme="minorHAnsi" w:cstheme="minorHAnsi"/>
                <w:b/>
                <w:smallCaps/>
                <w:snapToGrid/>
                <w:color w:val="auto"/>
                <w:sz w:val="18"/>
                <w:szCs w:val="18"/>
                <w:lang w:eastAsia="es-MX"/>
              </w:rPr>
              <w:t>stre de 20</w:t>
            </w:r>
            <w:r w:rsidR="00C04976">
              <w:rPr>
                <w:rFonts w:asciiTheme="minorHAnsi" w:hAnsiTheme="minorHAnsi" w:cstheme="minorHAnsi"/>
                <w:b/>
                <w:smallCaps/>
                <w:snapToGrid/>
                <w:color w:val="auto"/>
                <w:sz w:val="18"/>
                <w:szCs w:val="18"/>
                <w:lang w:eastAsia="es-MX"/>
              </w:rPr>
              <w:t>2</w:t>
            </w:r>
            <w:r w:rsidR="00290FA2">
              <w:rPr>
                <w:rFonts w:asciiTheme="minorHAnsi" w:hAnsiTheme="minorHAnsi" w:cstheme="minorHAnsi"/>
                <w:b/>
                <w:smallCaps/>
                <w:snapToGrid/>
                <w:color w:val="auto"/>
                <w:sz w:val="18"/>
                <w:szCs w:val="18"/>
                <w:lang w:eastAsia="es-MX"/>
              </w:rPr>
              <w:t>1</w:t>
            </w:r>
            <w:r w:rsidR="00B71856" w:rsidRPr="008C5E01">
              <w:rPr>
                <w:rFonts w:asciiTheme="minorHAnsi" w:hAnsiTheme="minorHAnsi" w:cstheme="minorHAnsi"/>
                <w:b/>
                <w:smallCaps/>
                <w:snapToGrid/>
                <w:color w:val="auto"/>
                <w:sz w:val="18"/>
                <w:szCs w:val="18"/>
                <w:vertAlign w:val="superscript"/>
                <w:lang w:eastAsia="es-MX"/>
              </w:rPr>
              <w:t xml:space="preserve"> p/</w:t>
            </w:r>
          </w:p>
          <w:p w14:paraId="20A17236" w14:textId="77777777" w:rsidR="00A96075" w:rsidRPr="009005C7" w:rsidRDefault="009005C7" w:rsidP="00D108A6">
            <w:pPr>
              <w:pStyle w:val="Textoindependiente"/>
              <w:keepNext/>
              <w:keepLines/>
              <w:widowControl w:val="0"/>
              <w:spacing w:line="180" w:lineRule="exact"/>
              <w:ind w:left="-142"/>
              <w:jc w:val="center"/>
              <w:rPr>
                <w:rFonts w:asciiTheme="minorHAnsi" w:hAnsiTheme="minorHAnsi" w:cstheme="minorHAnsi"/>
                <w:b/>
                <w:smallCaps/>
                <w:sz w:val="20"/>
                <w:szCs w:val="20"/>
              </w:rPr>
            </w:pPr>
            <w:r w:rsidRPr="009005C7">
              <w:rPr>
                <w:rFonts w:asciiTheme="minorHAnsi" w:hAnsiTheme="minorHAnsi" w:cstheme="minorHAnsi"/>
                <w:sz w:val="16"/>
                <w:szCs w:val="18"/>
              </w:rPr>
              <w:t>(Millones de pesos a precios corrientes)</w:t>
            </w:r>
          </w:p>
        </w:tc>
      </w:tr>
      <w:tr w:rsidR="00A96075" w:rsidRPr="004D2613" w14:paraId="4348DFB3" w14:textId="77777777" w:rsidTr="003E3AF5">
        <w:tblPrEx>
          <w:tblCellMar>
            <w:left w:w="70" w:type="dxa"/>
            <w:right w:w="70" w:type="dxa"/>
          </w:tblCellMar>
        </w:tblPrEx>
        <w:trPr>
          <w:jc w:val="center"/>
        </w:trPr>
        <w:tc>
          <w:tcPr>
            <w:tcW w:w="4985" w:type="dxa"/>
          </w:tcPr>
          <w:p w14:paraId="6910C455" w14:textId="362A6067" w:rsidR="00A96075" w:rsidRPr="004D2613" w:rsidRDefault="003E3AF5" w:rsidP="00D108A6">
            <w:pPr>
              <w:ind w:left="-142"/>
              <w:jc w:val="center"/>
              <w:rPr>
                <w:rFonts w:cstheme="minorHAnsi"/>
              </w:rPr>
            </w:pPr>
            <w:r>
              <w:rPr>
                <w:noProof/>
              </w:rPr>
              <w:drawing>
                <wp:inline distT="0" distB="0" distL="0" distR="0" wp14:anchorId="12C11F5F" wp14:editId="15DD2BB9">
                  <wp:extent cx="3056400" cy="2178084"/>
                  <wp:effectExtent l="0" t="0" r="10795" b="12700"/>
                  <wp:docPr id="1" name="Gráfico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14:paraId="5BF160BA" w14:textId="0BB01421" w:rsidR="008C5E01" w:rsidRDefault="008C5E01" w:rsidP="004F590C">
      <w:pPr>
        <w:pStyle w:val="Textoindependiente"/>
        <w:spacing w:line="180" w:lineRule="exact"/>
        <w:ind w:left="568" w:hanging="556"/>
        <w:jc w:val="left"/>
        <w:rPr>
          <w:rFonts w:asciiTheme="minorHAnsi" w:hAnsiTheme="minorHAnsi" w:cstheme="minorHAnsi"/>
          <w:sz w:val="14"/>
          <w:szCs w:val="14"/>
        </w:rPr>
      </w:pPr>
      <w:r w:rsidRPr="00647679">
        <w:rPr>
          <w:rFonts w:asciiTheme="minorHAnsi" w:hAnsiTheme="minorHAnsi" w:cstheme="minorHAnsi"/>
          <w:sz w:val="14"/>
          <w:szCs w:val="14"/>
          <w:vertAlign w:val="superscript"/>
        </w:rPr>
        <w:t>P/</w:t>
      </w:r>
      <w:r>
        <w:rPr>
          <w:rFonts w:asciiTheme="minorHAnsi" w:hAnsiTheme="minorHAnsi" w:cstheme="minorHAnsi"/>
          <w:sz w:val="14"/>
          <w:szCs w:val="14"/>
        </w:rPr>
        <w:t xml:space="preserve"> </w:t>
      </w:r>
      <w:r w:rsidRPr="008C5E01">
        <w:rPr>
          <w:rFonts w:asciiTheme="minorHAnsi" w:hAnsiTheme="minorHAnsi" w:cstheme="minorHAnsi"/>
          <w:sz w:val="14"/>
          <w:szCs w:val="14"/>
        </w:rPr>
        <w:t>Cifras preliminares.</w:t>
      </w:r>
    </w:p>
    <w:p w14:paraId="5618A9F8" w14:textId="77777777" w:rsidR="00C11533" w:rsidRPr="00C11533" w:rsidRDefault="00C11533" w:rsidP="00D108A6">
      <w:pPr>
        <w:pStyle w:val="p0"/>
        <w:keepNext/>
        <w:spacing w:before="180"/>
        <w:ind w:left="-142"/>
        <w:rPr>
          <w:color w:val="auto"/>
          <w:sz w:val="18"/>
          <w:szCs w:val="18"/>
        </w:rPr>
      </w:pPr>
      <w:r w:rsidRPr="00C11533">
        <w:rPr>
          <w:b/>
          <w:i/>
          <w:color w:val="auto"/>
          <w:sz w:val="18"/>
          <w:szCs w:val="18"/>
        </w:rPr>
        <w:t>Actividades Secundarias</w:t>
      </w:r>
    </w:p>
    <w:p w14:paraId="0B3D663D" w14:textId="343AF3A4" w:rsidR="00C11533" w:rsidRPr="004B3CA6" w:rsidRDefault="00C11533" w:rsidP="00D108A6">
      <w:pPr>
        <w:pStyle w:val="Textoindependiente"/>
        <w:spacing w:before="120" w:line="220" w:lineRule="exact"/>
        <w:ind w:left="-142"/>
        <w:rPr>
          <w:rFonts w:asciiTheme="minorHAnsi" w:hAnsiTheme="minorHAnsi" w:cstheme="minorHAnsi"/>
          <w:sz w:val="20"/>
          <w:szCs w:val="20"/>
        </w:rPr>
      </w:pPr>
      <w:r w:rsidRPr="00C11533">
        <w:rPr>
          <w:rFonts w:asciiTheme="minorHAnsi" w:hAnsiTheme="minorHAnsi" w:cstheme="minorHAnsi"/>
          <w:sz w:val="20"/>
          <w:szCs w:val="20"/>
        </w:rPr>
        <w:t xml:space="preserve">En </w:t>
      </w:r>
      <w:r w:rsidR="002647FE">
        <w:rPr>
          <w:rFonts w:asciiTheme="minorHAnsi" w:hAnsiTheme="minorHAnsi" w:cstheme="minorHAnsi"/>
          <w:sz w:val="20"/>
          <w:szCs w:val="20"/>
        </w:rPr>
        <w:t xml:space="preserve">el </w:t>
      </w:r>
      <w:r w:rsidR="00236CBC">
        <w:rPr>
          <w:rFonts w:asciiTheme="minorHAnsi" w:hAnsiTheme="minorHAnsi" w:cstheme="minorHAnsi"/>
          <w:sz w:val="20"/>
          <w:szCs w:val="20"/>
        </w:rPr>
        <w:t xml:space="preserve">trimestre </w:t>
      </w:r>
      <w:r w:rsidR="0070096A">
        <w:rPr>
          <w:rFonts w:asciiTheme="minorHAnsi" w:hAnsiTheme="minorHAnsi" w:cstheme="minorHAnsi"/>
          <w:sz w:val="20"/>
          <w:szCs w:val="20"/>
        </w:rPr>
        <w:t>de referencia</w:t>
      </w:r>
      <w:r w:rsidR="00DA3AE4">
        <w:rPr>
          <w:rFonts w:asciiTheme="minorHAnsi" w:hAnsiTheme="minorHAnsi" w:cstheme="minorHAnsi"/>
          <w:sz w:val="20"/>
          <w:szCs w:val="20"/>
        </w:rPr>
        <w:t>,</w:t>
      </w:r>
      <w:r w:rsidRPr="00C11533">
        <w:rPr>
          <w:rFonts w:asciiTheme="minorHAnsi" w:hAnsiTheme="minorHAnsi" w:cstheme="minorHAnsi"/>
          <w:sz w:val="20"/>
          <w:szCs w:val="20"/>
        </w:rPr>
        <w:t xml:space="preserve"> el PIB Nominal de las Actividades Secundarias (Minería; </w:t>
      </w:r>
      <w:r w:rsidR="00081D0E">
        <w:rPr>
          <w:rFonts w:asciiTheme="minorHAnsi" w:hAnsiTheme="minorHAnsi" w:cstheme="minorHAnsi"/>
          <w:sz w:val="20"/>
          <w:szCs w:val="20"/>
        </w:rPr>
        <w:t>Generación, transmisión y distribución de energía elé</w:t>
      </w:r>
      <w:r w:rsidRPr="00C11533">
        <w:rPr>
          <w:rFonts w:asciiTheme="minorHAnsi" w:hAnsiTheme="minorHAnsi" w:cstheme="minorHAnsi"/>
          <w:sz w:val="20"/>
          <w:szCs w:val="20"/>
        </w:rPr>
        <w:t>ctric</w:t>
      </w:r>
      <w:r w:rsidR="00081D0E">
        <w:rPr>
          <w:rFonts w:asciiTheme="minorHAnsi" w:hAnsiTheme="minorHAnsi" w:cstheme="minorHAnsi"/>
          <w:sz w:val="20"/>
          <w:szCs w:val="20"/>
        </w:rPr>
        <w:t>a</w:t>
      </w:r>
      <w:r w:rsidRPr="00C11533">
        <w:rPr>
          <w:rFonts w:asciiTheme="minorHAnsi" w:hAnsiTheme="minorHAnsi" w:cstheme="minorHAnsi"/>
          <w:sz w:val="20"/>
          <w:szCs w:val="20"/>
        </w:rPr>
        <w:t xml:space="preserve">, </w:t>
      </w:r>
      <w:r w:rsidR="00081D0E">
        <w:rPr>
          <w:rFonts w:asciiTheme="minorHAnsi" w:hAnsiTheme="minorHAnsi" w:cstheme="minorHAnsi"/>
          <w:sz w:val="20"/>
          <w:szCs w:val="20"/>
        </w:rPr>
        <w:t xml:space="preserve">suministro de </w:t>
      </w:r>
      <w:r w:rsidRPr="00C11533">
        <w:rPr>
          <w:rFonts w:asciiTheme="minorHAnsi" w:hAnsiTheme="minorHAnsi" w:cstheme="minorHAnsi"/>
          <w:sz w:val="20"/>
          <w:szCs w:val="20"/>
        </w:rPr>
        <w:t>agua y</w:t>
      </w:r>
      <w:r w:rsidR="00081D0E">
        <w:rPr>
          <w:rFonts w:asciiTheme="minorHAnsi" w:hAnsiTheme="minorHAnsi" w:cstheme="minorHAnsi"/>
          <w:sz w:val="20"/>
          <w:szCs w:val="20"/>
        </w:rPr>
        <w:t xml:space="preserve"> de </w:t>
      </w:r>
      <w:r w:rsidRPr="00C11533">
        <w:rPr>
          <w:rFonts w:asciiTheme="minorHAnsi" w:hAnsiTheme="minorHAnsi" w:cstheme="minorHAnsi"/>
          <w:sz w:val="20"/>
          <w:szCs w:val="20"/>
        </w:rPr>
        <w:t xml:space="preserve">gas por ductos al consumidor final; Construcción, y las Industrias manufactureras) </w:t>
      </w:r>
      <w:r w:rsidR="00C07FC8">
        <w:rPr>
          <w:rFonts w:asciiTheme="minorHAnsi" w:hAnsiTheme="minorHAnsi" w:cstheme="minorHAnsi"/>
          <w:sz w:val="20"/>
          <w:szCs w:val="20"/>
        </w:rPr>
        <w:t>fue</w:t>
      </w:r>
      <w:r w:rsidRPr="00C11533">
        <w:rPr>
          <w:rFonts w:asciiTheme="minorHAnsi" w:hAnsiTheme="minorHAnsi" w:cstheme="minorHAnsi"/>
          <w:sz w:val="20"/>
          <w:szCs w:val="20"/>
        </w:rPr>
        <w:t xml:space="preserve"> de </w:t>
      </w:r>
      <w:r w:rsidR="009322C8">
        <w:rPr>
          <w:rFonts w:asciiTheme="minorHAnsi" w:hAnsiTheme="minorHAnsi" w:cstheme="minorHAnsi"/>
          <w:sz w:val="20"/>
          <w:szCs w:val="20"/>
        </w:rPr>
        <w:t>8</w:t>
      </w:r>
      <w:r w:rsidR="00917A45">
        <w:rPr>
          <w:rFonts w:asciiTheme="minorHAnsi" w:hAnsiTheme="minorHAnsi" w:cstheme="minorHAnsi"/>
          <w:sz w:val="20"/>
          <w:szCs w:val="20"/>
        </w:rPr>
        <w:t>,</w:t>
      </w:r>
      <w:r w:rsidR="009322C8">
        <w:rPr>
          <w:rFonts w:asciiTheme="minorHAnsi" w:hAnsiTheme="minorHAnsi" w:cstheme="minorHAnsi"/>
          <w:sz w:val="20"/>
          <w:szCs w:val="20"/>
        </w:rPr>
        <w:t>109</w:t>
      </w:r>
      <w:r w:rsidR="00917A45">
        <w:rPr>
          <w:rFonts w:asciiTheme="minorHAnsi" w:hAnsiTheme="minorHAnsi" w:cstheme="minorHAnsi"/>
          <w:sz w:val="20"/>
          <w:szCs w:val="20"/>
        </w:rPr>
        <w:t>,</w:t>
      </w:r>
      <w:r w:rsidR="009322C8">
        <w:rPr>
          <w:rFonts w:asciiTheme="minorHAnsi" w:hAnsiTheme="minorHAnsi" w:cstheme="minorHAnsi"/>
          <w:sz w:val="20"/>
          <w:szCs w:val="20"/>
        </w:rPr>
        <w:t>10</w:t>
      </w:r>
      <w:r w:rsidR="00A94237">
        <w:rPr>
          <w:rFonts w:asciiTheme="minorHAnsi" w:hAnsiTheme="minorHAnsi" w:cstheme="minorHAnsi"/>
          <w:sz w:val="20"/>
          <w:szCs w:val="20"/>
        </w:rPr>
        <w:t>5</w:t>
      </w:r>
      <w:r w:rsidR="00081D0E">
        <w:rPr>
          <w:rFonts w:asciiTheme="minorHAnsi" w:hAnsiTheme="minorHAnsi" w:cstheme="minorHAnsi"/>
          <w:sz w:val="20"/>
          <w:szCs w:val="20"/>
        </w:rPr>
        <w:t xml:space="preserve"> </w:t>
      </w:r>
      <w:r w:rsidRPr="00C11533">
        <w:rPr>
          <w:rFonts w:asciiTheme="minorHAnsi" w:hAnsiTheme="minorHAnsi" w:cstheme="minorHAnsi"/>
          <w:sz w:val="20"/>
          <w:szCs w:val="20"/>
        </w:rPr>
        <w:t xml:space="preserve">mp a precios corrientes, </w:t>
      </w:r>
      <w:r w:rsidR="00FF0084">
        <w:rPr>
          <w:rFonts w:asciiTheme="minorHAnsi" w:hAnsiTheme="minorHAnsi" w:cstheme="minorHAnsi"/>
          <w:sz w:val="20"/>
          <w:szCs w:val="20"/>
        </w:rPr>
        <w:t>alcanzando</w:t>
      </w:r>
      <w:r w:rsidRPr="00C11533">
        <w:rPr>
          <w:rFonts w:asciiTheme="minorHAnsi" w:hAnsiTheme="minorHAnsi" w:cstheme="minorHAnsi"/>
          <w:sz w:val="20"/>
          <w:szCs w:val="20"/>
        </w:rPr>
        <w:t xml:space="preserve"> </w:t>
      </w:r>
      <w:r w:rsidR="00A94237">
        <w:rPr>
          <w:rFonts w:asciiTheme="minorHAnsi" w:hAnsiTheme="minorHAnsi" w:cstheme="minorHAnsi"/>
          <w:sz w:val="20"/>
          <w:szCs w:val="20"/>
        </w:rPr>
        <w:t>3</w:t>
      </w:r>
      <w:r w:rsidR="009322C8">
        <w:rPr>
          <w:rFonts w:asciiTheme="minorHAnsi" w:hAnsiTheme="minorHAnsi" w:cstheme="minorHAnsi"/>
          <w:sz w:val="20"/>
          <w:szCs w:val="20"/>
        </w:rPr>
        <w:t>3.3</w:t>
      </w:r>
      <w:r w:rsidR="0033016D">
        <w:rPr>
          <w:rFonts w:asciiTheme="minorHAnsi" w:hAnsiTheme="minorHAnsi" w:cstheme="minorHAnsi"/>
          <w:sz w:val="20"/>
          <w:szCs w:val="20"/>
        </w:rPr>
        <w:t>% del PIB a valores básicos</w:t>
      </w:r>
      <w:r w:rsidRPr="00C11533">
        <w:rPr>
          <w:rFonts w:asciiTheme="minorHAnsi" w:hAnsiTheme="minorHAnsi" w:cstheme="minorHAnsi"/>
          <w:sz w:val="20"/>
          <w:szCs w:val="20"/>
        </w:rPr>
        <w:t>.</w:t>
      </w:r>
    </w:p>
    <w:p w14:paraId="4D87EF27" w14:textId="165698AD" w:rsidR="00C11533" w:rsidRDefault="00792B4E" w:rsidP="00D108A6">
      <w:pPr>
        <w:pStyle w:val="Textoindependiente"/>
        <w:spacing w:before="120" w:line="220" w:lineRule="exact"/>
        <w:ind w:left="-142"/>
        <w:rPr>
          <w:rFonts w:asciiTheme="minorHAnsi" w:hAnsiTheme="minorHAnsi" w:cstheme="minorHAnsi"/>
          <w:sz w:val="20"/>
          <w:szCs w:val="20"/>
        </w:rPr>
      </w:pPr>
      <w:r>
        <w:rPr>
          <w:rFonts w:asciiTheme="minorHAnsi" w:hAnsiTheme="minorHAnsi" w:cstheme="minorHAnsi"/>
          <w:sz w:val="20"/>
          <w:szCs w:val="20"/>
        </w:rPr>
        <w:t>Por componentes, el PIB de la</w:t>
      </w:r>
      <w:r w:rsidR="00C11533" w:rsidRPr="00C11533">
        <w:rPr>
          <w:rFonts w:asciiTheme="minorHAnsi" w:hAnsiTheme="minorHAnsi" w:cstheme="minorHAnsi"/>
          <w:sz w:val="20"/>
          <w:szCs w:val="20"/>
        </w:rPr>
        <w:t xml:space="preserve"> Minería </w:t>
      </w:r>
      <w:r w:rsidR="00F603C3">
        <w:rPr>
          <w:rFonts w:asciiTheme="minorHAnsi" w:hAnsiTheme="minorHAnsi" w:cstheme="minorHAnsi"/>
          <w:sz w:val="20"/>
          <w:szCs w:val="20"/>
        </w:rPr>
        <w:t>fue de</w:t>
      </w:r>
      <w:r w:rsidR="00A94237">
        <w:rPr>
          <w:rFonts w:asciiTheme="minorHAnsi" w:hAnsiTheme="minorHAnsi" w:cstheme="minorHAnsi"/>
          <w:sz w:val="20"/>
          <w:szCs w:val="20"/>
        </w:rPr>
        <w:t xml:space="preserve"> 1,</w:t>
      </w:r>
      <w:r w:rsidR="00672EF3">
        <w:rPr>
          <w:rFonts w:asciiTheme="minorHAnsi" w:hAnsiTheme="minorHAnsi" w:cstheme="minorHAnsi"/>
          <w:sz w:val="20"/>
          <w:szCs w:val="20"/>
        </w:rPr>
        <w:t>2</w:t>
      </w:r>
      <w:r w:rsidR="009322C8">
        <w:rPr>
          <w:rFonts w:asciiTheme="minorHAnsi" w:hAnsiTheme="minorHAnsi" w:cstheme="minorHAnsi"/>
          <w:sz w:val="20"/>
          <w:szCs w:val="20"/>
        </w:rPr>
        <w:t>89</w:t>
      </w:r>
      <w:r w:rsidR="00672EF3">
        <w:rPr>
          <w:rFonts w:asciiTheme="minorHAnsi" w:hAnsiTheme="minorHAnsi" w:cstheme="minorHAnsi"/>
          <w:sz w:val="20"/>
          <w:szCs w:val="20"/>
        </w:rPr>
        <w:t>,</w:t>
      </w:r>
      <w:r w:rsidR="009322C8">
        <w:rPr>
          <w:rFonts w:asciiTheme="minorHAnsi" w:hAnsiTheme="minorHAnsi" w:cstheme="minorHAnsi"/>
          <w:sz w:val="20"/>
          <w:szCs w:val="20"/>
        </w:rPr>
        <w:t>78</w:t>
      </w:r>
      <w:r w:rsidR="00A94237">
        <w:rPr>
          <w:rFonts w:asciiTheme="minorHAnsi" w:hAnsiTheme="minorHAnsi" w:cstheme="minorHAnsi"/>
          <w:sz w:val="20"/>
          <w:szCs w:val="20"/>
        </w:rPr>
        <w:t>9</w:t>
      </w:r>
      <w:r w:rsidR="00C11533" w:rsidRPr="00C11533">
        <w:rPr>
          <w:rFonts w:asciiTheme="minorHAnsi" w:hAnsiTheme="minorHAnsi" w:cstheme="minorHAnsi"/>
          <w:sz w:val="20"/>
          <w:szCs w:val="20"/>
        </w:rPr>
        <w:t xml:space="preserve"> mp, que equivale a </w:t>
      </w:r>
      <w:r w:rsidR="00A94237">
        <w:rPr>
          <w:rFonts w:asciiTheme="minorHAnsi" w:hAnsiTheme="minorHAnsi" w:cstheme="minorHAnsi"/>
          <w:sz w:val="20"/>
          <w:szCs w:val="20"/>
        </w:rPr>
        <w:t>5.3</w:t>
      </w:r>
      <w:r w:rsidR="0033016D">
        <w:rPr>
          <w:rFonts w:asciiTheme="minorHAnsi" w:hAnsiTheme="minorHAnsi" w:cstheme="minorHAnsi"/>
          <w:sz w:val="20"/>
          <w:szCs w:val="20"/>
        </w:rPr>
        <w:t>% del PIB</w:t>
      </w:r>
      <w:r>
        <w:rPr>
          <w:rFonts w:asciiTheme="minorHAnsi" w:hAnsiTheme="minorHAnsi" w:cstheme="minorHAnsi"/>
          <w:sz w:val="20"/>
          <w:szCs w:val="20"/>
        </w:rPr>
        <w:t xml:space="preserve">; el de la </w:t>
      </w:r>
      <w:r w:rsidR="00B7079E">
        <w:rPr>
          <w:rFonts w:asciiTheme="minorHAnsi" w:hAnsiTheme="minorHAnsi" w:cstheme="minorHAnsi"/>
          <w:sz w:val="20"/>
          <w:szCs w:val="20"/>
        </w:rPr>
        <w:t>Generación, transmisión y distribución de energía elé</w:t>
      </w:r>
      <w:r w:rsidR="00B7079E" w:rsidRPr="00C11533">
        <w:rPr>
          <w:rFonts w:asciiTheme="minorHAnsi" w:hAnsiTheme="minorHAnsi" w:cstheme="minorHAnsi"/>
          <w:sz w:val="20"/>
          <w:szCs w:val="20"/>
        </w:rPr>
        <w:t>ctric</w:t>
      </w:r>
      <w:r w:rsidR="00B7079E">
        <w:rPr>
          <w:rFonts w:asciiTheme="minorHAnsi" w:hAnsiTheme="minorHAnsi" w:cstheme="minorHAnsi"/>
          <w:sz w:val="20"/>
          <w:szCs w:val="20"/>
        </w:rPr>
        <w:t>a</w:t>
      </w:r>
      <w:r w:rsidR="00B7079E" w:rsidRPr="00C11533">
        <w:rPr>
          <w:rFonts w:asciiTheme="minorHAnsi" w:hAnsiTheme="minorHAnsi" w:cstheme="minorHAnsi"/>
          <w:sz w:val="20"/>
          <w:szCs w:val="20"/>
        </w:rPr>
        <w:t xml:space="preserve">, </w:t>
      </w:r>
      <w:r w:rsidR="00B7079E">
        <w:rPr>
          <w:rFonts w:asciiTheme="minorHAnsi" w:hAnsiTheme="minorHAnsi" w:cstheme="minorHAnsi"/>
          <w:sz w:val="20"/>
          <w:szCs w:val="20"/>
        </w:rPr>
        <w:t xml:space="preserve">suministro de </w:t>
      </w:r>
      <w:r w:rsidR="00B7079E" w:rsidRPr="00C11533">
        <w:rPr>
          <w:rFonts w:asciiTheme="minorHAnsi" w:hAnsiTheme="minorHAnsi" w:cstheme="minorHAnsi"/>
          <w:sz w:val="20"/>
          <w:szCs w:val="20"/>
        </w:rPr>
        <w:t>agua y</w:t>
      </w:r>
      <w:r w:rsidR="00B7079E">
        <w:rPr>
          <w:rFonts w:asciiTheme="minorHAnsi" w:hAnsiTheme="minorHAnsi" w:cstheme="minorHAnsi"/>
          <w:sz w:val="20"/>
          <w:szCs w:val="20"/>
        </w:rPr>
        <w:t xml:space="preserve"> de </w:t>
      </w:r>
      <w:r w:rsidR="00B7079E" w:rsidRPr="00C11533">
        <w:rPr>
          <w:rFonts w:asciiTheme="minorHAnsi" w:hAnsiTheme="minorHAnsi" w:cstheme="minorHAnsi"/>
          <w:sz w:val="20"/>
          <w:szCs w:val="20"/>
        </w:rPr>
        <w:t xml:space="preserve">gas por ductos al consumidor final </w:t>
      </w:r>
      <w:r w:rsidR="00C11533" w:rsidRPr="00C11533">
        <w:rPr>
          <w:rFonts w:asciiTheme="minorHAnsi" w:hAnsiTheme="minorHAnsi" w:cstheme="minorHAnsi"/>
          <w:sz w:val="20"/>
          <w:szCs w:val="20"/>
        </w:rPr>
        <w:t xml:space="preserve">se ubicó en </w:t>
      </w:r>
      <w:r w:rsidR="009322C8">
        <w:rPr>
          <w:rFonts w:asciiTheme="minorHAnsi" w:hAnsiTheme="minorHAnsi" w:cstheme="minorHAnsi"/>
          <w:sz w:val="20"/>
          <w:szCs w:val="20"/>
        </w:rPr>
        <w:t>516</w:t>
      </w:r>
      <w:r w:rsidR="00B730A1">
        <w:rPr>
          <w:rFonts w:asciiTheme="minorHAnsi" w:hAnsiTheme="minorHAnsi" w:cstheme="minorHAnsi"/>
          <w:sz w:val="20"/>
          <w:szCs w:val="20"/>
        </w:rPr>
        <w:t>,</w:t>
      </w:r>
      <w:r w:rsidR="00A94237">
        <w:rPr>
          <w:rFonts w:asciiTheme="minorHAnsi" w:hAnsiTheme="minorHAnsi" w:cstheme="minorHAnsi"/>
          <w:sz w:val="20"/>
          <w:szCs w:val="20"/>
        </w:rPr>
        <w:t>5</w:t>
      </w:r>
      <w:r w:rsidR="009322C8">
        <w:rPr>
          <w:rFonts w:asciiTheme="minorHAnsi" w:hAnsiTheme="minorHAnsi" w:cstheme="minorHAnsi"/>
          <w:sz w:val="20"/>
          <w:szCs w:val="20"/>
        </w:rPr>
        <w:t>2</w:t>
      </w:r>
      <w:r w:rsidR="002F43CD">
        <w:rPr>
          <w:rFonts w:asciiTheme="minorHAnsi" w:hAnsiTheme="minorHAnsi" w:cstheme="minorHAnsi"/>
          <w:sz w:val="20"/>
          <w:szCs w:val="20"/>
        </w:rPr>
        <w:t>0</w:t>
      </w:r>
      <w:r>
        <w:rPr>
          <w:rFonts w:asciiTheme="minorHAnsi" w:hAnsiTheme="minorHAnsi" w:cstheme="minorHAnsi"/>
          <w:sz w:val="20"/>
          <w:szCs w:val="20"/>
        </w:rPr>
        <w:t xml:space="preserve"> mp con </w:t>
      </w:r>
      <w:r w:rsidR="00703E04">
        <w:rPr>
          <w:rFonts w:asciiTheme="minorHAnsi" w:hAnsiTheme="minorHAnsi" w:cstheme="minorHAnsi"/>
          <w:sz w:val="20"/>
          <w:szCs w:val="20"/>
        </w:rPr>
        <w:t>2.</w:t>
      </w:r>
      <w:r w:rsidR="00A94237">
        <w:rPr>
          <w:rFonts w:asciiTheme="minorHAnsi" w:hAnsiTheme="minorHAnsi" w:cstheme="minorHAnsi"/>
          <w:sz w:val="20"/>
          <w:szCs w:val="20"/>
        </w:rPr>
        <w:t>1</w:t>
      </w:r>
      <w:r w:rsidR="00C11533" w:rsidRPr="00C11533">
        <w:rPr>
          <w:rFonts w:asciiTheme="minorHAnsi" w:hAnsiTheme="minorHAnsi" w:cstheme="minorHAnsi"/>
          <w:sz w:val="20"/>
          <w:szCs w:val="20"/>
        </w:rPr>
        <w:t>%</w:t>
      </w:r>
      <w:r>
        <w:rPr>
          <w:rFonts w:asciiTheme="minorHAnsi" w:hAnsiTheme="minorHAnsi" w:cstheme="minorHAnsi"/>
          <w:sz w:val="20"/>
          <w:szCs w:val="20"/>
        </w:rPr>
        <w:t>;</w:t>
      </w:r>
      <w:r w:rsidR="00C11533" w:rsidRPr="00C11533">
        <w:rPr>
          <w:rFonts w:asciiTheme="minorHAnsi" w:hAnsiTheme="minorHAnsi" w:cstheme="minorHAnsi"/>
          <w:sz w:val="20"/>
          <w:szCs w:val="20"/>
        </w:rPr>
        <w:t xml:space="preserve"> </w:t>
      </w:r>
      <w:r w:rsidR="0033016D">
        <w:rPr>
          <w:rFonts w:asciiTheme="minorHAnsi" w:hAnsiTheme="minorHAnsi" w:cstheme="minorHAnsi"/>
          <w:sz w:val="20"/>
          <w:szCs w:val="20"/>
        </w:rPr>
        <w:t>el PIB</w:t>
      </w:r>
      <w:r>
        <w:rPr>
          <w:rFonts w:asciiTheme="minorHAnsi" w:hAnsiTheme="minorHAnsi" w:cstheme="minorHAnsi"/>
          <w:sz w:val="20"/>
          <w:szCs w:val="20"/>
        </w:rPr>
        <w:t xml:space="preserve"> del sector Construcción </w:t>
      </w:r>
      <w:r w:rsidR="00710A21">
        <w:rPr>
          <w:rFonts w:asciiTheme="minorHAnsi" w:hAnsiTheme="minorHAnsi" w:cstheme="minorHAnsi"/>
          <w:sz w:val="20"/>
          <w:szCs w:val="20"/>
        </w:rPr>
        <w:t>logró</w:t>
      </w:r>
      <w:r w:rsidR="003968F9">
        <w:rPr>
          <w:rFonts w:asciiTheme="minorHAnsi" w:hAnsiTheme="minorHAnsi" w:cstheme="minorHAnsi"/>
          <w:sz w:val="20"/>
          <w:szCs w:val="20"/>
        </w:rPr>
        <w:t xml:space="preserve"> </w:t>
      </w:r>
      <w:r w:rsidR="00BC2582">
        <w:rPr>
          <w:rFonts w:asciiTheme="minorHAnsi" w:hAnsiTheme="minorHAnsi" w:cstheme="minorHAnsi"/>
          <w:sz w:val="20"/>
          <w:szCs w:val="20"/>
        </w:rPr>
        <w:t>1,</w:t>
      </w:r>
      <w:r w:rsidR="00A94237">
        <w:rPr>
          <w:rFonts w:asciiTheme="minorHAnsi" w:hAnsiTheme="minorHAnsi" w:cstheme="minorHAnsi"/>
          <w:sz w:val="20"/>
          <w:szCs w:val="20"/>
        </w:rPr>
        <w:t>7</w:t>
      </w:r>
      <w:r w:rsidR="009322C8">
        <w:rPr>
          <w:rFonts w:asciiTheme="minorHAnsi" w:hAnsiTheme="minorHAnsi" w:cstheme="minorHAnsi"/>
          <w:sz w:val="20"/>
          <w:szCs w:val="20"/>
        </w:rPr>
        <w:t>13</w:t>
      </w:r>
      <w:r w:rsidR="009B24AB">
        <w:rPr>
          <w:rFonts w:asciiTheme="minorHAnsi" w:hAnsiTheme="minorHAnsi" w:cstheme="minorHAnsi"/>
          <w:sz w:val="20"/>
          <w:szCs w:val="20"/>
        </w:rPr>
        <w:t>,</w:t>
      </w:r>
      <w:r w:rsidR="009322C8">
        <w:rPr>
          <w:rFonts w:asciiTheme="minorHAnsi" w:hAnsiTheme="minorHAnsi" w:cstheme="minorHAnsi"/>
          <w:sz w:val="20"/>
          <w:szCs w:val="20"/>
        </w:rPr>
        <w:t>3</w:t>
      </w:r>
      <w:r w:rsidR="00DE46D2">
        <w:rPr>
          <w:rFonts w:asciiTheme="minorHAnsi" w:hAnsiTheme="minorHAnsi" w:cstheme="minorHAnsi"/>
          <w:sz w:val="20"/>
          <w:szCs w:val="20"/>
        </w:rPr>
        <w:t>6</w:t>
      </w:r>
      <w:r w:rsidR="00A94237">
        <w:rPr>
          <w:rFonts w:asciiTheme="minorHAnsi" w:hAnsiTheme="minorHAnsi" w:cstheme="minorHAnsi"/>
          <w:sz w:val="20"/>
          <w:szCs w:val="20"/>
        </w:rPr>
        <w:t>3</w:t>
      </w:r>
      <w:r w:rsidR="00C11533" w:rsidRPr="00C11533">
        <w:rPr>
          <w:rFonts w:asciiTheme="minorHAnsi" w:hAnsiTheme="minorHAnsi" w:cstheme="minorHAnsi"/>
          <w:sz w:val="20"/>
          <w:szCs w:val="20"/>
        </w:rPr>
        <w:t xml:space="preserve"> mp </w:t>
      </w:r>
      <w:r w:rsidR="00B05E38">
        <w:rPr>
          <w:rFonts w:asciiTheme="minorHAnsi" w:hAnsiTheme="minorHAnsi" w:cstheme="minorHAnsi"/>
          <w:sz w:val="20"/>
          <w:szCs w:val="20"/>
        </w:rPr>
        <w:t xml:space="preserve">con </w:t>
      </w:r>
      <w:r w:rsidR="00A94237">
        <w:rPr>
          <w:rFonts w:asciiTheme="minorHAnsi" w:hAnsiTheme="minorHAnsi" w:cstheme="minorHAnsi"/>
          <w:sz w:val="20"/>
          <w:szCs w:val="20"/>
        </w:rPr>
        <w:t>7</w:t>
      </w:r>
      <w:r w:rsidR="00305AB5">
        <w:rPr>
          <w:rFonts w:asciiTheme="minorHAnsi" w:hAnsiTheme="minorHAnsi" w:cstheme="minorHAnsi"/>
          <w:sz w:val="20"/>
          <w:szCs w:val="20"/>
        </w:rPr>
        <w:t>.1</w:t>
      </w:r>
      <w:r w:rsidR="00C11533" w:rsidRPr="00C11533">
        <w:rPr>
          <w:rFonts w:asciiTheme="minorHAnsi" w:hAnsiTheme="minorHAnsi" w:cstheme="minorHAnsi"/>
          <w:sz w:val="20"/>
          <w:szCs w:val="20"/>
        </w:rPr>
        <w:t>%</w:t>
      </w:r>
      <w:r>
        <w:rPr>
          <w:rFonts w:asciiTheme="minorHAnsi" w:hAnsiTheme="minorHAnsi" w:cstheme="minorHAnsi"/>
          <w:sz w:val="20"/>
          <w:szCs w:val="20"/>
        </w:rPr>
        <w:t xml:space="preserve"> y el </w:t>
      </w:r>
      <w:r w:rsidR="00281D1F" w:rsidRPr="00C11533">
        <w:rPr>
          <w:rFonts w:asciiTheme="minorHAnsi" w:hAnsiTheme="minorHAnsi" w:cstheme="minorHAnsi"/>
          <w:sz w:val="20"/>
          <w:szCs w:val="20"/>
        </w:rPr>
        <w:t xml:space="preserve">PIB </w:t>
      </w:r>
      <w:r>
        <w:rPr>
          <w:rFonts w:asciiTheme="minorHAnsi" w:hAnsiTheme="minorHAnsi" w:cstheme="minorHAnsi"/>
          <w:sz w:val="20"/>
          <w:szCs w:val="20"/>
        </w:rPr>
        <w:t xml:space="preserve">de </w:t>
      </w:r>
      <w:r w:rsidR="00C11533" w:rsidRPr="00C11533">
        <w:rPr>
          <w:rFonts w:asciiTheme="minorHAnsi" w:hAnsiTheme="minorHAnsi" w:cstheme="minorHAnsi"/>
          <w:sz w:val="20"/>
          <w:szCs w:val="20"/>
        </w:rPr>
        <w:t xml:space="preserve">las Industrias manufactureras </w:t>
      </w:r>
      <w:r w:rsidR="009C6E9F">
        <w:rPr>
          <w:rFonts w:asciiTheme="minorHAnsi" w:hAnsiTheme="minorHAnsi" w:cstheme="minorHAnsi"/>
          <w:sz w:val="20"/>
          <w:szCs w:val="20"/>
        </w:rPr>
        <w:t>sumó</w:t>
      </w:r>
      <w:r w:rsidR="00C11533" w:rsidRPr="00C11533">
        <w:rPr>
          <w:rFonts w:asciiTheme="minorHAnsi" w:hAnsiTheme="minorHAnsi" w:cstheme="minorHAnsi"/>
          <w:sz w:val="20"/>
          <w:szCs w:val="20"/>
        </w:rPr>
        <w:t xml:space="preserve"> </w:t>
      </w:r>
      <w:r w:rsidR="006E19F0">
        <w:rPr>
          <w:rFonts w:asciiTheme="minorHAnsi" w:hAnsiTheme="minorHAnsi" w:cstheme="minorHAnsi"/>
          <w:sz w:val="20"/>
          <w:szCs w:val="20"/>
        </w:rPr>
        <w:t>4</w:t>
      </w:r>
      <w:r w:rsidR="00A5285E">
        <w:rPr>
          <w:rFonts w:asciiTheme="minorHAnsi" w:hAnsiTheme="minorHAnsi" w:cstheme="minorHAnsi"/>
          <w:sz w:val="20"/>
          <w:szCs w:val="20"/>
        </w:rPr>
        <w:t>,</w:t>
      </w:r>
      <w:r w:rsidR="009322C8">
        <w:rPr>
          <w:rFonts w:asciiTheme="minorHAnsi" w:hAnsiTheme="minorHAnsi" w:cstheme="minorHAnsi"/>
          <w:sz w:val="20"/>
          <w:szCs w:val="20"/>
        </w:rPr>
        <w:t>589</w:t>
      </w:r>
      <w:r w:rsidR="00A5285E">
        <w:rPr>
          <w:rFonts w:asciiTheme="minorHAnsi" w:hAnsiTheme="minorHAnsi" w:cstheme="minorHAnsi"/>
          <w:sz w:val="20"/>
          <w:szCs w:val="20"/>
        </w:rPr>
        <w:t>,</w:t>
      </w:r>
      <w:r w:rsidR="00DE46D2">
        <w:rPr>
          <w:rFonts w:asciiTheme="minorHAnsi" w:hAnsiTheme="minorHAnsi" w:cstheme="minorHAnsi"/>
          <w:sz w:val="20"/>
          <w:szCs w:val="20"/>
        </w:rPr>
        <w:t>4</w:t>
      </w:r>
      <w:r w:rsidR="00A94237">
        <w:rPr>
          <w:rFonts w:asciiTheme="minorHAnsi" w:hAnsiTheme="minorHAnsi" w:cstheme="minorHAnsi"/>
          <w:sz w:val="20"/>
          <w:szCs w:val="20"/>
        </w:rPr>
        <w:t>3</w:t>
      </w:r>
      <w:r w:rsidR="009322C8">
        <w:rPr>
          <w:rFonts w:asciiTheme="minorHAnsi" w:hAnsiTheme="minorHAnsi" w:cstheme="minorHAnsi"/>
          <w:sz w:val="20"/>
          <w:szCs w:val="20"/>
        </w:rPr>
        <w:t>3</w:t>
      </w:r>
      <w:r w:rsidR="00BB4072">
        <w:rPr>
          <w:rFonts w:asciiTheme="minorHAnsi" w:hAnsiTheme="minorHAnsi" w:cstheme="minorHAnsi"/>
          <w:sz w:val="20"/>
          <w:szCs w:val="20"/>
        </w:rPr>
        <w:t xml:space="preserve"> </w:t>
      </w:r>
      <w:r w:rsidR="00C11533" w:rsidRPr="00C11533">
        <w:rPr>
          <w:rFonts w:asciiTheme="minorHAnsi" w:hAnsiTheme="minorHAnsi" w:cstheme="minorHAnsi"/>
          <w:sz w:val="20"/>
          <w:szCs w:val="20"/>
        </w:rPr>
        <w:t xml:space="preserve">mp </w:t>
      </w:r>
      <w:r w:rsidR="00D1507C">
        <w:rPr>
          <w:rFonts w:asciiTheme="minorHAnsi" w:hAnsiTheme="minorHAnsi" w:cstheme="minorHAnsi"/>
          <w:sz w:val="20"/>
          <w:szCs w:val="20"/>
        </w:rPr>
        <w:t xml:space="preserve">que </w:t>
      </w:r>
      <w:r w:rsidR="00C82AA3">
        <w:rPr>
          <w:rFonts w:asciiTheme="minorHAnsi" w:hAnsiTheme="minorHAnsi" w:cstheme="minorHAnsi"/>
          <w:sz w:val="20"/>
          <w:szCs w:val="20"/>
        </w:rPr>
        <w:t xml:space="preserve">representó </w:t>
      </w:r>
      <w:r w:rsidR="00A94237">
        <w:rPr>
          <w:rFonts w:asciiTheme="minorHAnsi" w:hAnsiTheme="minorHAnsi" w:cstheme="minorHAnsi"/>
          <w:sz w:val="20"/>
          <w:szCs w:val="20"/>
        </w:rPr>
        <w:t>1</w:t>
      </w:r>
      <w:r w:rsidR="009322C8">
        <w:rPr>
          <w:rFonts w:asciiTheme="minorHAnsi" w:hAnsiTheme="minorHAnsi" w:cstheme="minorHAnsi"/>
          <w:sz w:val="20"/>
          <w:szCs w:val="20"/>
        </w:rPr>
        <w:t>8.8</w:t>
      </w:r>
      <w:r w:rsidR="00C11533" w:rsidRPr="00C11533">
        <w:rPr>
          <w:rFonts w:asciiTheme="minorHAnsi" w:hAnsiTheme="minorHAnsi" w:cstheme="minorHAnsi"/>
          <w:sz w:val="20"/>
          <w:szCs w:val="20"/>
        </w:rPr>
        <w:t>% del producto de la economía</w:t>
      </w:r>
      <w:r w:rsidR="0033016D">
        <w:rPr>
          <w:rFonts w:asciiTheme="minorHAnsi" w:hAnsiTheme="minorHAnsi" w:cstheme="minorHAnsi"/>
          <w:sz w:val="20"/>
          <w:szCs w:val="20"/>
        </w:rPr>
        <w:t xml:space="preserve"> a valores básicos</w:t>
      </w:r>
      <w:r w:rsidR="00C11533" w:rsidRPr="00C11533">
        <w:rPr>
          <w:rFonts w:asciiTheme="minorHAnsi" w:hAnsiTheme="minorHAnsi" w:cstheme="minorHAnsi"/>
          <w:sz w:val="20"/>
          <w:szCs w:val="20"/>
        </w:rPr>
        <w:t xml:space="preserve"> en el </w:t>
      </w:r>
      <w:r w:rsidR="009322C8">
        <w:rPr>
          <w:rFonts w:asciiTheme="minorHAnsi" w:hAnsiTheme="minorHAnsi" w:cstheme="minorHAnsi"/>
          <w:sz w:val="20"/>
          <w:szCs w:val="20"/>
        </w:rPr>
        <w:t>segundo</w:t>
      </w:r>
      <w:r w:rsidR="002E2215">
        <w:rPr>
          <w:rFonts w:asciiTheme="minorHAnsi" w:hAnsiTheme="minorHAnsi" w:cstheme="minorHAnsi"/>
          <w:sz w:val="20"/>
          <w:szCs w:val="20"/>
        </w:rPr>
        <w:t xml:space="preserve"> </w:t>
      </w:r>
      <w:r w:rsidR="00917628">
        <w:rPr>
          <w:rFonts w:asciiTheme="minorHAnsi" w:hAnsiTheme="minorHAnsi" w:cstheme="minorHAnsi"/>
          <w:sz w:val="20"/>
          <w:szCs w:val="20"/>
        </w:rPr>
        <w:t>t</w:t>
      </w:r>
      <w:r w:rsidR="00C11533" w:rsidRPr="00C11533">
        <w:rPr>
          <w:rFonts w:asciiTheme="minorHAnsi" w:hAnsiTheme="minorHAnsi" w:cstheme="minorHAnsi"/>
          <w:sz w:val="20"/>
          <w:szCs w:val="20"/>
        </w:rPr>
        <w:t xml:space="preserve">rimestre </w:t>
      </w:r>
      <w:r w:rsidR="00DA3AE4">
        <w:rPr>
          <w:rFonts w:asciiTheme="minorHAnsi" w:hAnsiTheme="minorHAnsi" w:cstheme="minorHAnsi"/>
          <w:sz w:val="20"/>
          <w:szCs w:val="20"/>
        </w:rPr>
        <w:t>de</w:t>
      </w:r>
      <w:r w:rsidR="00917628">
        <w:rPr>
          <w:rFonts w:asciiTheme="minorHAnsi" w:hAnsiTheme="minorHAnsi" w:cstheme="minorHAnsi"/>
          <w:sz w:val="20"/>
          <w:szCs w:val="20"/>
        </w:rPr>
        <w:t xml:space="preserve">l </w:t>
      </w:r>
      <w:r w:rsidR="002E2215">
        <w:rPr>
          <w:rFonts w:asciiTheme="minorHAnsi" w:hAnsiTheme="minorHAnsi" w:cstheme="minorHAnsi"/>
          <w:sz w:val="20"/>
          <w:szCs w:val="20"/>
        </w:rPr>
        <w:t xml:space="preserve">presente </w:t>
      </w:r>
      <w:r w:rsidR="00582356">
        <w:rPr>
          <w:rFonts w:asciiTheme="minorHAnsi" w:hAnsiTheme="minorHAnsi" w:cstheme="minorHAnsi"/>
          <w:sz w:val="20"/>
          <w:szCs w:val="20"/>
        </w:rPr>
        <w:t>año.</w:t>
      </w:r>
    </w:p>
    <w:tbl>
      <w:tblPr>
        <w:tblStyle w:val="Tablaconcuadrcula"/>
        <w:tblW w:w="5029" w:type="dxa"/>
        <w:tblInd w:w="-2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29"/>
      </w:tblGrid>
      <w:tr w:rsidR="0045458E" w:rsidRPr="004568E5" w14:paraId="1170D98A" w14:textId="77777777" w:rsidTr="00F31A8D">
        <w:tc>
          <w:tcPr>
            <w:tcW w:w="5029" w:type="dxa"/>
          </w:tcPr>
          <w:p w14:paraId="72EE7F76" w14:textId="3722456E" w:rsidR="00C11533" w:rsidRPr="00366112" w:rsidRDefault="00C34CC5" w:rsidP="00B77D83">
            <w:pPr>
              <w:pStyle w:val="p0"/>
              <w:keepNext/>
              <w:widowControl/>
              <w:spacing w:before="0"/>
              <w:jc w:val="center"/>
              <w:rPr>
                <w:b/>
                <w:smallCaps/>
                <w:color w:val="auto"/>
                <w:sz w:val="18"/>
                <w:szCs w:val="18"/>
              </w:rPr>
            </w:pPr>
            <w:r w:rsidRPr="00366112">
              <w:rPr>
                <w:rFonts w:asciiTheme="minorHAnsi" w:hAnsiTheme="minorHAnsi" w:cstheme="minorHAnsi"/>
                <w:b/>
                <w:smallCaps/>
                <w:snapToGrid/>
                <w:color w:val="auto"/>
                <w:sz w:val="18"/>
                <w:szCs w:val="18"/>
                <w:lang w:eastAsia="es-MX"/>
              </w:rPr>
              <w:t>Composición de las Actividades S</w:t>
            </w:r>
            <w:r w:rsidR="00C11533" w:rsidRPr="00366112">
              <w:rPr>
                <w:rFonts w:asciiTheme="minorHAnsi" w:hAnsiTheme="minorHAnsi" w:cstheme="minorHAnsi"/>
                <w:b/>
                <w:smallCaps/>
                <w:snapToGrid/>
                <w:color w:val="auto"/>
                <w:sz w:val="18"/>
                <w:szCs w:val="18"/>
                <w:lang w:eastAsia="es-MX"/>
              </w:rPr>
              <w:t xml:space="preserve">ecundarias </w:t>
            </w:r>
            <w:r w:rsidR="00C11533" w:rsidRPr="00366112">
              <w:rPr>
                <w:rFonts w:asciiTheme="minorHAnsi" w:hAnsiTheme="minorHAnsi" w:cstheme="minorHAnsi"/>
                <w:b/>
                <w:smallCaps/>
                <w:snapToGrid/>
                <w:color w:val="auto"/>
                <w:sz w:val="18"/>
                <w:szCs w:val="18"/>
                <w:lang w:eastAsia="es-MX"/>
              </w:rPr>
              <w:br/>
              <w:t>en el</w:t>
            </w:r>
            <w:r w:rsidR="00230F9A">
              <w:rPr>
                <w:rFonts w:asciiTheme="minorHAnsi" w:hAnsiTheme="minorHAnsi" w:cstheme="minorHAnsi"/>
                <w:b/>
                <w:smallCaps/>
                <w:snapToGrid/>
                <w:color w:val="auto"/>
                <w:sz w:val="18"/>
                <w:szCs w:val="18"/>
                <w:lang w:eastAsia="es-MX"/>
              </w:rPr>
              <w:t xml:space="preserve"> </w:t>
            </w:r>
            <w:r w:rsidR="00334D92">
              <w:rPr>
                <w:rFonts w:asciiTheme="minorHAnsi" w:hAnsiTheme="minorHAnsi" w:cstheme="minorHAnsi"/>
                <w:b/>
                <w:smallCaps/>
                <w:snapToGrid/>
                <w:color w:val="auto"/>
                <w:sz w:val="18"/>
                <w:szCs w:val="18"/>
                <w:lang w:eastAsia="es-MX"/>
              </w:rPr>
              <w:t xml:space="preserve">segundo </w:t>
            </w:r>
            <w:r w:rsidR="00CE1D82">
              <w:rPr>
                <w:rFonts w:asciiTheme="minorHAnsi" w:hAnsiTheme="minorHAnsi" w:cstheme="minorHAnsi"/>
                <w:b/>
                <w:smallCaps/>
                <w:snapToGrid/>
                <w:color w:val="auto"/>
                <w:sz w:val="18"/>
                <w:szCs w:val="18"/>
                <w:lang w:eastAsia="es-MX"/>
              </w:rPr>
              <w:t>t</w:t>
            </w:r>
            <w:r w:rsidR="00C11533" w:rsidRPr="00366112">
              <w:rPr>
                <w:rFonts w:asciiTheme="minorHAnsi" w:hAnsiTheme="minorHAnsi" w:cstheme="minorHAnsi"/>
                <w:b/>
                <w:smallCaps/>
                <w:snapToGrid/>
                <w:color w:val="auto"/>
                <w:sz w:val="18"/>
                <w:szCs w:val="18"/>
                <w:lang w:eastAsia="es-MX"/>
              </w:rPr>
              <w:t>rimestre de 20</w:t>
            </w:r>
            <w:r w:rsidR="008D16E0">
              <w:rPr>
                <w:rFonts w:asciiTheme="minorHAnsi" w:hAnsiTheme="minorHAnsi" w:cstheme="minorHAnsi"/>
                <w:b/>
                <w:smallCaps/>
                <w:snapToGrid/>
                <w:color w:val="auto"/>
                <w:sz w:val="18"/>
                <w:szCs w:val="18"/>
                <w:lang w:eastAsia="es-MX"/>
              </w:rPr>
              <w:t>2</w:t>
            </w:r>
            <w:r w:rsidR="00EC458F">
              <w:rPr>
                <w:rFonts w:asciiTheme="minorHAnsi" w:hAnsiTheme="minorHAnsi" w:cstheme="minorHAnsi"/>
                <w:b/>
                <w:smallCaps/>
                <w:snapToGrid/>
                <w:color w:val="auto"/>
                <w:sz w:val="18"/>
                <w:szCs w:val="18"/>
                <w:lang w:eastAsia="es-MX"/>
              </w:rPr>
              <w:t>1</w:t>
            </w:r>
            <w:r w:rsidR="00B71856" w:rsidRPr="008C5E01">
              <w:rPr>
                <w:rFonts w:asciiTheme="minorHAnsi" w:hAnsiTheme="minorHAnsi" w:cstheme="minorHAnsi"/>
                <w:b/>
                <w:smallCaps/>
                <w:snapToGrid/>
                <w:color w:val="auto"/>
                <w:sz w:val="18"/>
                <w:szCs w:val="18"/>
                <w:vertAlign w:val="superscript"/>
                <w:lang w:eastAsia="es-MX"/>
              </w:rPr>
              <w:t>p/</w:t>
            </w:r>
          </w:p>
          <w:p w14:paraId="429CB8F8" w14:textId="77777777" w:rsidR="00C11533" w:rsidRPr="004568E5" w:rsidRDefault="00C11533" w:rsidP="00B77D83">
            <w:pPr>
              <w:pStyle w:val="Textoindependiente"/>
              <w:keepNext/>
              <w:keepLines/>
              <w:widowControl w:val="0"/>
              <w:jc w:val="center"/>
              <w:rPr>
                <w:rFonts w:asciiTheme="minorHAnsi" w:hAnsiTheme="minorHAnsi" w:cstheme="minorHAnsi"/>
                <w:sz w:val="18"/>
                <w:szCs w:val="18"/>
              </w:rPr>
            </w:pPr>
            <w:r w:rsidRPr="00C11533">
              <w:rPr>
                <w:rFonts w:asciiTheme="minorHAnsi" w:hAnsiTheme="minorHAnsi" w:cstheme="minorHAnsi"/>
                <w:sz w:val="16"/>
                <w:szCs w:val="18"/>
              </w:rPr>
              <w:t>(Millones de pesos a precios corrientes)</w:t>
            </w:r>
          </w:p>
        </w:tc>
      </w:tr>
      <w:tr w:rsidR="0045458E" w:rsidRPr="004D2613" w14:paraId="53547206" w14:textId="77777777" w:rsidTr="00334D92">
        <w:tblPrEx>
          <w:tblCellMar>
            <w:left w:w="70" w:type="dxa"/>
            <w:right w:w="70" w:type="dxa"/>
          </w:tblCellMar>
        </w:tblPrEx>
        <w:tc>
          <w:tcPr>
            <w:tcW w:w="5029" w:type="dxa"/>
          </w:tcPr>
          <w:p w14:paraId="315635A3" w14:textId="18399584" w:rsidR="003F2F6F" w:rsidRPr="004D2613" w:rsidRDefault="00334D92" w:rsidP="008F7842">
            <w:pPr>
              <w:jc w:val="both"/>
              <w:rPr>
                <w:rFonts w:cstheme="minorHAnsi"/>
              </w:rPr>
            </w:pPr>
            <w:r>
              <w:rPr>
                <w:noProof/>
              </w:rPr>
              <w:drawing>
                <wp:inline distT="0" distB="0" distL="0" distR="0" wp14:anchorId="7429AA36" wp14:editId="68A5B92A">
                  <wp:extent cx="2969895" cy="2149200"/>
                  <wp:effectExtent l="0" t="0" r="20955" b="22860"/>
                  <wp:docPr id="5" name="Gráfico 5">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r w:rsidR="003F2F6F" w:rsidRPr="00A50449" w14:paraId="0E1D8EE7" w14:textId="77777777" w:rsidTr="006F1E31">
        <w:tblPrEx>
          <w:tblCellMar>
            <w:left w:w="70" w:type="dxa"/>
            <w:right w:w="70" w:type="dxa"/>
          </w:tblCellMar>
        </w:tblPrEx>
        <w:tc>
          <w:tcPr>
            <w:tcW w:w="5029" w:type="dxa"/>
          </w:tcPr>
          <w:p w14:paraId="69A738C7" w14:textId="3046295F" w:rsidR="008C5E01" w:rsidRPr="006E5148" w:rsidRDefault="008C5E01" w:rsidP="00205D20">
            <w:pPr>
              <w:pStyle w:val="Textoindependiente"/>
              <w:spacing w:line="180" w:lineRule="exact"/>
              <w:ind w:left="568" w:hanging="556"/>
              <w:jc w:val="left"/>
              <w:rPr>
                <w:rFonts w:asciiTheme="minorHAnsi" w:hAnsiTheme="minorHAnsi" w:cstheme="minorHAnsi"/>
                <w:sz w:val="14"/>
                <w:szCs w:val="14"/>
              </w:rPr>
            </w:pPr>
            <w:r w:rsidRPr="006E5148">
              <w:rPr>
                <w:rFonts w:asciiTheme="minorHAnsi" w:hAnsiTheme="minorHAnsi" w:cstheme="minorHAnsi"/>
                <w:sz w:val="14"/>
                <w:szCs w:val="14"/>
                <w:vertAlign w:val="superscript"/>
              </w:rPr>
              <w:t xml:space="preserve">P/ </w:t>
            </w:r>
            <w:r w:rsidRPr="006E5148">
              <w:rPr>
                <w:rFonts w:asciiTheme="minorHAnsi" w:hAnsiTheme="minorHAnsi" w:cstheme="minorHAnsi"/>
                <w:sz w:val="14"/>
                <w:szCs w:val="14"/>
              </w:rPr>
              <w:t>Cifras preliminares.</w:t>
            </w:r>
          </w:p>
          <w:p w14:paraId="4F3A1A03" w14:textId="50967EDB" w:rsidR="00121C9A" w:rsidRDefault="00121C9A" w:rsidP="00555174">
            <w:pPr>
              <w:pStyle w:val="Textoindependiente"/>
              <w:spacing w:before="120" w:line="220" w:lineRule="exact"/>
              <w:rPr>
                <w:rFonts w:asciiTheme="minorHAnsi" w:hAnsiTheme="minorHAnsi" w:cstheme="minorHAnsi"/>
                <w:sz w:val="20"/>
              </w:rPr>
            </w:pPr>
            <w:r w:rsidRPr="00C11533">
              <w:rPr>
                <w:rFonts w:asciiTheme="minorHAnsi" w:hAnsiTheme="minorHAnsi" w:cstheme="minorHAnsi"/>
                <w:sz w:val="20"/>
                <w:szCs w:val="20"/>
              </w:rPr>
              <w:t xml:space="preserve">Al interior de </w:t>
            </w:r>
            <w:r w:rsidR="00281D1F">
              <w:rPr>
                <w:rFonts w:asciiTheme="minorHAnsi" w:hAnsiTheme="minorHAnsi" w:cstheme="minorHAnsi"/>
                <w:sz w:val="20"/>
                <w:szCs w:val="20"/>
              </w:rPr>
              <w:t>la</w:t>
            </w:r>
            <w:r w:rsidR="007B0AB4">
              <w:rPr>
                <w:rFonts w:asciiTheme="minorHAnsi" w:hAnsiTheme="minorHAnsi" w:cstheme="minorHAnsi"/>
                <w:sz w:val="20"/>
                <w:szCs w:val="20"/>
              </w:rPr>
              <w:t>s</w:t>
            </w:r>
            <w:r w:rsidR="006D4653">
              <w:rPr>
                <w:rFonts w:asciiTheme="minorHAnsi" w:hAnsiTheme="minorHAnsi" w:cstheme="minorHAnsi"/>
                <w:sz w:val="20"/>
                <w:szCs w:val="20"/>
              </w:rPr>
              <w:t xml:space="preserve"> Industrias m</w:t>
            </w:r>
            <w:r w:rsidR="00281D1F">
              <w:rPr>
                <w:rFonts w:asciiTheme="minorHAnsi" w:hAnsiTheme="minorHAnsi" w:cstheme="minorHAnsi"/>
                <w:sz w:val="20"/>
                <w:szCs w:val="20"/>
              </w:rPr>
              <w:t>anufactureras</w:t>
            </w:r>
            <w:r w:rsidR="007C66A5">
              <w:rPr>
                <w:rFonts w:asciiTheme="minorHAnsi" w:hAnsiTheme="minorHAnsi" w:cstheme="minorHAnsi"/>
                <w:sz w:val="20"/>
                <w:szCs w:val="20"/>
              </w:rPr>
              <w:t>,</w:t>
            </w:r>
            <w:r w:rsidR="00281D1F">
              <w:rPr>
                <w:rFonts w:asciiTheme="minorHAnsi" w:hAnsiTheme="minorHAnsi" w:cstheme="minorHAnsi"/>
                <w:sz w:val="20"/>
                <w:szCs w:val="20"/>
              </w:rPr>
              <w:t xml:space="preserve"> sobresalió</w:t>
            </w:r>
            <w:r>
              <w:rPr>
                <w:rFonts w:asciiTheme="minorHAnsi" w:hAnsiTheme="minorHAnsi" w:cstheme="minorHAnsi"/>
                <w:sz w:val="20"/>
                <w:szCs w:val="20"/>
              </w:rPr>
              <w:t xml:space="preserve"> la participación </w:t>
            </w:r>
            <w:r w:rsidR="00D142E1">
              <w:rPr>
                <w:rFonts w:asciiTheme="minorHAnsi" w:hAnsiTheme="minorHAnsi" w:cstheme="minorHAnsi"/>
                <w:sz w:val="20"/>
                <w:szCs w:val="20"/>
              </w:rPr>
              <w:t xml:space="preserve">de </w:t>
            </w:r>
            <w:r w:rsidR="002A053C">
              <w:rPr>
                <w:rFonts w:asciiTheme="minorHAnsi" w:hAnsiTheme="minorHAnsi" w:cstheme="minorHAnsi"/>
                <w:sz w:val="20"/>
                <w:szCs w:val="20"/>
              </w:rPr>
              <w:t>la</w:t>
            </w:r>
            <w:r w:rsidR="002A053C" w:rsidRPr="00C11533">
              <w:rPr>
                <w:rFonts w:asciiTheme="minorHAnsi" w:hAnsiTheme="minorHAnsi" w:cstheme="minorHAnsi"/>
                <w:sz w:val="20"/>
                <w:szCs w:val="20"/>
              </w:rPr>
              <w:t xml:space="preserve"> Industria alimentaria </w:t>
            </w:r>
            <w:r w:rsidR="002A053C">
              <w:rPr>
                <w:rFonts w:asciiTheme="minorHAnsi" w:hAnsiTheme="minorHAnsi" w:cstheme="minorHAnsi"/>
                <w:sz w:val="20"/>
                <w:szCs w:val="20"/>
              </w:rPr>
              <w:t>y de la Fabricación de equipo de transporte con el 4</w:t>
            </w:r>
            <w:r w:rsidR="00334D92">
              <w:rPr>
                <w:rFonts w:asciiTheme="minorHAnsi" w:hAnsiTheme="minorHAnsi" w:cstheme="minorHAnsi"/>
                <w:sz w:val="20"/>
                <w:szCs w:val="20"/>
              </w:rPr>
              <w:t>1.4</w:t>
            </w:r>
            <w:r w:rsidR="002A053C">
              <w:rPr>
                <w:rFonts w:asciiTheme="minorHAnsi" w:hAnsiTheme="minorHAnsi" w:cstheme="minorHAnsi"/>
                <w:sz w:val="20"/>
                <w:szCs w:val="20"/>
              </w:rPr>
              <w:t xml:space="preserve">% </w:t>
            </w:r>
            <w:r>
              <w:rPr>
                <w:rFonts w:asciiTheme="minorHAnsi" w:hAnsiTheme="minorHAnsi" w:cstheme="minorHAnsi"/>
                <w:sz w:val="20"/>
                <w:szCs w:val="20"/>
              </w:rPr>
              <w:t>de manera conjunta.</w:t>
            </w:r>
          </w:p>
          <w:p w14:paraId="0304B844" w14:textId="36FA84E0" w:rsidR="00121C9A" w:rsidRPr="00366112" w:rsidRDefault="00121C9A" w:rsidP="00555174">
            <w:pPr>
              <w:pStyle w:val="p0"/>
              <w:keepNext/>
              <w:widowControl/>
              <w:spacing w:before="120"/>
              <w:jc w:val="center"/>
              <w:rPr>
                <w:b/>
                <w:smallCaps/>
                <w:color w:val="auto"/>
                <w:sz w:val="18"/>
                <w:szCs w:val="18"/>
              </w:rPr>
            </w:pPr>
            <w:r w:rsidRPr="00366112">
              <w:rPr>
                <w:rFonts w:asciiTheme="minorHAnsi" w:hAnsiTheme="minorHAnsi" w:cstheme="minorHAnsi"/>
                <w:b/>
                <w:smallCaps/>
                <w:snapToGrid/>
                <w:color w:val="auto"/>
                <w:sz w:val="18"/>
                <w:szCs w:val="18"/>
                <w:lang w:eastAsia="es-MX"/>
              </w:rPr>
              <w:t xml:space="preserve">Composición de las actividades manufactureras </w:t>
            </w:r>
            <w:r w:rsidRPr="00366112">
              <w:rPr>
                <w:rFonts w:asciiTheme="minorHAnsi" w:hAnsiTheme="minorHAnsi" w:cstheme="minorHAnsi"/>
                <w:b/>
                <w:smallCaps/>
                <w:snapToGrid/>
                <w:color w:val="auto"/>
                <w:sz w:val="18"/>
                <w:szCs w:val="18"/>
                <w:lang w:eastAsia="es-MX"/>
              </w:rPr>
              <w:br/>
              <w:t xml:space="preserve">en el </w:t>
            </w:r>
            <w:r w:rsidR="003F2780">
              <w:rPr>
                <w:rFonts w:asciiTheme="minorHAnsi" w:hAnsiTheme="minorHAnsi" w:cstheme="minorHAnsi"/>
                <w:b/>
                <w:smallCaps/>
                <w:snapToGrid/>
                <w:color w:val="auto"/>
                <w:sz w:val="18"/>
                <w:szCs w:val="18"/>
                <w:lang w:eastAsia="es-MX"/>
              </w:rPr>
              <w:t xml:space="preserve">segundo </w:t>
            </w:r>
            <w:r w:rsidR="008401C4">
              <w:rPr>
                <w:rFonts w:asciiTheme="minorHAnsi" w:hAnsiTheme="minorHAnsi" w:cstheme="minorHAnsi"/>
                <w:b/>
                <w:smallCaps/>
                <w:snapToGrid/>
                <w:color w:val="auto"/>
                <w:sz w:val="18"/>
                <w:szCs w:val="18"/>
                <w:lang w:eastAsia="es-MX"/>
              </w:rPr>
              <w:t>t</w:t>
            </w:r>
            <w:r w:rsidRPr="00366112">
              <w:rPr>
                <w:rFonts w:asciiTheme="minorHAnsi" w:hAnsiTheme="minorHAnsi" w:cstheme="minorHAnsi"/>
                <w:b/>
                <w:smallCaps/>
                <w:snapToGrid/>
                <w:color w:val="auto"/>
                <w:sz w:val="18"/>
                <w:szCs w:val="18"/>
                <w:lang w:eastAsia="es-MX"/>
              </w:rPr>
              <w:t>rimestre de 20</w:t>
            </w:r>
            <w:r w:rsidR="00532909">
              <w:rPr>
                <w:rFonts w:asciiTheme="minorHAnsi" w:hAnsiTheme="minorHAnsi" w:cstheme="minorHAnsi"/>
                <w:b/>
                <w:smallCaps/>
                <w:snapToGrid/>
                <w:color w:val="auto"/>
                <w:sz w:val="18"/>
                <w:szCs w:val="18"/>
                <w:lang w:eastAsia="es-MX"/>
              </w:rPr>
              <w:t>2</w:t>
            </w:r>
            <w:r w:rsidR="00EC458F">
              <w:rPr>
                <w:rFonts w:asciiTheme="minorHAnsi" w:hAnsiTheme="minorHAnsi" w:cstheme="minorHAnsi"/>
                <w:b/>
                <w:smallCaps/>
                <w:snapToGrid/>
                <w:color w:val="auto"/>
                <w:sz w:val="18"/>
                <w:szCs w:val="18"/>
                <w:lang w:eastAsia="es-MX"/>
              </w:rPr>
              <w:t>1</w:t>
            </w:r>
            <w:r w:rsidR="00B71856" w:rsidRPr="008C5E01">
              <w:rPr>
                <w:rFonts w:asciiTheme="minorHAnsi" w:hAnsiTheme="minorHAnsi" w:cstheme="minorHAnsi"/>
                <w:b/>
                <w:smallCaps/>
                <w:snapToGrid/>
                <w:color w:val="auto"/>
                <w:sz w:val="18"/>
                <w:szCs w:val="18"/>
                <w:vertAlign w:val="superscript"/>
                <w:lang w:eastAsia="es-MX"/>
              </w:rPr>
              <w:t xml:space="preserve"> p/</w:t>
            </w:r>
          </w:p>
          <w:p w14:paraId="671DADA4" w14:textId="77777777" w:rsidR="00121C9A" w:rsidRDefault="00121C9A" w:rsidP="00121C9A">
            <w:pPr>
              <w:pStyle w:val="Textoindependiente"/>
              <w:keepNext/>
              <w:keepLines/>
              <w:widowControl w:val="0"/>
              <w:spacing w:line="180" w:lineRule="exact"/>
              <w:jc w:val="center"/>
              <w:rPr>
                <w:rFonts w:asciiTheme="minorHAnsi" w:hAnsiTheme="minorHAnsi" w:cstheme="minorHAnsi"/>
                <w:sz w:val="16"/>
                <w:szCs w:val="18"/>
              </w:rPr>
            </w:pPr>
            <w:r w:rsidRPr="00C11533">
              <w:rPr>
                <w:rFonts w:asciiTheme="minorHAnsi" w:hAnsiTheme="minorHAnsi" w:cstheme="minorHAnsi"/>
                <w:sz w:val="16"/>
                <w:szCs w:val="18"/>
              </w:rPr>
              <w:t>(</w:t>
            </w:r>
            <w:r>
              <w:rPr>
                <w:rFonts w:asciiTheme="minorHAnsi" w:hAnsiTheme="minorHAnsi" w:cstheme="minorHAnsi"/>
                <w:sz w:val="16"/>
                <w:szCs w:val="18"/>
              </w:rPr>
              <w:t>Estructura porcentual)</w:t>
            </w:r>
          </w:p>
          <w:p w14:paraId="789B5B79" w14:textId="2D6D8B86" w:rsidR="00121C9A" w:rsidRDefault="00FC2FC7" w:rsidP="00121C9A">
            <w:pPr>
              <w:pStyle w:val="p0"/>
              <w:keepNext/>
              <w:spacing w:before="0"/>
              <w:rPr>
                <w:b/>
                <w:i/>
                <w:color w:val="auto"/>
                <w:sz w:val="18"/>
                <w:szCs w:val="18"/>
              </w:rPr>
            </w:pPr>
            <w:r>
              <w:rPr>
                <w:noProof/>
              </w:rPr>
              <w:drawing>
                <wp:inline distT="0" distB="0" distL="0" distR="0" wp14:anchorId="5E8E60EE" wp14:editId="206DE7D2">
                  <wp:extent cx="2969895" cy="2127600"/>
                  <wp:effectExtent l="0" t="0" r="20955" b="25400"/>
                  <wp:docPr id="7" name="Gráfico 7">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B111B34" w14:textId="77777777" w:rsidR="00C34CC5" w:rsidRDefault="00C55F88" w:rsidP="00271058">
            <w:pPr>
              <w:pStyle w:val="Textoindependiente"/>
              <w:spacing w:line="180" w:lineRule="exact"/>
              <w:ind w:left="568" w:hanging="556"/>
              <w:jc w:val="left"/>
              <w:rPr>
                <w:rFonts w:asciiTheme="minorHAnsi" w:hAnsiTheme="minorHAnsi" w:cstheme="minorHAnsi"/>
                <w:sz w:val="14"/>
                <w:szCs w:val="14"/>
              </w:rPr>
            </w:pPr>
            <w:r>
              <w:rPr>
                <w:rFonts w:asciiTheme="minorHAnsi" w:hAnsiTheme="minorHAnsi" w:cstheme="minorHAnsi"/>
                <w:sz w:val="14"/>
                <w:szCs w:val="14"/>
              </w:rPr>
              <w:t xml:space="preserve"> </w:t>
            </w:r>
            <w:r w:rsidR="00C34CC5" w:rsidRPr="00C34CC5">
              <w:rPr>
                <w:rFonts w:asciiTheme="minorHAnsi" w:hAnsiTheme="minorHAnsi" w:cstheme="minorHAnsi"/>
                <w:sz w:val="14"/>
                <w:szCs w:val="14"/>
              </w:rPr>
              <w:t>*</w:t>
            </w:r>
            <w:r w:rsidR="00C07FC8">
              <w:rPr>
                <w:rFonts w:asciiTheme="minorHAnsi" w:hAnsiTheme="minorHAnsi" w:cstheme="minorHAnsi"/>
                <w:sz w:val="14"/>
                <w:szCs w:val="14"/>
              </w:rPr>
              <w:t xml:space="preserve"> </w:t>
            </w:r>
            <w:r w:rsidR="00C34CC5" w:rsidRPr="00C34CC5">
              <w:rPr>
                <w:rFonts w:asciiTheme="minorHAnsi" w:hAnsiTheme="minorHAnsi" w:cstheme="minorHAnsi"/>
                <w:sz w:val="14"/>
                <w:szCs w:val="14"/>
              </w:rPr>
              <w:t>y de otros equipos, componentes y accesorios electrónicos.</w:t>
            </w:r>
          </w:p>
          <w:p w14:paraId="5A4D899C" w14:textId="77777777" w:rsidR="008C5E01" w:rsidRPr="00271058" w:rsidRDefault="00C55F88" w:rsidP="00271058">
            <w:pPr>
              <w:pStyle w:val="Textoindependiente"/>
              <w:spacing w:line="180" w:lineRule="exact"/>
              <w:ind w:left="568" w:hanging="556"/>
              <w:jc w:val="left"/>
              <w:rPr>
                <w:rFonts w:asciiTheme="minorHAnsi" w:hAnsiTheme="minorHAnsi" w:cstheme="minorHAnsi"/>
                <w:sz w:val="14"/>
                <w:szCs w:val="14"/>
              </w:rPr>
            </w:pPr>
            <w:r w:rsidRPr="00271058">
              <w:rPr>
                <w:rFonts w:asciiTheme="minorHAnsi" w:hAnsiTheme="minorHAnsi" w:cstheme="minorHAnsi"/>
                <w:sz w:val="14"/>
                <w:szCs w:val="14"/>
              </w:rPr>
              <w:t xml:space="preserve">  </w:t>
            </w:r>
            <w:r w:rsidR="008C5E01" w:rsidRPr="00271058">
              <w:rPr>
                <w:rFonts w:asciiTheme="minorHAnsi" w:hAnsiTheme="minorHAnsi" w:cstheme="minorHAnsi"/>
                <w:sz w:val="14"/>
                <w:szCs w:val="14"/>
              </w:rPr>
              <w:t>P/</w:t>
            </w:r>
            <w:r w:rsidR="008C5E01">
              <w:rPr>
                <w:rFonts w:asciiTheme="minorHAnsi" w:hAnsiTheme="minorHAnsi" w:cstheme="minorHAnsi"/>
                <w:sz w:val="14"/>
                <w:szCs w:val="14"/>
              </w:rPr>
              <w:t xml:space="preserve"> Cifras preliminares.</w:t>
            </w:r>
          </w:p>
          <w:p w14:paraId="6BA4F8EA" w14:textId="77777777" w:rsidR="00C11533" w:rsidRDefault="00C11533" w:rsidP="004E18FA">
            <w:pPr>
              <w:pStyle w:val="p0"/>
              <w:keepNext/>
              <w:spacing w:before="120"/>
              <w:rPr>
                <w:rFonts w:asciiTheme="minorHAnsi" w:hAnsiTheme="minorHAnsi" w:cstheme="minorHAnsi"/>
                <w:sz w:val="20"/>
              </w:rPr>
            </w:pPr>
            <w:r w:rsidRPr="00C11533">
              <w:rPr>
                <w:b/>
                <w:i/>
                <w:color w:val="auto"/>
                <w:sz w:val="18"/>
                <w:szCs w:val="18"/>
              </w:rPr>
              <w:t>Actividades Terciarias</w:t>
            </w:r>
          </w:p>
          <w:p w14:paraId="32EE21A5" w14:textId="7D5920DE" w:rsidR="00C11533" w:rsidRDefault="00C11533" w:rsidP="00080FAD">
            <w:pPr>
              <w:pStyle w:val="Textoindependiente"/>
              <w:spacing w:before="120" w:line="220" w:lineRule="exact"/>
              <w:ind w:firstLine="4"/>
              <w:rPr>
                <w:rFonts w:asciiTheme="minorHAnsi" w:hAnsiTheme="minorHAnsi" w:cstheme="minorHAnsi"/>
                <w:sz w:val="20"/>
                <w:szCs w:val="20"/>
              </w:rPr>
            </w:pPr>
            <w:r w:rsidRPr="00C11533">
              <w:rPr>
                <w:rFonts w:asciiTheme="minorHAnsi" w:hAnsiTheme="minorHAnsi" w:cstheme="minorHAnsi"/>
                <w:sz w:val="20"/>
                <w:szCs w:val="20"/>
              </w:rPr>
              <w:t>Por</w:t>
            </w:r>
            <w:r w:rsidR="00052C8B">
              <w:rPr>
                <w:rFonts w:asciiTheme="minorHAnsi" w:hAnsiTheme="minorHAnsi" w:cstheme="minorHAnsi"/>
                <w:sz w:val="20"/>
                <w:szCs w:val="20"/>
              </w:rPr>
              <w:t xml:space="preserve"> lo que respecta al PIB Nominal </w:t>
            </w:r>
            <w:r w:rsidR="0099041E">
              <w:rPr>
                <w:rFonts w:asciiTheme="minorHAnsi" w:hAnsiTheme="minorHAnsi" w:cstheme="minorHAnsi"/>
                <w:sz w:val="20"/>
                <w:szCs w:val="20"/>
              </w:rPr>
              <w:t xml:space="preserve">de los </w:t>
            </w:r>
            <w:r w:rsidR="0099041E" w:rsidRPr="00C11533">
              <w:rPr>
                <w:rFonts w:asciiTheme="minorHAnsi" w:hAnsiTheme="minorHAnsi" w:cstheme="minorHAnsi"/>
                <w:sz w:val="20"/>
                <w:szCs w:val="20"/>
              </w:rPr>
              <w:t>Servicios</w:t>
            </w:r>
            <w:r w:rsidR="0099041E">
              <w:rPr>
                <w:rFonts w:asciiTheme="minorHAnsi" w:hAnsiTheme="minorHAnsi" w:cstheme="minorHAnsi"/>
                <w:sz w:val="20"/>
                <w:szCs w:val="20"/>
              </w:rPr>
              <w:t xml:space="preserve"> </w:t>
            </w:r>
            <w:r w:rsidR="0099041E" w:rsidRPr="00C11533">
              <w:rPr>
                <w:rFonts w:asciiTheme="minorHAnsi" w:hAnsiTheme="minorHAnsi" w:cstheme="minorHAnsi"/>
                <w:sz w:val="20"/>
                <w:szCs w:val="20"/>
              </w:rPr>
              <w:t>inmobiliarios y de alquiler de</w:t>
            </w:r>
            <w:r w:rsidR="0099041E">
              <w:rPr>
                <w:rFonts w:asciiTheme="minorHAnsi" w:hAnsiTheme="minorHAnsi" w:cstheme="minorHAnsi"/>
                <w:sz w:val="20"/>
                <w:szCs w:val="20"/>
              </w:rPr>
              <w:t xml:space="preserve"> </w:t>
            </w:r>
            <w:r w:rsidR="0099041E" w:rsidRPr="00C11533">
              <w:rPr>
                <w:rFonts w:asciiTheme="minorHAnsi" w:hAnsiTheme="minorHAnsi" w:cstheme="minorHAnsi"/>
                <w:sz w:val="20"/>
                <w:szCs w:val="20"/>
              </w:rPr>
              <w:t>bienes muebles</w:t>
            </w:r>
            <w:r w:rsidR="0099041E">
              <w:rPr>
                <w:rFonts w:asciiTheme="minorHAnsi" w:hAnsiTheme="minorHAnsi" w:cstheme="minorHAnsi"/>
                <w:sz w:val="20"/>
                <w:szCs w:val="20"/>
              </w:rPr>
              <w:t xml:space="preserve"> </w:t>
            </w:r>
            <w:r w:rsidR="0099041E" w:rsidRPr="00C11533">
              <w:rPr>
                <w:rFonts w:asciiTheme="minorHAnsi" w:hAnsiTheme="minorHAnsi" w:cstheme="minorHAnsi"/>
                <w:sz w:val="20"/>
                <w:szCs w:val="20"/>
              </w:rPr>
              <w:t>e</w:t>
            </w:r>
            <w:r w:rsidR="0099041E">
              <w:rPr>
                <w:rFonts w:asciiTheme="minorHAnsi" w:hAnsiTheme="minorHAnsi" w:cstheme="minorHAnsi"/>
                <w:sz w:val="20"/>
                <w:szCs w:val="20"/>
              </w:rPr>
              <w:t xml:space="preserve"> </w:t>
            </w:r>
            <w:r w:rsidR="0099041E" w:rsidRPr="00C11533">
              <w:rPr>
                <w:rFonts w:asciiTheme="minorHAnsi" w:hAnsiTheme="minorHAnsi" w:cstheme="minorHAnsi"/>
                <w:sz w:val="20"/>
                <w:szCs w:val="20"/>
              </w:rPr>
              <w:t>intangibles</w:t>
            </w:r>
            <w:r w:rsidR="0099041E">
              <w:rPr>
                <w:rFonts w:asciiTheme="minorHAnsi" w:hAnsiTheme="minorHAnsi" w:cstheme="minorHAnsi"/>
                <w:sz w:val="20"/>
                <w:szCs w:val="20"/>
              </w:rPr>
              <w:t xml:space="preserve">, </w:t>
            </w:r>
            <w:r w:rsidR="00300049">
              <w:rPr>
                <w:rFonts w:asciiTheme="minorHAnsi" w:hAnsiTheme="minorHAnsi" w:cstheme="minorHAnsi"/>
                <w:sz w:val="20"/>
                <w:szCs w:val="20"/>
              </w:rPr>
              <w:t>é</w:t>
            </w:r>
            <w:r w:rsidR="0099041E">
              <w:rPr>
                <w:rFonts w:asciiTheme="minorHAnsi" w:hAnsiTheme="minorHAnsi" w:cstheme="minorHAnsi"/>
                <w:sz w:val="20"/>
                <w:szCs w:val="20"/>
              </w:rPr>
              <w:t>ste fue de</w:t>
            </w:r>
            <w:r w:rsidR="00EC5C3F">
              <w:rPr>
                <w:rFonts w:asciiTheme="minorHAnsi" w:hAnsiTheme="minorHAnsi" w:cstheme="minorHAnsi"/>
                <w:sz w:val="20"/>
                <w:szCs w:val="20"/>
              </w:rPr>
              <w:t xml:space="preserve"> 2,</w:t>
            </w:r>
            <w:r w:rsidR="00FC2FC7">
              <w:rPr>
                <w:rFonts w:asciiTheme="minorHAnsi" w:hAnsiTheme="minorHAnsi" w:cstheme="minorHAnsi"/>
                <w:sz w:val="20"/>
                <w:szCs w:val="20"/>
              </w:rPr>
              <w:t>551</w:t>
            </w:r>
            <w:r w:rsidR="00EC5C3F">
              <w:rPr>
                <w:rFonts w:asciiTheme="minorHAnsi" w:hAnsiTheme="minorHAnsi" w:cstheme="minorHAnsi"/>
                <w:sz w:val="20"/>
                <w:szCs w:val="20"/>
              </w:rPr>
              <w:t>,</w:t>
            </w:r>
            <w:r w:rsidR="00FC2FC7">
              <w:rPr>
                <w:rFonts w:asciiTheme="minorHAnsi" w:hAnsiTheme="minorHAnsi" w:cstheme="minorHAnsi"/>
                <w:sz w:val="20"/>
                <w:szCs w:val="20"/>
              </w:rPr>
              <w:t>037</w:t>
            </w:r>
            <w:r w:rsidR="00EC5C3F">
              <w:rPr>
                <w:rFonts w:asciiTheme="minorHAnsi" w:hAnsiTheme="minorHAnsi" w:cstheme="minorHAnsi"/>
                <w:sz w:val="20"/>
                <w:szCs w:val="20"/>
              </w:rPr>
              <w:t xml:space="preserve"> mp y contribuyó al PIB total a valores básicos con 10.</w:t>
            </w:r>
            <w:r w:rsidR="00FC2FC7">
              <w:rPr>
                <w:rFonts w:asciiTheme="minorHAnsi" w:hAnsiTheme="minorHAnsi" w:cstheme="minorHAnsi"/>
                <w:sz w:val="20"/>
                <w:szCs w:val="20"/>
              </w:rPr>
              <w:t>5</w:t>
            </w:r>
            <w:r w:rsidR="00EC5C3F">
              <w:rPr>
                <w:rFonts w:asciiTheme="minorHAnsi" w:hAnsiTheme="minorHAnsi" w:cstheme="minorHAnsi"/>
                <w:sz w:val="20"/>
                <w:szCs w:val="20"/>
              </w:rPr>
              <w:t>%;</w:t>
            </w:r>
            <w:r w:rsidR="0099041E">
              <w:rPr>
                <w:rFonts w:asciiTheme="minorHAnsi" w:hAnsiTheme="minorHAnsi" w:cstheme="minorHAnsi"/>
                <w:sz w:val="20"/>
                <w:szCs w:val="20"/>
              </w:rPr>
              <w:t xml:space="preserve"> </w:t>
            </w:r>
            <w:r w:rsidR="00EC5C3F">
              <w:rPr>
                <w:rFonts w:asciiTheme="minorHAnsi" w:hAnsiTheme="minorHAnsi" w:cstheme="minorHAnsi"/>
                <w:sz w:val="20"/>
                <w:szCs w:val="20"/>
              </w:rPr>
              <w:t xml:space="preserve">el </w:t>
            </w:r>
            <w:r w:rsidR="0067614F">
              <w:rPr>
                <w:rFonts w:asciiTheme="minorHAnsi" w:hAnsiTheme="minorHAnsi" w:cstheme="minorHAnsi"/>
                <w:sz w:val="20"/>
                <w:szCs w:val="20"/>
              </w:rPr>
              <w:t>de</w:t>
            </w:r>
            <w:r w:rsidR="001172E9">
              <w:rPr>
                <w:rFonts w:asciiTheme="minorHAnsi" w:hAnsiTheme="minorHAnsi" w:cstheme="minorHAnsi"/>
                <w:sz w:val="20"/>
                <w:szCs w:val="20"/>
              </w:rPr>
              <w:t>l Comercio al m</w:t>
            </w:r>
            <w:r w:rsidR="00EC5C3F">
              <w:rPr>
                <w:rFonts w:asciiTheme="minorHAnsi" w:hAnsiTheme="minorHAnsi" w:cstheme="minorHAnsi"/>
                <w:sz w:val="20"/>
                <w:szCs w:val="20"/>
              </w:rPr>
              <w:t>ayoreo</w:t>
            </w:r>
            <w:r w:rsidR="001172E9">
              <w:rPr>
                <w:rFonts w:asciiTheme="minorHAnsi" w:hAnsiTheme="minorHAnsi" w:cstheme="minorHAnsi"/>
                <w:sz w:val="20"/>
                <w:szCs w:val="20"/>
              </w:rPr>
              <w:t xml:space="preserve">, con una cifra de </w:t>
            </w:r>
            <w:r w:rsidR="0067614F">
              <w:rPr>
                <w:rFonts w:asciiTheme="minorHAnsi" w:hAnsiTheme="minorHAnsi" w:cstheme="minorHAnsi"/>
                <w:sz w:val="20"/>
                <w:szCs w:val="20"/>
              </w:rPr>
              <w:t>2,</w:t>
            </w:r>
            <w:r w:rsidR="00EC5C3F">
              <w:rPr>
                <w:rFonts w:asciiTheme="minorHAnsi" w:hAnsiTheme="minorHAnsi" w:cstheme="minorHAnsi"/>
                <w:sz w:val="20"/>
                <w:szCs w:val="20"/>
              </w:rPr>
              <w:t>3</w:t>
            </w:r>
            <w:r w:rsidR="00FC2FC7">
              <w:rPr>
                <w:rFonts w:asciiTheme="minorHAnsi" w:hAnsiTheme="minorHAnsi" w:cstheme="minorHAnsi"/>
                <w:sz w:val="20"/>
                <w:szCs w:val="20"/>
              </w:rPr>
              <w:t>9</w:t>
            </w:r>
            <w:r w:rsidR="00EC5C3F">
              <w:rPr>
                <w:rFonts w:asciiTheme="minorHAnsi" w:hAnsiTheme="minorHAnsi" w:cstheme="minorHAnsi"/>
                <w:sz w:val="20"/>
                <w:szCs w:val="20"/>
              </w:rPr>
              <w:t>8</w:t>
            </w:r>
            <w:r w:rsidR="0067614F">
              <w:rPr>
                <w:rFonts w:asciiTheme="minorHAnsi" w:hAnsiTheme="minorHAnsi" w:cstheme="minorHAnsi"/>
                <w:sz w:val="20"/>
                <w:szCs w:val="20"/>
              </w:rPr>
              <w:t>,</w:t>
            </w:r>
            <w:r w:rsidR="00FC2FC7">
              <w:rPr>
                <w:rFonts w:asciiTheme="minorHAnsi" w:hAnsiTheme="minorHAnsi" w:cstheme="minorHAnsi"/>
                <w:sz w:val="20"/>
                <w:szCs w:val="20"/>
              </w:rPr>
              <w:t>000</w:t>
            </w:r>
            <w:r w:rsidR="0067614F" w:rsidRPr="00C11533">
              <w:rPr>
                <w:rFonts w:asciiTheme="minorHAnsi" w:hAnsiTheme="minorHAnsi" w:cstheme="minorHAnsi"/>
                <w:sz w:val="20"/>
                <w:szCs w:val="20"/>
              </w:rPr>
              <w:t> mp</w:t>
            </w:r>
            <w:r w:rsidR="001172E9">
              <w:rPr>
                <w:rFonts w:asciiTheme="minorHAnsi" w:hAnsiTheme="minorHAnsi" w:cstheme="minorHAnsi"/>
                <w:sz w:val="20"/>
                <w:szCs w:val="20"/>
              </w:rPr>
              <w:t xml:space="preserve"> </w:t>
            </w:r>
            <w:r w:rsidR="00135455">
              <w:rPr>
                <w:rFonts w:asciiTheme="minorHAnsi" w:hAnsiTheme="minorHAnsi" w:cstheme="minorHAnsi"/>
                <w:sz w:val="20"/>
                <w:szCs w:val="20"/>
              </w:rPr>
              <w:t>y</w:t>
            </w:r>
            <w:r w:rsidR="0067614F">
              <w:rPr>
                <w:rFonts w:asciiTheme="minorHAnsi" w:hAnsiTheme="minorHAnsi" w:cstheme="minorHAnsi"/>
                <w:sz w:val="20"/>
                <w:szCs w:val="20"/>
              </w:rPr>
              <w:t xml:space="preserve"> </w:t>
            </w:r>
            <w:r w:rsidR="009954B4">
              <w:rPr>
                <w:rFonts w:asciiTheme="minorHAnsi" w:hAnsiTheme="minorHAnsi" w:cstheme="minorHAnsi"/>
                <w:sz w:val="20"/>
                <w:szCs w:val="20"/>
              </w:rPr>
              <w:t xml:space="preserve">el </w:t>
            </w:r>
            <w:r w:rsidR="005F0B27">
              <w:rPr>
                <w:rFonts w:asciiTheme="minorHAnsi" w:hAnsiTheme="minorHAnsi" w:cstheme="minorHAnsi"/>
                <w:sz w:val="20"/>
                <w:szCs w:val="20"/>
              </w:rPr>
              <w:t xml:space="preserve">correspondiente al </w:t>
            </w:r>
            <w:r w:rsidR="00CA6BC9">
              <w:rPr>
                <w:rFonts w:asciiTheme="minorHAnsi" w:hAnsiTheme="minorHAnsi" w:cstheme="minorHAnsi"/>
                <w:sz w:val="20"/>
                <w:szCs w:val="20"/>
              </w:rPr>
              <w:t xml:space="preserve">Comercio al </w:t>
            </w:r>
            <w:r w:rsidR="00A3032D">
              <w:rPr>
                <w:rFonts w:asciiTheme="minorHAnsi" w:hAnsiTheme="minorHAnsi" w:cstheme="minorHAnsi"/>
                <w:sz w:val="20"/>
                <w:szCs w:val="20"/>
              </w:rPr>
              <w:t>m</w:t>
            </w:r>
            <w:r w:rsidR="00EC5C3F">
              <w:rPr>
                <w:rFonts w:asciiTheme="minorHAnsi" w:hAnsiTheme="minorHAnsi" w:cstheme="minorHAnsi"/>
                <w:sz w:val="20"/>
                <w:szCs w:val="20"/>
              </w:rPr>
              <w:t>enudeo</w:t>
            </w:r>
            <w:r w:rsidR="009954B4">
              <w:rPr>
                <w:rFonts w:asciiTheme="minorHAnsi" w:hAnsiTheme="minorHAnsi" w:cstheme="minorHAnsi"/>
                <w:sz w:val="20"/>
                <w:szCs w:val="20"/>
              </w:rPr>
              <w:t xml:space="preserve"> </w:t>
            </w:r>
            <w:r w:rsidR="005F0B27">
              <w:rPr>
                <w:rFonts w:asciiTheme="minorHAnsi" w:hAnsiTheme="minorHAnsi" w:cstheme="minorHAnsi"/>
                <w:sz w:val="20"/>
                <w:szCs w:val="20"/>
              </w:rPr>
              <w:t xml:space="preserve">llegó a </w:t>
            </w:r>
            <w:r w:rsidR="008C65E1">
              <w:rPr>
                <w:rFonts w:asciiTheme="minorHAnsi" w:hAnsiTheme="minorHAnsi" w:cstheme="minorHAnsi"/>
                <w:sz w:val="20"/>
                <w:szCs w:val="20"/>
              </w:rPr>
              <w:t>2</w:t>
            </w:r>
            <w:r w:rsidR="00CA6BC9">
              <w:rPr>
                <w:rFonts w:asciiTheme="minorHAnsi" w:hAnsiTheme="minorHAnsi" w:cstheme="minorHAnsi"/>
                <w:sz w:val="20"/>
                <w:szCs w:val="20"/>
              </w:rPr>
              <w:t>,</w:t>
            </w:r>
            <w:r w:rsidR="00FC2FC7">
              <w:rPr>
                <w:rFonts w:asciiTheme="minorHAnsi" w:hAnsiTheme="minorHAnsi" w:cstheme="minorHAnsi"/>
                <w:sz w:val="20"/>
                <w:szCs w:val="20"/>
              </w:rPr>
              <w:t>384</w:t>
            </w:r>
            <w:r w:rsidR="00CA6BC9">
              <w:rPr>
                <w:rFonts w:asciiTheme="minorHAnsi" w:hAnsiTheme="minorHAnsi" w:cstheme="minorHAnsi"/>
                <w:sz w:val="20"/>
                <w:szCs w:val="20"/>
              </w:rPr>
              <w:t>,</w:t>
            </w:r>
            <w:r w:rsidR="00FC2FC7">
              <w:rPr>
                <w:rFonts w:asciiTheme="minorHAnsi" w:hAnsiTheme="minorHAnsi" w:cstheme="minorHAnsi"/>
                <w:sz w:val="20"/>
                <w:szCs w:val="20"/>
              </w:rPr>
              <w:t>067</w:t>
            </w:r>
            <w:r w:rsidR="00CA6BC9" w:rsidRPr="00C11533">
              <w:rPr>
                <w:rFonts w:asciiTheme="minorHAnsi" w:hAnsiTheme="minorHAnsi" w:cstheme="minorHAnsi"/>
                <w:sz w:val="20"/>
                <w:szCs w:val="20"/>
              </w:rPr>
              <w:t xml:space="preserve"> mp </w:t>
            </w:r>
            <w:r w:rsidR="00DC2DEB">
              <w:rPr>
                <w:rFonts w:asciiTheme="minorHAnsi" w:hAnsiTheme="minorHAnsi" w:cstheme="minorHAnsi"/>
                <w:sz w:val="20"/>
                <w:szCs w:val="20"/>
              </w:rPr>
              <w:t>con</w:t>
            </w:r>
            <w:r w:rsidR="00CA6BC9">
              <w:rPr>
                <w:rFonts w:asciiTheme="minorHAnsi" w:hAnsiTheme="minorHAnsi" w:cstheme="minorHAnsi"/>
                <w:sz w:val="20"/>
                <w:szCs w:val="20"/>
              </w:rPr>
              <w:t xml:space="preserve"> </w:t>
            </w:r>
            <w:r w:rsidR="00135455">
              <w:rPr>
                <w:rFonts w:asciiTheme="minorHAnsi" w:hAnsiTheme="minorHAnsi" w:cstheme="minorHAnsi"/>
                <w:sz w:val="20"/>
                <w:szCs w:val="20"/>
              </w:rPr>
              <w:t>una participación de</w:t>
            </w:r>
            <w:r w:rsidR="005F0B27">
              <w:rPr>
                <w:rFonts w:asciiTheme="minorHAnsi" w:hAnsiTheme="minorHAnsi" w:cstheme="minorHAnsi"/>
                <w:sz w:val="20"/>
                <w:szCs w:val="20"/>
              </w:rPr>
              <w:t xml:space="preserve"> </w:t>
            </w:r>
            <w:r w:rsidR="00EC5C3F">
              <w:rPr>
                <w:rFonts w:asciiTheme="minorHAnsi" w:hAnsiTheme="minorHAnsi" w:cstheme="minorHAnsi"/>
                <w:sz w:val="20"/>
                <w:szCs w:val="20"/>
              </w:rPr>
              <w:t>9</w:t>
            </w:r>
            <w:r w:rsidR="00FC2FC7">
              <w:rPr>
                <w:rFonts w:asciiTheme="minorHAnsi" w:hAnsiTheme="minorHAnsi" w:cstheme="minorHAnsi"/>
                <w:sz w:val="20"/>
                <w:szCs w:val="20"/>
              </w:rPr>
              <w:t>.8</w:t>
            </w:r>
            <w:r w:rsidR="00CA6BC9" w:rsidRPr="00C11533">
              <w:rPr>
                <w:rFonts w:asciiTheme="minorHAnsi" w:hAnsiTheme="minorHAnsi" w:cstheme="minorHAnsi"/>
                <w:sz w:val="20"/>
                <w:szCs w:val="20"/>
              </w:rPr>
              <w:t>%</w:t>
            </w:r>
            <w:r w:rsidR="005F0B27">
              <w:rPr>
                <w:rFonts w:asciiTheme="minorHAnsi" w:hAnsiTheme="minorHAnsi" w:cstheme="minorHAnsi"/>
                <w:sz w:val="20"/>
                <w:szCs w:val="20"/>
              </w:rPr>
              <w:t xml:space="preserve"> </w:t>
            </w:r>
            <w:r w:rsidR="00135455">
              <w:rPr>
                <w:rFonts w:asciiTheme="minorHAnsi" w:hAnsiTheme="minorHAnsi" w:cstheme="minorHAnsi"/>
                <w:sz w:val="20"/>
                <w:szCs w:val="20"/>
              </w:rPr>
              <w:t xml:space="preserve">cada uno, </w:t>
            </w:r>
            <w:r w:rsidR="00A520AC">
              <w:rPr>
                <w:rFonts w:asciiTheme="minorHAnsi" w:hAnsiTheme="minorHAnsi" w:cstheme="minorHAnsi"/>
                <w:sz w:val="20"/>
                <w:szCs w:val="20"/>
              </w:rPr>
              <w:t xml:space="preserve">y el </w:t>
            </w:r>
            <w:r w:rsidR="00575EF0">
              <w:rPr>
                <w:rFonts w:asciiTheme="minorHAnsi" w:hAnsiTheme="minorHAnsi" w:cstheme="minorHAnsi"/>
                <w:sz w:val="20"/>
                <w:szCs w:val="20"/>
              </w:rPr>
              <w:t xml:space="preserve">de </w:t>
            </w:r>
            <w:r w:rsidRPr="00C11533">
              <w:rPr>
                <w:rFonts w:asciiTheme="minorHAnsi" w:hAnsiTheme="minorHAnsi" w:cstheme="minorHAnsi"/>
                <w:sz w:val="20"/>
                <w:szCs w:val="20"/>
              </w:rPr>
              <w:t xml:space="preserve">Transportes, correos y almacenamiento </w:t>
            </w:r>
            <w:r w:rsidR="007273B8">
              <w:rPr>
                <w:rFonts w:asciiTheme="minorHAnsi" w:hAnsiTheme="minorHAnsi" w:cstheme="minorHAnsi"/>
                <w:sz w:val="20"/>
                <w:szCs w:val="20"/>
              </w:rPr>
              <w:t>1,</w:t>
            </w:r>
            <w:r w:rsidR="00FC2FC7">
              <w:rPr>
                <w:rFonts w:asciiTheme="minorHAnsi" w:hAnsiTheme="minorHAnsi" w:cstheme="minorHAnsi"/>
                <w:sz w:val="20"/>
                <w:szCs w:val="20"/>
              </w:rPr>
              <w:t>5</w:t>
            </w:r>
            <w:r w:rsidR="00EC5C3F">
              <w:rPr>
                <w:rFonts w:asciiTheme="minorHAnsi" w:hAnsiTheme="minorHAnsi" w:cstheme="minorHAnsi"/>
                <w:sz w:val="20"/>
                <w:szCs w:val="20"/>
              </w:rPr>
              <w:t>29</w:t>
            </w:r>
            <w:r w:rsidR="00BC41A0">
              <w:rPr>
                <w:rFonts w:asciiTheme="minorHAnsi" w:hAnsiTheme="minorHAnsi" w:cstheme="minorHAnsi"/>
                <w:sz w:val="20"/>
                <w:szCs w:val="20"/>
              </w:rPr>
              <w:t>,</w:t>
            </w:r>
            <w:r w:rsidR="00FC2FC7">
              <w:rPr>
                <w:rFonts w:asciiTheme="minorHAnsi" w:hAnsiTheme="minorHAnsi" w:cstheme="minorHAnsi"/>
                <w:sz w:val="20"/>
                <w:szCs w:val="20"/>
              </w:rPr>
              <w:t>173</w:t>
            </w:r>
            <w:r w:rsidR="004D7A5D">
              <w:rPr>
                <w:rFonts w:asciiTheme="minorHAnsi" w:hAnsiTheme="minorHAnsi" w:cstheme="minorHAnsi"/>
                <w:sz w:val="20"/>
                <w:szCs w:val="20"/>
              </w:rPr>
              <w:t xml:space="preserve"> mp que</w:t>
            </w:r>
            <w:r w:rsidR="007B0AB4">
              <w:rPr>
                <w:rFonts w:asciiTheme="minorHAnsi" w:hAnsiTheme="minorHAnsi" w:cstheme="minorHAnsi"/>
                <w:sz w:val="20"/>
                <w:szCs w:val="20"/>
              </w:rPr>
              <w:t xml:space="preserve"> aportó</w:t>
            </w:r>
            <w:r w:rsidR="004D7A5D">
              <w:rPr>
                <w:rFonts w:asciiTheme="minorHAnsi" w:hAnsiTheme="minorHAnsi" w:cstheme="minorHAnsi"/>
                <w:sz w:val="20"/>
                <w:szCs w:val="20"/>
              </w:rPr>
              <w:t xml:space="preserve"> </w:t>
            </w:r>
            <w:r w:rsidR="00FC2FC7">
              <w:rPr>
                <w:rFonts w:asciiTheme="minorHAnsi" w:hAnsiTheme="minorHAnsi" w:cstheme="minorHAnsi"/>
                <w:sz w:val="20"/>
                <w:szCs w:val="20"/>
              </w:rPr>
              <w:t>6.3</w:t>
            </w:r>
            <w:r w:rsidRPr="00C11533">
              <w:rPr>
                <w:rFonts w:asciiTheme="minorHAnsi" w:hAnsiTheme="minorHAnsi" w:cstheme="minorHAnsi"/>
                <w:sz w:val="20"/>
                <w:szCs w:val="20"/>
              </w:rPr>
              <w:t xml:space="preserve">% en el </w:t>
            </w:r>
            <w:r w:rsidR="0070096A">
              <w:rPr>
                <w:rFonts w:asciiTheme="minorHAnsi" w:hAnsiTheme="minorHAnsi" w:cstheme="minorHAnsi"/>
                <w:sz w:val="20"/>
                <w:szCs w:val="20"/>
              </w:rPr>
              <w:t xml:space="preserve">trimestre </w:t>
            </w:r>
            <w:r w:rsidR="00FC2FC7">
              <w:rPr>
                <w:rFonts w:asciiTheme="minorHAnsi" w:hAnsiTheme="minorHAnsi" w:cstheme="minorHAnsi"/>
                <w:sz w:val="20"/>
                <w:szCs w:val="20"/>
              </w:rPr>
              <w:t>abril</w:t>
            </w:r>
            <w:r w:rsidR="00E27D60">
              <w:rPr>
                <w:rFonts w:asciiTheme="minorHAnsi" w:hAnsiTheme="minorHAnsi" w:cstheme="minorHAnsi"/>
                <w:sz w:val="20"/>
                <w:szCs w:val="20"/>
              </w:rPr>
              <w:t>-</w:t>
            </w:r>
            <w:r w:rsidR="00FC2FC7">
              <w:rPr>
                <w:rFonts w:asciiTheme="minorHAnsi" w:hAnsiTheme="minorHAnsi" w:cstheme="minorHAnsi"/>
                <w:sz w:val="20"/>
                <w:szCs w:val="20"/>
              </w:rPr>
              <w:t xml:space="preserve">junio </w:t>
            </w:r>
            <w:r w:rsidR="0070096A">
              <w:rPr>
                <w:rFonts w:asciiTheme="minorHAnsi" w:hAnsiTheme="minorHAnsi" w:cstheme="minorHAnsi"/>
                <w:sz w:val="20"/>
                <w:szCs w:val="20"/>
              </w:rPr>
              <w:t>de 20</w:t>
            </w:r>
            <w:r w:rsidR="00E27D60">
              <w:rPr>
                <w:rFonts w:asciiTheme="minorHAnsi" w:hAnsiTheme="minorHAnsi" w:cstheme="minorHAnsi"/>
                <w:sz w:val="20"/>
                <w:szCs w:val="20"/>
              </w:rPr>
              <w:t>2</w:t>
            </w:r>
            <w:r w:rsidR="001B446B">
              <w:rPr>
                <w:rFonts w:asciiTheme="minorHAnsi" w:hAnsiTheme="minorHAnsi" w:cstheme="minorHAnsi"/>
                <w:sz w:val="20"/>
                <w:szCs w:val="20"/>
              </w:rPr>
              <w:t>1</w:t>
            </w:r>
            <w:r w:rsidRPr="00C11533">
              <w:rPr>
                <w:rFonts w:asciiTheme="minorHAnsi" w:hAnsiTheme="minorHAnsi" w:cstheme="minorHAnsi"/>
                <w:sz w:val="20"/>
                <w:szCs w:val="20"/>
              </w:rPr>
              <w:t>.</w:t>
            </w:r>
          </w:p>
          <w:p w14:paraId="748D7B7F" w14:textId="0EC817E2" w:rsidR="00C11533" w:rsidRDefault="00C11533" w:rsidP="003771A6">
            <w:pPr>
              <w:pStyle w:val="Textoindependiente"/>
              <w:spacing w:before="120" w:line="220" w:lineRule="exact"/>
              <w:rPr>
                <w:rFonts w:asciiTheme="minorHAnsi" w:hAnsiTheme="minorHAnsi" w:cstheme="minorHAnsi"/>
                <w:sz w:val="20"/>
                <w:szCs w:val="20"/>
              </w:rPr>
            </w:pPr>
            <w:r w:rsidRPr="00C11533">
              <w:rPr>
                <w:rFonts w:asciiTheme="minorHAnsi" w:hAnsiTheme="minorHAnsi" w:cstheme="minorHAnsi"/>
                <w:sz w:val="20"/>
                <w:szCs w:val="20"/>
              </w:rPr>
              <w:lastRenderedPageBreak/>
              <w:t xml:space="preserve">El resto de las </w:t>
            </w:r>
            <w:r w:rsidRPr="00AC52AE">
              <w:rPr>
                <w:rFonts w:asciiTheme="minorHAnsi" w:hAnsiTheme="minorHAnsi" w:cstheme="minorHAnsi"/>
                <w:sz w:val="20"/>
                <w:szCs w:val="20"/>
              </w:rPr>
              <w:t>Actividades Terciarias</w:t>
            </w:r>
            <w:r w:rsidRPr="00C11533">
              <w:rPr>
                <w:rFonts w:asciiTheme="minorHAnsi" w:hAnsiTheme="minorHAnsi" w:cstheme="minorHAnsi"/>
                <w:sz w:val="20"/>
                <w:szCs w:val="20"/>
              </w:rPr>
              <w:t xml:space="preserve"> (Información en medios masivos; Servicios financieros y de seguros; Servicios profesionales, científicos y técnicos; </w:t>
            </w:r>
            <w:r w:rsidR="00AB10A4">
              <w:rPr>
                <w:rFonts w:asciiTheme="minorHAnsi" w:hAnsiTheme="minorHAnsi" w:cstheme="minorHAnsi"/>
                <w:sz w:val="20"/>
                <w:szCs w:val="20"/>
              </w:rPr>
              <w:t>C</w:t>
            </w:r>
            <w:r w:rsidRPr="00C11533">
              <w:rPr>
                <w:rFonts w:asciiTheme="minorHAnsi" w:hAnsiTheme="minorHAnsi" w:cstheme="minorHAnsi"/>
                <w:sz w:val="20"/>
                <w:szCs w:val="20"/>
              </w:rPr>
              <w:t xml:space="preserve">orporativos; Servicios de apoyo a los negocios y manejo de </w:t>
            </w:r>
            <w:r w:rsidR="00461D82">
              <w:rPr>
                <w:rFonts w:asciiTheme="minorHAnsi" w:hAnsiTheme="minorHAnsi" w:cstheme="minorHAnsi"/>
                <w:sz w:val="20"/>
                <w:szCs w:val="20"/>
              </w:rPr>
              <w:t xml:space="preserve">residuos y </w:t>
            </w:r>
            <w:r w:rsidRPr="00C11533">
              <w:rPr>
                <w:rFonts w:asciiTheme="minorHAnsi" w:hAnsiTheme="minorHAnsi" w:cstheme="minorHAnsi"/>
                <w:sz w:val="20"/>
                <w:szCs w:val="20"/>
              </w:rPr>
              <w:t>desechos</w:t>
            </w:r>
            <w:r w:rsidR="00461D82">
              <w:rPr>
                <w:rFonts w:asciiTheme="minorHAnsi" w:hAnsiTheme="minorHAnsi" w:cstheme="minorHAnsi"/>
                <w:sz w:val="20"/>
                <w:szCs w:val="20"/>
              </w:rPr>
              <w:t>,</w:t>
            </w:r>
            <w:r w:rsidRPr="00C11533">
              <w:rPr>
                <w:rFonts w:asciiTheme="minorHAnsi" w:hAnsiTheme="minorHAnsi" w:cstheme="minorHAnsi"/>
                <w:sz w:val="20"/>
                <w:szCs w:val="20"/>
              </w:rPr>
              <w:t xml:space="preserve"> y servicios de remediación; Educativos; de Salud y de asistencia social</w:t>
            </w:r>
            <w:r w:rsidR="00AF346D">
              <w:rPr>
                <w:rFonts w:asciiTheme="minorHAnsi" w:hAnsiTheme="minorHAnsi" w:cstheme="minorHAnsi"/>
                <w:sz w:val="20"/>
                <w:szCs w:val="20"/>
              </w:rPr>
              <w:t xml:space="preserve">; de Esparcimiento culturales y </w:t>
            </w:r>
            <w:r w:rsidRPr="00C11533">
              <w:rPr>
                <w:rFonts w:asciiTheme="minorHAnsi" w:hAnsiTheme="minorHAnsi" w:cstheme="minorHAnsi"/>
                <w:sz w:val="20"/>
                <w:szCs w:val="20"/>
              </w:rPr>
              <w:t>deportivos</w:t>
            </w:r>
            <w:r w:rsidR="00AF346D">
              <w:rPr>
                <w:rFonts w:asciiTheme="minorHAnsi" w:hAnsiTheme="minorHAnsi" w:cstheme="minorHAnsi"/>
                <w:sz w:val="20"/>
                <w:szCs w:val="20"/>
              </w:rPr>
              <w:t>,</w:t>
            </w:r>
            <w:r w:rsidRPr="00C11533">
              <w:rPr>
                <w:rFonts w:asciiTheme="minorHAnsi" w:hAnsiTheme="minorHAnsi" w:cstheme="minorHAnsi"/>
                <w:sz w:val="20"/>
                <w:szCs w:val="20"/>
              </w:rPr>
              <w:t xml:space="preserve"> y otros servicios recreativos; de Alojamiento temporal y de preparación de alimentos y bebidas; “Otros servicios excepto actividades </w:t>
            </w:r>
            <w:r w:rsidR="00AB10A4">
              <w:rPr>
                <w:rFonts w:asciiTheme="minorHAnsi" w:hAnsiTheme="minorHAnsi" w:cstheme="minorHAnsi"/>
                <w:sz w:val="20"/>
                <w:szCs w:val="20"/>
              </w:rPr>
              <w:t>gubernamentales</w:t>
            </w:r>
            <w:r w:rsidRPr="00C11533">
              <w:rPr>
                <w:rFonts w:asciiTheme="minorHAnsi" w:hAnsiTheme="minorHAnsi" w:cstheme="minorHAnsi"/>
                <w:sz w:val="20"/>
                <w:szCs w:val="20"/>
              </w:rPr>
              <w:t xml:space="preserve">”, y las Actividades </w:t>
            </w:r>
            <w:r w:rsidR="00AB10A4">
              <w:rPr>
                <w:rFonts w:asciiTheme="minorHAnsi" w:hAnsiTheme="minorHAnsi" w:cstheme="minorHAnsi"/>
                <w:sz w:val="20"/>
                <w:szCs w:val="20"/>
              </w:rPr>
              <w:t>legislativas, gubernamentales, de impartición de justicia y de organismos internacionales y extraterritoriales</w:t>
            </w:r>
            <w:r w:rsidRPr="00C11533">
              <w:rPr>
                <w:rFonts w:asciiTheme="minorHAnsi" w:hAnsiTheme="minorHAnsi" w:cstheme="minorHAnsi"/>
                <w:sz w:val="20"/>
                <w:szCs w:val="20"/>
              </w:rPr>
              <w:t xml:space="preserve">) </w:t>
            </w:r>
            <w:r w:rsidR="001A3325">
              <w:rPr>
                <w:rFonts w:asciiTheme="minorHAnsi" w:hAnsiTheme="minorHAnsi" w:cstheme="minorHAnsi"/>
                <w:sz w:val="20"/>
                <w:szCs w:val="20"/>
              </w:rPr>
              <w:t>mostró</w:t>
            </w:r>
            <w:r w:rsidR="007965AE">
              <w:rPr>
                <w:rFonts w:asciiTheme="minorHAnsi" w:hAnsiTheme="minorHAnsi" w:cstheme="minorHAnsi"/>
                <w:sz w:val="20"/>
                <w:szCs w:val="20"/>
              </w:rPr>
              <w:t xml:space="preserve"> u</w:t>
            </w:r>
            <w:r w:rsidRPr="00C11533">
              <w:rPr>
                <w:rFonts w:asciiTheme="minorHAnsi" w:hAnsiTheme="minorHAnsi" w:cstheme="minorHAnsi"/>
                <w:sz w:val="20"/>
                <w:szCs w:val="20"/>
              </w:rPr>
              <w:t xml:space="preserve">n PIB de </w:t>
            </w:r>
            <w:r w:rsidR="00885FC1">
              <w:rPr>
                <w:rFonts w:asciiTheme="minorHAnsi" w:hAnsiTheme="minorHAnsi" w:cstheme="minorHAnsi"/>
                <w:sz w:val="20"/>
                <w:szCs w:val="20"/>
              </w:rPr>
              <w:t>6</w:t>
            </w:r>
            <w:r w:rsidR="004D7A5D">
              <w:rPr>
                <w:rFonts w:asciiTheme="minorHAnsi" w:hAnsiTheme="minorHAnsi" w:cstheme="minorHAnsi"/>
                <w:sz w:val="20"/>
                <w:szCs w:val="20"/>
              </w:rPr>
              <w:t>,</w:t>
            </w:r>
            <w:r w:rsidR="0076310D">
              <w:rPr>
                <w:rFonts w:asciiTheme="minorHAnsi" w:hAnsiTheme="minorHAnsi" w:cstheme="minorHAnsi"/>
                <w:sz w:val="20"/>
                <w:szCs w:val="20"/>
              </w:rPr>
              <w:t>380</w:t>
            </w:r>
            <w:r w:rsidR="00BE15B6">
              <w:rPr>
                <w:rFonts w:asciiTheme="minorHAnsi" w:hAnsiTheme="minorHAnsi" w:cstheme="minorHAnsi"/>
                <w:sz w:val="20"/>
                <w:szCs w:val="20"/>
              </w:rPr>
              <w:t>,</w:t>
            </w:r>
            <w:r w:rsidR="00270874">
              <w:rPr>
                <w:rFonts w:asciiTheme="minorHAnsi" w:hAnsiTheme="minorHAnsi" w:cstheme="minorHAnsi"/>
                <w:sz w:val="20"/>
                <w:szCs w:val="20"/>
              </w:rPr>
              <w:t>0</w:t>
            </w:r>
            <w:r w:rsidR="0076310D">
              <w:rPr>
                <w:rFonts w:asciiTheme="minorHAnsi" w:hAnsiTheme="minorHAnsi" w:cstheme="minorHAnsi"/>
                <w:sz w:val="20"/>
                <w:szCs w:val="20"/>
              </w:rPr>
              <w:t>24</w:t>
            </w:r>
            <w:r w:rsidR="00D040B2">
              <w:rPr>
                <w:rFonts w:asciiTheme="minorHAnsi" w:hAnsiTheme="minorHAnsi" w:cstheme="minorHAnsi"/>
                <w:sz w:val="20"/>
                <w:szCs w:val="20"/>
              </w:rPr>
              <w:t xml:space="preserve"> </w:t>
            </w:r>
            <w:r w:rsidRPr="00C11533">
              <w:rPr>
                <w:rFonts w:asciiTheme="minorHAnsi" w:hAnsiTheme="minorHAnsi" w:cstheme="minorHAnsi"/>
                <w:sz w:val="20"/>
                <w:szCs w:val="20"/>
              </w:rPr>
              <w:t>mp a precios cor</w:t>
            </w:r>
            <w:r w:rsidR="004D7A5D">
              <w:rPr>
                <w:rFonts w:asciiTheme="minorHAnsi" w:hAnsiTheme="minorHAnsi" w:cstheme="minorHAnsi"/>
                <w:sz w:val="20"/>
                <w:szCs w:val="20"/>
              </w:rPr>
              <w:t xml:space="preserve">rientes, lo que equivale al </w:t>
            </w:r>
            <w:r w:rsidR="00EA318F">
              <w:rPr>
                <w:rFonts w:asciiTheme="minorHAnsi" w:hAnsiTheme="minorHAnsi" w:cstheme="minorHAnsi"/>
                <w:sz w:val="20"/>
                <w:szCs w:val="20"/>
              </w:rPr>
              <w:t>26.</w:t>
            </w:r>
            <w:r w:rsidR="00E261F6">
              <w:rPr>
                <w:rFonts w:asciiTheme="minorHAnsi" w:hAnsiTheme="minorHAnsi" w:cstheme="minorHAnsi"/>
                <w:sz w:val="20"/>
                <w:szCs w:val="20"/>
              </w:rPr>
              <w:t>1</w:t>
            </w:r>
            <w:r w:rsidRPr="00C11533">
              <w:rPr>
                <w:rFonts w:asciiTheme="minorHAnsi" w:hAnsiTheme="minorHAnsi" w:cstheme="minorHAnsi"/>
                <w:sz w:val="20"/>
                <w:szCs w:val="20"/>
              </w:rPr>
              <w:t xml:space="preserve">% del PIB </w:t>
            </w:r>
            <w:r w:rsidR="00281D1F">
              <w:rPr>
                <w:rFonts w:asciiTheme="minorHAnsi" w:hAnsiTheme="minorHAnsi" w:cstheme="minorHAnsi"/>
                <w:sz w:val="20"/>
                <w:szCs w:val="20"/>
              </w:rPr>
              <w:t>a precios básicos</w:t>
            </w:r>
            <w:r w:rsidRPr="00C11533">
              <w:rPr>
                <w:rFonts w:asciiTheme="minorHAnsi" w:hAnsiTheme="minorHAnsi" w:cstheme="minorHAnsi"/>
                <w:sz w:val="20"/>
                <w:szCs w:val="20"/>
              </w:rPr>
              <w:t xml:space="preserve"> </w:t>
            </w:r>
            <w:r w:rsidR="00C46880">
              <w:rPr>
                <w:rFonts w:asciiTheme="minorHAnsi" w:hAnsiTheme="minorHAnsi" w:cstheme="minorHAnsi"/>
                <w:sz w:val="20"/>
                <w:szCs w:val="20"/>
              </w:rPr>
              <w:t>en</w:t>
            </w:r>
            <w:r w:rsidRPr="00C11533">
              <w:rPr>
                <w:rFonts w:asciiTheme="minorHAnsi" w:hAnsiTheme="minorHAnsi" w:cstheme="minorHAnsi"/>
                <w:sz w:val="20"/>
                <w:szCs w:val="20"/>
              </w:rPr>
              <w:t xml:space="preserve"> </w:t>
            </w:r>
            <w:r w:rsidR="00B103E0">
              <w:rPr>
                <w:rFonts w:asciiTheme="minorHAnsi" w:hAnsiTheme="minorHAnsi" w:cstheme="minorHAnsi"/>
                <w:sz w:val="20"/>
                <w:szCs w:val="20"/>
              </w:rPr>
              <w:t xml:space="preserve">el trimestre </w:t>
            </w:r>
            <w:r w:rsidR="00917A45">
              <w:rPr>
                <w:rFonts w:asciiTheme="minorHAnsi" w:hAnsiTheme="minorHAnsi" w:cstheme="minorHAnsi"/>
                <w:sz w:val="20"/>
                <w:szCs w:val="20"/>
              </w:rPr>
              <w:t>en cuestión</w:t>
            </w:r>
            <w:r w:rsidRPr="00C11533">
              <w:rPr>
                <w:rFonts w:asciiTheme="minorHAnsi" w:hAnsiTheme="minorHAnsi" w:cstheme="minorHAnsi"/>
                <w:sz w:val="20"/>
                <w:szCs w:val="20"/>
              </w:rPr>
              <w:t>.</w:t>
            </w:r>
          </w:p>
          <w:p w14:paraId="72C7BF0E" w14:textId="77777777" w:rsidR="00B64F75" w:rsidRPr="00366112" w:rsidRDefault="00121C9A" w:rsidP="00555174">
            <w:pPr>
              <w:pStyle w:val="p0"/>
              <w:keepNext/>
              <w:widowControl/>
              <w:spacing w:before="240"/>
              <w:jc w:val="center"/>
              <w:rPr>
                <w:rFonts w:asciiTheme="minorHAnsi" w:hAnsiTheme="minorHAnsi" w:cstheme="minorHAnsi"/>
                <w:b/>
                <w:smallCaps/>
                <w:snapToGrid/>
                <w:color w:val="auto"/>
                <w:sz w:val="18"/>
                <w:szCs w:val="18"/>
                <w:lang w:eastAsia="es-MX"/>
              </w:rPr>
            </w:pPr>
            <w:r w:rsidRPr="00366112">
              <w:rPr>
                <w:rFonts w:asciiTheme="minorHAnsi" w:hAnsiTheme="minorHAnsi" w:cstheme="minorHAnsi"/>
                <w:b/>
                <w:smallCaps/>
                <w:snapToGrid/>
                <w:color w:val="auto"/>
                <w:sz w:val="18"/>
                <w:szCs w:val="18"/>
                <w:lang w:eastAsia="es-MX"/>
              </w:rPr>
              <w:t>Composición de las Actividades T</w:t>
            </w:r>
            <w:r w:rsidR="00B64F75" w:rsidRPr="00366112">
              <w:rPr>
                <w:rFonts w:asciiTheme="minorHAnsi" w:hAnsiTheme="minorHAnsi" w:cstheme="minorHAnsi"/>
                <w:b/>
                <w:smallCaps/>
                <w:snapToGrid/>
                <w:color w:val="auto"/>
                <w:sz w:val="18"/>
                <w:szCs w:val="18"/>
                <w:lang w:eastAsia="es-MX"/>
              </w:rPr>
              <w:t>erciarias</w:t>
            </w:r>
          </w:p>
          <w:p w14:paraId="73F9691B" w14:textId="6BFCBAFE" w:rsidR="002C164E" w:rsidRDefault="00B64F75" w:rsidP="00B64F75">
            <w:pPr>
              <w:pStyle w:val="p0"/>
              <w:keepNext/>
              <w:widowControl/>
              <w:spacing w:before="0"/>
              <w:jc w:val="center"/>
              <w:rPr>
                <w:rFonts w:asciiTheme="minorHAnsi" w:hAnsiTheme="minorHAnsi" w:cstheme="minorHAnsi"/>
                <w:b/>
                <w:smallCaps/>
                <w:snapToGrid/>
                <w:color w:val="auto"/>
                <w:sz w:val="18"/>
                <w:szCs w:val="18"/>
                <w:vertAlign w:val="superscript"/>
                <w:lang w:eastAsia="es-MX"/>
              </w:rPr>
            </w:pPr>
            <w:r w:rsidRPr="00366112">
              <w:rPr>
                <w:rFonts w:asciiTheme="minorHAnsi" w:hAnsiTheme="minorHAnsi" w:cstheme="minorHAnsi"/>
                <w:b/>
                <w:smallCaps/>
                <w:snapToGrid/>
                <w:color w:val="auto"/>
                <w:sz w:val="18"/>
                <w:szCs w:val="18"/>
                <w:lang w:eastAsia="es-MX"/>
              </w:rPr>
              <w:t xml:space="preserve">en el </w:t>
            </w:r>
            <w:r w:rsidR="00B966B2">
              <w:rPr>
                <w:rFonts w:asciiTheme="minorHAnsi" w:hAnsiTheme="minorHAnsi" w:cstheme="minorHAnsi"/>
                <w:b/>
                <w:smallCaps/>
                <w:snapToGrid/>
                <w:color w:val="auto"/>
                <w:sz w:val="18"/>
                <w:szCs w:val="18"/>
                <w:lang w:eastAsia="es-MX"/>
              </w:rPr>
              <w:t xml:space="preserve">segundo </w:t>
            </w:r>
            <w:r w:rsidRPr="00366112">
              <w:rPr>
                <w:rFonts w:asciiTheme="minorHAnsi" w:hAnsiTheme="minorHAnsi" w:cstheme="minorHAnsi"/>
                <w:b/>
                <w:smallCaps/>
                <w:snapToGrid/>
                <w:color w:val="auto"/>
                <w:sz w:val="18"/>
                <w:szCs w:val="18"/>
                <w:lang w:eastAsia="es-MX"/>
              </w:rPr>
              <w:t>trimestre de 20</w:t>
            </w:r>
            <w:r w:rsidR="003607C0">
              <w:rPr>
                <w:rFonts w:asciiTheme="minorHAnsi" w:hAnsiTheme="minorHAnsi" w:cstheme="minorHAnsi"/>
                <w:b/>
                <w:smallCaps/>
                <w:snapToGrid/>
                <w:color w:val="auto"/>
                <w:sz w:val="18"/>
                <w:szCs w:val="18"/>
                <w:lang w:eastAsia="es-MX"/>
              </w:rPr>
              <w:t>2</w:t>
            </w:r>
            <w:r w:rsidR="001B446B">
              <w:rPr>
                <w:rFonts w:asciiTheme="minorHAnsi" w:hAnsiTheme="minorHAnsi" w:cstheme="minorHAnsi"/>
                <w:b/>
                <w:smallCaps/>
                <w:snapToGrid/>
                <w:color w:val="auto"/>
                <w:sz w:val="18"/>
                <w:szCs w:val="18"/>
                <w:lang w:eastAsia="es-MX"/>
              </w:rPr>
              <w:t>1</w:t>
            </w:r>
            <w:r w:rsidR="00B71856" w:rsidRPr="008C5E01">
              <w:rPr>
                <w:rFonts w:asciiTheme="minorHAnsi" w:hAnsiTheme="minorHAnsi" w:cstheme="minorHAnsi"/>
                <w:b/>
                <w:smallCaps/>
                <w:snapToGrid/>
                <w:color w:val="auto"/>
                <w:sz w:val="18"/>
                <w:szCs w:val="18"/>
                <w:vertAlign w:val="superscript"/>
                <w:lang w:eastAsia="es-MX"/>
              </w:rPr>
              <w:t xml:space="preserve"> p/</w:t>
            </w:r>
          </w:p>
          <w:p w14:paraId="424215BD" w14:textId="3DD9F034" w:rsidR="00B64F75" w:rsidRPr="00BA1D62" w:rsidRDefault="002C164E" w:rsidP="00B64F75">
            <w:pPr>
              <w:pStyle w:val="p0"/>
              <w:keepNext/>
              <w:widowControl/>
              <w:spacing w:before="0"/>
              <w:jc w:val="center"/>
              <w:rPr>
                <w:b/>
                <w:smallCaps/>
                <w:color w:val="auto"/>
                <w:sz w:val="22"/>
                <w:szCs w:val="22"/>
              </w:rPr>
            </w:pPr>
            <w:r w:rsidRPr="002C164E">
              <w:rPr>
                <w:rFonts w:asciiTheme="minorHAnsi" w:hAnsiTheme="minorHAnsi" w:cstheme="minorHAnsi"/>
                <w:snapToGrid/>
                <w:color w:val="auto"/>
                <w:sz w:val="16"/>
                <w:szCs w:val="18"/>
                <w:lang w:eastAsia="es-MX"/>
              </w:rPr>
              <w:t>(Millones de pesos a precios corrientes)</w:t>
            </w:r>
            <w:r w:rsidRPr="00AC52AE">
              <w:rPr>
                <w:rFonts w:asciiTheme="minorHAnsi" w:hAnsiTheme="minorHAnsi" w:cstheme="minorHAnsi"/>
                <w:sz w:val="16"/>
                <w:szCs w:val="18"/>
              </w:rPr>
              <w:t xml:space="preserve"> </w:t>
            </w:r>
            <w:r w:rsidR="006F1E31">
              <w:rPr>
                <w:noProof/>
              </w:rPr>
              <w:drawing>
                <wp:inline distT="0" distB="0" distL="0" distR="0" wp14:anchorId="6CE0D5DA" wp14:editId="34095C2D">
                  <wp:extent cx="3060000" cy="2116455"/>
                  <wp:effectExtent l="0" t="0" r="26670" b="17145"/>
                  <wp:docPr id="8" name="Gráfico 8">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C48C0E8" w14:textId="1486941A" w:rsidR="00072331" w:rsidRPr="00670412" w:rsidRDefault="00C55F88" w:rsidP="00B34133">
            <w:pPr>
              <w:pStyle w:val="Textoindependiente"/>
              <w:spacing w:line="180" w:lineRule="exact"/>
              <w:ind w:left="698" w:hanging="698"/>
              <w:jc w:val="left"/>
              <w:rPr>
                <w:rFonts w:asciiTheme="minorHAnsi" w:hAnsiTheme="minorHAnsi" w:cstheme="minorHAnsi"/>
                <w:sz w:val="20"/>
                <w:szCs w:val="20"/>
              </w:rPr>
            </w:pPr>
            <w:r>
              <w:rPr>
                <w:rFonts w:asciiTheme="minorHAnsi" w:hAnsiTheme="minorHAnsi" w:cstheme="minorHAnsi"/>
                <w:sz w:val="14"/>
                <w:szCs w:val="14"/>
                <w:vertAlign w:val="superscript"/>
              </w:rPr>
              <w:t xml:space="preserve"> </w:t>
            </w:r>
            <w:r w:rsidR="008C5E01" w:rsidRPr="008C5E01">
              <w:rPr>
                <w:rFonts w:asciiTheme="minorHAnsi" w:hAnsiTheme="minorHAnsi" w:cstheme="minorHAnsi"/>
                <w:sz w:val="14"/>
                <w:szCs w:val="14"/>
                <w:vertAlign w:val="superscript"/>
              </w:rPr>
              <w:t>P/</w:t>
            </w:r>
            <w:r w:rsidR="008C5E01">
              <w:rPr>
                <w:rFonts w:asciiTheme="minorHAnsi" w:hAnsiTheme="minorHAnsi" w:cstheme="minorHAnsi"/>
                <w:sz w:val="14"/>
                <w:szCs w:val="14"/>
              </w:rPr>
              <w:t xml:space="preserve"> Cifras preliminares.</w:t>
            </w:r>
            <w:r w:rsidR="0083716F">
              <w:rPr>
                <w:rFonts w:asciiTheme="minorHAnsi" w:hAnsiTheme="minorHAnsi" w:cstheme="minorHAnsi"/>
                <w:noProof/>
                <w:sz w:val="16"/>
                <w:szCs w:val="18"/>
              </w:rPr>
              <w:t xml:space="preserve"> </w:t>
            </w:r>
          </w:p>
        </w:tc>
      </w:tr>
      <w:tr w:rsidR="006E5148" w:rsidRPr="00A50449" w14:paraId="5A965CC7" w14:textId="77777777" w:rsidTr="00506D5D">
        <w:tblPrEx>
          <w:tblCellMar>
            <w:left w:w="70" w:type="dxa"/>
            <w:right w:w="70" w:type="dxa"/>
          </w:tblCellMar>
        </w:tblPrEx>
        <w:tc>
          <w:tcPr>
            <w:tcW w:w="5029" w:type="dxa"/>
          </w:tcPr>
          <w:p w14:paraId="1EFFE8E5" w14:textId="77777777" w:rsidR="006E5148" w:rsidRDefault="006E5148" w:rsidP="00515655">
            <w:pPr>
              <w:pStyle w:val="Textoindependiente"/>
              <w:spacing w:line="180" w:lineRule="exact"/>
              <w:ind w:left="698" w:hanging="698"/>
              <w:jc w:val="left"/>
              <w:rPr>
                <w:rFonts w:asciiTheme="minorHAnsi" w:hAnsiTheme="minorHAnsi" w:cstheme="minorHAnsi"/>
                <w:sz w:val="14"/>
                <w:szCs w:val="14"/>
              </w:rPr>
            </w:pPr>
          </w:p>
        </w:tc>
      </w:tr>
    </w:tbl>
    <w:p w14:paraId="557211FD" w14:textId="58CB78A8" w:rsidR="00060CE8" w:rsidRDefault="00B64F75" w:rsidP="00616AFB">
      <w:pPr>
        <w:pStyle w:val="Textoindependiente"/>
        <w:spacing w:before="360" w:line="220" w:lineRule="exact"/>
        <w:ind w:left="-142"/>
        <w:rPr>
          <w:rFonts w:asciiTheme="minorHAnsi" w:hAnsiTheme="minorHAnsi" w:cstheme="minorHAnsi"/>
          <w:sz w:val="20"/>
          <w:szCs w:val="20"/>
        </w:rPr>
      </w:pPr>
      <w:r w:rsidRPr="00B64F75">
        <w:rPr>
          <w:rFonts w:asciiTheme="minorHAnsi" w:hAnsiTheme="minorHAnsi" w:cstheme="minorHAnsi"/>
          <w:sz w:val="20"/>
          <w:szCs w:val="20"/>
        </w:rPr>
        <w:t>A</w:t>
      </w:r>
      <w:r w:rsidR="007B0AB4">
        <w:rPr>
          <w:rFonts w:asciiTheme="minorHAnsi" w:hAnsiTheme="minorHAnsi" w:cstheme="minorHAnsi"/>
          <w:sz w:val="20"/>
          <w:szCs w:val="20"/>
        </w:rPr>
        <w:t xml:space="preserve">l agregar </w:t>
      </w:r>
      <w:r w:rsidRPr="00B64F75">
        <w:rPr>
          <w:rFonts w:asciiTheme="minorHAnsi" w:hAnsiTheme="minorHAnsi" w:cstheme="minorHAnsi"/>
          <w:sz w:val="20"/>
          <w:szCs w:val="20"/>
        </w:rPr>
        <w:t xml:space="preserve">al PIBN a valores básicos producido por todos los sectores de actividad económica </w:t>
      </w:r>
      <w:r w:rsidR="00B33891">
        <w:rPr>
          <w:rFonts w:asciiTheme="minorHAnsi" w:hAnsiTheme="minorHAnsi" w:cstheme="minorHAnsi"/>
          <w:b/>
          <w:sz w:val="20"/>
          <w:szCs w:val="20"/>
        </w:rPr>
        <w:t>los</w:t>
      </w:r>
      <w:r w:rsidRPr="00AC52AE">
        <w:rPr>
          <w:rFonts w:asciiTheme="minorHAnsi" w:hAnsiTheme="minorHAnsi" w:cstheme="minorHAnsi"/>
          <w:b/>
          <w:sz w:val="20"/>
          <w:szCs w:val="20"/>
        </w:rPr>
        <w:t xml:space="preserve"> impuestos a los productos netos de subsidios</w:t>
      </w:r>
      <w:r w:rsidR="007B0AB4">
        <w:rPr>
          <w:rFonts w:asciiTheme="minorHAnsi" w:hAnsiTheme="minorHAnsi" w:cstheme="minorHAnsi"/>
          <w:b/>
          <w:sz w:val="20"/>
          <w:szCs w:val="20"/>
        </w:rPr>
        <w:t xml:space="preserve"> </w:t>
      </w:r>
      <w:r w:rsidR="007B0AB4" w:rsidRPr="00CF4FF1">
        <w:rPr>
          <w:rFonts w:asciiTheme="minorHAnsi" w:hAnsiTheme="minorHAnsi" w:cstheme="minorHAnsi"/>
          <w:sz w:val="20"/>
          <w:szCs w:val="20"/>
        </w:rPr>
        <w:t>(los cuales cerraron en</w:t>
      </w:r>
      <w:r w:rsidR="007B0AB4">
        <w:rPr>
          <w:rFonts w:asciiTheme="minorHAnsi" w:hAnsiTheme="minorHAnsi" w:cstheme="minorHAnsi"/>
          <w:b/>
          <w:sz w:val="20"/>
          <w:szCs w:val="20"/>
        </w:rPr>
        <w:t xml:space="preserve"> </w:t>
      </w:r>
      <w:r w:rsidR="00AC394A">
        <w:rPr>
          <w:rFonts w:asciiTheme="minorHAnsi" w:hAnsiTheme="minorHAnsi" w:cstheme="minorHAnsi"/>
          <w:sz w:val="20"/>
          <w:szCs w:val="20"/>
        </w:rPr>
        <w:t>1,</w:t>
      </w:r>
      <w:r w:rsidR="00847594">
        <w:rPr>
          <w:rFonts w:asciiTheme="minorHAnsi" w:hAnsiTheme="minorHAnsi" w:cstheme="minorHAnsi"/>
          <w:sz w:val="20"/>
          <w:szCs w:val="20"/>
        </w:rPr>
        <w:t>5</w:t>
      </w:r>
      <w:r w:rsidR="00D3634C">
        <w:rPr>
          <w:rFonts w:asciiTheme="minorHAnsi" w:hAnsiTheme="minorHAnsi" w:cstheme="minorHAnsi"/>
          <w:sz w:val="20"/>
          <w:szCs w:val="20"/>
        </w:rPr>
        <w:t>57</w:t>
      </w:r>
      <w:r w:rsidR="003349D0">
        <w:rPr>
          <w:rFonts w:asciiTheme="minorHAnsi" w:hAnsiTheme="minorHAnsi" w:cstheme="minorHAnsi"/>
          <w:sz w:val="20"/>
          <w:szCs w:val="20"/>
        </w:rPr>
        <w:t>,</w:t>
      </w:r>
      <w:r w:rsidR="00847594">
        <w:rPr>
          <w:rFonts w:asciiTheme="minorHAnsi" w:hAnsiTheme="minorHAnsi" w:cstheme="minorHAnsi"/>
          <w:sz w:val="20"/>
          <w:szCs w:val="20"/>
        </w:rPr>
        <w:t>5</w:t>
      </w:r>
      <w:r w:rsidR="00D3634C">
        <w:rPr>
          <w:rFonts w:asciiTheme="minorHAnsi" w:hAnsiTheme="minorHAnsi" w:cstheme="minorHAnsi"/>
          <w:sz w:val="20"/>
          <w:szCs w:val="20"/>
        </w:rPr>
        <w:t>50</w:t>
      </w:r>
      <w:r w:rsidR="00A231AB">
        <w:rPr>
          <w:rFonts w:asciiTheme="minorHAnsi" w:hAnsiTheme="minorHAnsi" w:cstheme="minorHAnsi"/>
          <w:sz w:val="20"/>
          <w:szCs w:val="20"/>
        </w:rPr>
        <w:t xml:space="preserve"> </w:t>
      </w:r>
      <w:r w:rsidRPr="00B64F75">
        <w:rPr>
          <w:rFonts w:asciiTheme="minorHAnsi" w:hAnsiTheme="minorHAnsi" w:cstheme="minorHAnsi"/>
          <w:sz w:val="20"/>
          <w:szCs w:val="20"/>
        </w:rPr>
        <w:t>millones de pesos en el periodo de referencia</w:t>
      </w:r>
      <w:r w:rsidR="00CF4FF1">
        <w:rPr>
          <w:rFonts w:asciiTheme="minorHAnsi" w:hAnsiTheme="minorHAnsi" w:cstheme="minorHAnsi"/>
          <w:sz w:val="20"/>
          <w:szCs w:val="20"/>
        </w:rPr>
        <w:t>)</w:t>
      </w:r>
      <w:r w:rsidRPr="00B64F75">
        <w:rPr>
          <w:rFonts w:asciiTheme="minorHAnsi" w:hAnsiTheme="minorHAnsi" w:cstheme="minorHAnsi"/>
          <w:sz w:val="20"/>
          <w:szCs w:val="20"/>
        </w:rPr>
        <w:t>, se obtiene el Producto Interno Bruto Nominal a precios de mercado, que como se señaló, fue de</w:t>
      </w:r>
      <w:r w:rsidR="003349D0">
        <w:rPr>
          <w:rFonts w:asciiTheme="minorHAnsi" w:hAnsiTheme="minorHAnsi" w:cstheme="minorHAnsi"/>
          <w:sz w:val="20"/>
          <w:szCs w:val="20"/>
        </w:rPr>
        <w:t xml:space="preserve"> </w:t>
      </w:r>
      <w:r w:rsidR="001A5F5C">
        <w:rPr>
          <w:rFonts w:asciiTheme="minorHAnsi" w:hAnsiTheme="minorHAnsi" w:cstheme="minorHAnsi"/>
          <w:sz w:val="20"/>
          <w:szCs w:val="20"/>
        </w:rPr>
        <w:t>2</w:t>
      </w:r>
      <w:r w:rsidR="00D3634C">
        <w:rPr>
          <w:rFonts w:asciiTheme="minorHAnsi" w:hAnsiTheme="minorHAnsi" w:cstheme="minorHAnsi"/>
          <w:sz w:val="20"/>
          <w:szCs w:val="20"/>
        </w:rPr>
        <w:t>5</w:t>
      </w:r>
      <w:r w:rsidRPr="00B64F75">
        <w:rPr>
          <w:rFonts w:asciiTheme="minorHAnsi" w:hAnsiTheme="minorHAnsi" w:cstheme="minorHAnsi"/>
          <w:sz w:val="20"/>
          <w:szCs w:val="20"/>
        </w:rPr>
        <w:t>.</w:t>
      </w:r>
      <w:r w:rsidR="00D3634C">
        <w:rPr>
          <w:rFonts w:asciiTheme="minorHAnsi" w:hAnsiTheme="minorHAnsi" w:cstheme="minorHAnsi"/>
          <w:sz w:val="20"/>
          <w:szCs w:val="20"/>
        </w:rPr>
        <w:t>931</w:t>
      </w:r>
      <w:r w:rsidR="00917628">
        <w:rPr>
          <w:rFonts w:asciiTheme="minorHAnsi" w:hAnsiTheme="minorHAnsi" w:cstheme="minorHAnsi"/>
          <w:sz w:val="20"/>
          <w:szCs w:val="20"/>
        </w:rPr>
        <w:t xml:space="preserve"> </w:t>
      </w:r>
      <w:r w:rsidRPr="00B64F75">
        <w:rPr>
          <w:rFonts w:asciiTheme="minorHAnsi" w:hAnsiTheme="minorHAnsi" w:cstheme="minorHAnsi"/>
          <w:sz w:val="20"/>
          <w:szCs w:val="20"/>
        </w:rPr>
        <w:t>billones de pesos corrientes.</w:t>
      </w:r>
    </w:p>
    <w:p w14:paraId="1428ECA2" w14:textId="77777777" w:rsidR="00A96075" w:rsidRDefault="00A96075" w:rsidP="00A96075">
      <w:pPr>
        <w:pStyle w:val="Textoindependiente"/>
        <w:spacing w:line="220" w:lineRule="exact"/>
        <w:rPr>
          <w:rFonts w:asciiTheme="minorHAnsi" w:hAnsiTheme="minorHAnsi" w:cstheme="minorHAnsi"/>
          <w:sz w:val="20"/>
          <w:szCs w:val="20"/>
        </w:rPr>
      </w:pPr>
    </w:p>
    <w:p w14:paraId="010AAE8A" w14:textId="77777777" w:rsidR="0070129D" w:rsidRDefault="0070129D" w:rsidP="0070129D">
      <w:pPr>
        <w:pStyle w:val="p0"/>
        <w:keepNext/>
        <w:widowControl/>
        <w:spacing w:before="120"/>
        <w:jc w:val="center"/>
        <w:rPr>
          <w:rFonts w:asciiTheme="minorHAnsi" w:hAnsiTheme="minorHAnsi" w:cstheme="minorHAnsi"/>
          <w:b/>
          <w:smallCaps/>
          <w:snapToGrid/>
          <w:color w:val="auto"/>
          <w:sz w:val="18"/>
          <w:szCs w:val="18"/>
          <w:lang w:eastAsia="es-MX"/>
        </w:rPr>
      </w:pPr>
    </w:p>
    <w:p w14:paraId="11D693A4" w14:textId="77777777" w:rsidR="0070129D" w:rsidRDefault="0070129D" w:rsidP="0070129D">
      <w:pPr>
        <w:pStyle w:val="p0"/>
        <w:keepNext/>
        <w:widowControl/>
        <w:spacing w:before="120"/>
        <w:jc w:val="center"/>
        <w:rPr>
          <w:rFonts w:asciiTheme="minorHAnsi" w:hAnsiTheme="minorHAnsi" w:cstheme="minorHAnsi"/>
          <w:b/>
          <w:smallCaps/>
          <w:snapToGrid/>
          <w:color w:val="auto"/>
          <w:sz w:val="18"/>
          <w:szCs w:val="18"/>
          <w:lang w:eastAsia="es-MX"/>
        </w:rPr>
      </w:pPr>
    </w:p>
    <w:p w14:paraId="6FEAB432" w14:textId="77777777" w:rsidR="00C129C8" w:rsidRDefault="00C129C8" w:rsidP="0070129D">
      <w:pPr>
        <w:pStyle w:val="p0"/>
        <w:keepNext/>
        <w:widowControl/>
        <w:spacing w:before="120"/>
        <w:jc w:val="center"/>
        <w:rPr>
          <w:rFonts w:asciiTheme="minorHAnsi" w:hAnsiTheme="minorHAnsi" w:cstheme="minorHAnsi"/>
          <w:b/>
          <w:smallCaps/>
          <w:snapToGrid/>
          <w:color w:val="auto"/>
          <w:sz w:val="18"/>
          <w:szCs w:val="18"/>
          <w:lang w:eastAsia="es-MX"/>
        </w:rPr>
      </w:pPr>
    </w:p>
    <w:p w14:paraId="1A0FE1A8" w14:textId="77777777" w:rsidR="0061356E" w:rsidRPr="00366112" w:rsidRDefault="00C173FC" w:rsidP="0070129D">
      <w:pPr>
        <w:pStyle w:val="p0"/>
        <w:keepNext/>
        <w:widowControl/>
        <w:spacing w:before="120"/>
        <w:jc w:val="center"/>
        <w:rPr>
          <w:rFonts w:asciiTheme="minorHAnsi" w:hAnsiTheme="minorHAnsi" w:cstheme="minorHAnsi"/>
          <w:b/>
          <w:smallCaps/>
          <w:snapToGrid/>
          <w:color w:val="auto"/>
          <w:sz w:val="18"/>
          <w:szCs w:val="18"/>
          <w:lang w:eastAsia="es-MX"/>
        </w:rPr>
      </w:pPr>
      <w:r>
        <w:rPr>
          <w:rFonts w:asciiTheme="minorHAnsi" w:hAnsiTheme="minorHAnsi" w:cstheme="minorHAnsi"/>
          <w:b/>
          <w:smallCaps/>
          <w:snapToGrid/>
          <w:color w:val="auto"/>
          <w:sz w:val="18"/>
          <w:szCs w:val="18"/>
          <w:lang w:eastAsia="es-MX"/>
        </w:rPr>
        <w:br w:type="column"/>
      </w:r>
      <w:r w:rsidR="0061356E" w:rsidRPr="00366112">
        <w:rPr>
          <w:rFonts w:asciiTheme="minorHAnsi" w:hAnsiTheme="minorHAnsi" w:cstheme="minorHAnsi"/>
          <w:b/>
          <w:smallCaps/>
          <w:snapToGrid/>
          <w:color w:val="auto"/>
          <w:sz w:val="18"/>
          <w:szCs w:val="18"/>
          <w:lang w:eastAsia="es-MX"/>
        </w:rPr>
        <w:t xml:space="preserve">Producto Interno Bruto Nominal </w:t>
      </w:r>
    </w:p>
    <w:p w14:paraId="6E50B315" w14:textId="7BB599A3" w:rsidR="0061356E" w:rsidRDefault="0061356E" w:rsidP="0061356E">
      <w:pPr>
        <w:pStyle w:val="Textoindependiente"/>
        <w:spacing w:line="220" w:lineRule="exact"/>
        <w:jc w:val="center"/>
        <w:rPr>
          <w:rFonts w:asciiTheme="minorHAnsi" w:hAnsiTheme="minorHAnsi" w:cstheme="minorHAnsi"/>
          <w:sz w:val="20"/>
          <w:szCs w:val="20"/>
        </w:rPr>
      </w:pPr>
      <w:r w:rsidRPr="00366112">
        <w:rPr>
          <w:rFonts w:asciiTheme="minorHAnsi" w:hAnsiTheme="minorHAnsi" w:cstheme="minorHAnsi"/>
          <w:b/>
          <w:smallCaps/>
          <w:sz w:val="18"/>
          <w:szCs w:val="18"/>
        </w:rPr>
        <w:t xml:space="preserve">durante el </w:t>
      </w:r>
      <w:r w:rsidR="00B966B2">
        <w:rPr>
          <w:rFonts w:asciiTheme="minorHAnsi" w:hAnsiTheme="minorHAnsi" w:cstheme="minorHAnsi"/>
          <w:b/>
          <w:smallCaps/>
          <w:sz w:val="18"/>
          <w:szCs w:val="18"/>
        </w:rPr>
        <w:t xml:space="preserve">segundo </w:t>
      </w:r>
      <w:r w:rsidR="008713C3">
        <w:rPr>
          <w:rFonts w:asciiTheme="minorHAnsi" w:hAnsiTheme="minorHAnsi" w:cstheme="minorHAnsi"/>
          <w:b/>
          <w:smallCaps/>
          <w:sz w:val="18"/>
          <w:szCs w:val="18"/>
        </w:rPr>
        <w:t>t</w:t>
      </w:r>
      <w:r w:rsidRPr="00366112">
        <w:rPr>
          <w:rFonts w:asciiTheme="minorHAnsi" w:hAnsiTheme="minorHAnsi" w:cstheme="minorHAnsi"/>
          <w:b/>
          <w:smallCaps/>
          <w:sz w:val="18"/>
          <w:szCs w:val="18"/>
        </w:rPr>
        <w:t>rimestre de 20</w:t>
      </w:r>
      <w:r w:rsidR="003607C0">
        <w:rPr>
          <w:rFonts w:asciiTheme="minorHAnsi" w:hAnsiTheme="minorHAnsi" w:cstheme="minorHAnsi"/>
          <w:b/>
          <w:smallCaps/>
          <w:sz w:val="18"/>
          <w:szCs w:val="18"/>
        </w:rPr>
        <w:t>2</w:t>
      </w:r>
      <w:r w:rsidR="00F07236">
        <w:rPr>
          <w:rFonts w:asciiTheme="minorHAnsi" w:hAnsiTheme="minorHAnsi" w:cstheme="minorHAnsi"/>
          <w:b/>
          <w:smallCaps/>
          <w:sz w:val="18"/>
          <w:szCs w:val="18"/>
        </w:rPr>
        <w:t>1</w:t>
      </w:r>
      <w:r w:rsidR="00B71856" w:rsidRPr="0061356E">
        <w:rPr>
          <w:rFonts w:asciiTheme="minorHAnsi" w:hAnsiTheme="minorHAnsi" w:cstheme="minorHAnsi"/>
          <w:b/>
          <w:smallCaps/>
          <w:sz w:val="18"/>
          <w:szCs w:val="18"/>
          <w:vertAlign w:val="superscript"/>
        </w:rPr>
        <w:t>p/</w:t>
      </w:r>
      <w:r w:rsidRPr="004A5607">
        <w:rPr>
          <w:rFonts w:asciiTheme="minorHAnsi" w:hAnsiTheme="minorHAnsi" w:cstheme="minorHAnsi"/>
          <w:sz w:val="20"/>
          <w:szCs w:val="20"/>
        </w:rPr>
        <w:t xml:space="preserve"> </w:t>
      </w:r>
    </w:p>
    <w:tbl>
      <w:tblPr>
        <w:tblStyle w:val="Tablaconcuadrcula"/>
        <w:tblW w:w="484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842"/>
      </w:tblGrid>
      <w:tr w:rsidR="0061356E" w:rsidRPr="000F09B9" w14:paraId="0A1055E7" w14:textId="77777777" w:rsidTr="008B252F">
        <w:trPr>
          <w:jc w:val="right"/>
        </w:trPr>
        <w:tc>
          <w:tcPr>
            <w:tcW w:w="4842" w:type="dxa"/>
          </w:tcPr>
          <w:tbl>
            <w:tblPr>
              <w:tblStyle w:val="Tablaconcuadrcula"/>
              <w:tblW w:w="5000" w:type="pct"/>
              <w:tblLayout w:type="fixed"/>
              <w:tblLook w:val="04A0" w:firstRow="1" w:lastRow="0" w:firstColumn="1" w:lastColumn="0" w:noHBand="0" w:noVBand="1"/>
            </w:tblPr>
            <w:tblGrid>
              <w:gridCol w:w="3132"/>
              <w:gridCol w:w="897"/>
              <w:gridCol w:w="783"/>
            </w:tblGrid>
            <w:tr w:rsidR="0061356E" w:rsidRPr="000B5CD5" w14:paraId="18D3D948" w14:textId="77777777" w:rsidTr="00DF2BC3">
              <w:tc>
                <w:tcPr>
                  <w:tcW w:w="3132" w:type="dxa"/>
                  <w:vMerge w:val="restart"/>
                  <w:tcBorders>
                    <w:top w:val="double" w:sz="4" w:space="0" w:color="auto"/>
                    <w:left w:val="double" w:sz="4" w:space="0" w:color="auto"/>
                    <w:right w:val="double" w:sz="4" w:space="0" w:color="auto"/>
                  </w:tcBorders>
                  <w:shd w:val="clear" w:color="auto" w:fill="8DB3E2" w:themeFill="text2" w:themeFillTint="66"/>
                  <w:vAlign w:val="center"/>
                </w:tcPr>
                <w:p w14:paraId="28F330A8" w14:textId="77777777" w:rsidR="0061356E" w:rsidRPr="00CF4FF1" w:rsidRDefault="0061356E" w:rsidP="00DF2BC3">
                  <w:pPr>
                    <w:pStyle w:val="Textoindependiente"/>
                    <w:widowControl w:val="0"/>
                    <w:spacing w:line="200" w:lineRule="exact"/>
                    <w:jc w:val="left"/>
                    <w:rPr>
                      <w:rFonts w:asciiTheme="minorHAnsi" w:hAnsiTheme="minorHAnsi" w:cstheme="minorHAnsi"/>
                      <w:b/>
                      <w:sz w:val="15"/>
                      <w:szCs w:val="15"/>
                    </w:rPr>
                  </w:pPr>
                  <w:r w:rsidRPr="00CF4FF1">
                    <w:rPr>
                      <w:rFonts w:asciiTheme="minorHAnsi" w:hAnsiTheme="minorHAnsi" w:cstheme="minorHAnsi"/>
                      <w:b/>
                      <w:sz w:val="15"/>
                      <w:szCs w:val="15"/>
                    </w:rPr>
                    <w:t>Denominación</w:t>
                  </w:r>
                </w:p>
              </w:tc>
              <w:tc>
                <w:tcPr>
                  <w:tcW w:w="1680" w:type="dxa"/>
                  <w:gridSpan w:val="2"/>
                  <w:tcBorders>
                    <w:top w:val="double" w:sz="4" w:space="0" w:color="auto"/>
                    <w:left w:val="double" w:sz="4" w:space="0" w:color="auto"/>
                    <w:bottom w:val="double" w:sz="4" w:space="0" w:color="auto"/>
                    <w:right w:val="double" w:sz="4" w:space="0" w:color="auto"/>
                  </w:tcBorders>
                  <w:shd w:val="clear" w:color="auto" w:fill="8DB3E2" w:themeFill="text2" w:themeFillTint="66"/>
                  <w:vAlign w:val="center"/>
                </w:tcPr>
                <w:p w14:paraId="149E529C" w14:textId="77777777" w:rsidR="0061356E" w:rsidRPr="00CF4FF1" w:rsidRDefault="0061356E" w:rsidP="00DF2BC3">
                  <w:pPr>
                    <w:pStyle w:val="Textoindependiente"/>
                    <w:widowControl w:val="0"/>
                    <w:spacing w:line="200" w:lineRule="exact"/>
                    <w:ind w:left="-48" w:right="-43"/>
                    <w:jc w:val="center"/>
                    <w:rPr>
                      <w:rFonts w:asciiTheme="minorHAnsi" w:hAnsiTheme="minorHAnsi" w:cstheme="minorHAnsi"/>
                      <w:b/>
                      <w:sz w:val="15"/>
                      <w:szCs w:val="15"/>
                    </w:rPr>
                  </w:pPr>
                  <w:r w:rsidRPr="00CF4FF1">
                    <w:rPr>
                      <w:rFonts w:asciiTheme="minorHAnsi" w:hAnsiTheme="minorHAnsi" w:cstheme="minorHAnsi"/>
                      <w:b/>
                      <w:sz w:val="15"/>
                      <w:szCs w:val="15"/>
                    </w:rPr>
                    <w:t xml:space="preserve">PIBN </w:t>
                  </w:r>
                </w:p>
              </w:tc>
            </w:tr>
            <w:tr w:rsidR="0061356E" w:rsidRPr="000B5CD5" w14:paraId="5C9746BC" w14:textId="77777777" w:rsidTr="00DF2BC3">
              <w:tc>
                <w:tcPr>
                  <w:tcW w:w="3132" w:type="dxa"/>
                  <w:vMerge/>
                  <w:tcBorders>
                    <w:left w:val="double" w:sz="4" w:space="0" w:color="auto"/>
                    <w:bottom w:val="double" w:sz="4" w:space="0" w:color="auto"/>
                    <w:right w:val="double" w:sz="4" w:space="0" w:color="auto"/>
                  </w:tcBorders>
                  <w:shd w:val="clear" w:color="auto" w:fill="8DB3E2" w:themeFill="text2" w:themeFillTint="66"/>
                  <w:vAlign w:val="center"/>
                </w:tcPr>
                <w:p w14:paraId="124351E3" w14:textId="77777777" w:rsidR="0061356E" w:rsidRPr="00595108" w:rsidRDefault="0061356E" w:rsidP="00DF2BC3">
                  <w:pPr>
                    <w:pStyle w:val="Textoindependiente"/>
                    <w:widowControl w:val="0"/>
                    <w:spacing w:line="200" w:lineRule="exact"/>
                    <w:jc w:val="left"/>
                    <w:rPr>
                      <w:rFonts w:asciiTheme="minorHAnsi" w:hAnsiTheme="minorHAnsi" w:cstheme="minorHAnsi"/>
                      <w:b/>
                      <w:sz w:val="16"/>
                      <w:szCs w:val="18"/>
                    </w:rPr>
                  </w:pPr>
                </w:p>
              </w:tc>
              <w:tc>
                <w:tcPr>
                  <w:tcW w:w="897" w:type="dxa"/>
                  <w:tcBorders>
                    <w:top w:val="double" w:sz="4" w:space="0" w:color="auto"/>
                    <w:left w:val="double" w:sz="4" w:space="0" w:color="auto"/>
                    <w:bottom w:val="double" w:sz="4" w:space="0" w:color="auto"/>
                    <w:right w:val="double" w:sz="4" w:space="0" w:color="auto"/>
                  </w:tcBorders>
                  <w:shd w:val="clear" w:color="auto" w:fill="8DB3E2" w:themeFill="text2" w:themeFillTint="66"/>
                  <w:vAlign w:val="center"/>
                </w:tcPr>
                <w:p w14:paraId="3BA923D1" w14:textId="77777777" w:rsidR="0061356E" w:rsidRPr="00CF4FF1" w:rsidRDefault="0061356E" w:rsidP="00DF2BC3">
                  <w:pPr>
                    <w:pStyle w:val="Textoindependiente"/>
                    <w:widowControl w:val="0"/>
                    <w:spacing w:line="200" w:lineRule="exact"/>
                    <w:ind w:left="-80" w:right="-100"/>
                    <w:jc w:val="center"/>
                    <w:rPr>
                      <w:rFonts w:asciiTheme="minorHAnsi" w:hAnsiTheme="minorHAnsi" w:cstheme="minorHAnsi"/>
                      <w:b/>
                      <w:sz w:val="15"/>
                      <w:szCs w:val="15"/>
                    </w:rPr>
                  </w:pPr>
                  <w:r w:rsidRPr="00CF4FF1">
                    <w:rPr>
                      <w:rFonts w:asciiTheme="minorHAnsi" w:hAnsiTheme="minorHAnsi" w:cstheme="minorHAnsi"/>
                      <w:b/>
                      <w:sz w:val="15"/>
                      <w:szCs w:val="15"/>
                    </w:rPr>
                    <w:t>Millones de Pesos</w:t>
                  </w:r>
                </w:p>
              </w:tc>
              <w:tc>
                <w:tcPr>
                  <w:tcW w:w="783" w:type="dxa"/>
                  <w:tcBorders>
                    <w:top w:val="double" w:sz="4" w:space="0" w:color="auto"/>
                    <w:left w:val="double" w:sz="4" w:space="0" w:color="auto"/>
                    <w:bottom w:val="double" w:sz="4" w:space="0" w:color="auto"/>
                    <w:right w:val="double" w:sz="4" w:space="0" w:color="auto"/>
                  </w:tcBorders>
                  <w:shd w:val="clear" w:color="auto" w:fill="8DB3E2" w:themeFill="text2" w:themeFillTint="66"/>
                  <w:vAlign w:val="center"/>
                </w:tcPr>
                <w:p w14:paraId="62CFE529" w14:textId="77777777" w:rsidR="0061356E" w:rsidRPr="00CF4FF1" w:rsidRDefault="0061356E" w:rsidP="00DF2BC3">
                  <w:pPr>
                    <w:pStyle w:val="Textoindependiente"/>
                    <w:widowControl w:val="0"/>
                    <w:spacing w:line="200" w:lineRule="exact"/>
                    <w:ind w:left="-48" w:right="-43"/>
                    <w:jc w:val="center"/>
                    <w:rPr>
                      <w:rFonts w:asciiTheme="minorHAnsi" w:hAnsiTheme="minorHAnsi" w:cstheme="minorHAnsi"/>
                      <w:b/>
                      <w:sz w:val="15"/>
                      <w:szCs w:val="15"/>
                    </w:rPr>
                  </w:pPr>
                  <w:r w:rsidRPr="00CF4FF1">
                    <w:rPr>
                      <w:rFonts w:asciiTheme="minorHAnsi" w:hAnsiTheme="minorHAnsi" w:cstheme="minorHAnsi"/>
                      <w:b/>
                      <w:sz w:val="15"/>
                      <w:szCs w:val="15"/>
                    </w:rPr>
                    <w:t>Estructura %</w:t>
                  </w:r>
                </w:p>
              </w:tc>
            </w:tr>
            <w:tr w:rsidR="004F6F93" w:rsidRPr="000B5CD5" w14:paraId="74593176" w14:textId="77777777" w:rsidTr="00DF2BC3">
              <w:tc>
                <w:tcPr>
                  <w:tcW w:w="3132" w:type="dxa"/>
                  <w:tcBorders>
                    <w:top w:val="double" w:sz="4" w:space="0" w:color="auto"/>
                    <w:left w:val="double" w:sz="4" w:space="0" w:color="auto"/>
                    <w:bottom w:val="nil"/>
                    <w:right w:val="double" w:sz="4" w:space="0" w:color="auto"/>
                  </w:tcBorders>
                  <w:vAlign w:val="bottom"/>
                </w:tcPr>
                <w:p w14:paraId="32818944" w14:textId="77777777" w:rsidR="004F6F93" w:rsidRPr="006732D5" w:rsidRDefault="004F6F93" w:rsidP="00DF2BC3">
                  <w:pPr>
                    <w:keepNext/>
                    <w:tabs>
                      <w:tab w:val="left" w:pos="579"/>
                    </w:tabs>
                    <w:spacing w:before="60"/>
                    <w:ind w:left="593" w:hanging="576"/>
                    <w:rPr>
                      <w:rFonts w:cstheme="minorHAnsi"/>
                      <w:b/>
                      <w:sz w:val="14"/>
                      <w:szCs w:val="14"/>
                      <w:u w:val="single"/>
                    </w:rPr>
                  </w:pPr>
                  <w:r w:rsidRPr="006732D5">
                    <w:rPr>
                      <w:rFonts w:cs="Arial"/>
                      <w:b/>
                      <w:bCs/>
                      <w:sz w:val="14"/>
                      <w:szCs w:val="14"/>
                    </w:rPr>
                    <w:t xml:space="preserve">PRODUCTO INTERNO BRUTO </w:t>
                  </w:r>
                  <w:r w:rsidRPr="006732D5">
                    <w:rPr>
                      <w:rFonts w:cs="Arial"/>
                      <w:b/>
                      <w:bCs/>
                      <w:sz w:val="12"/>
                      <w:szCs w:val="12"/>
                    </w:rPr>
                    <w:t>(a precios de mercado)</w:t>
                  </w:r>
                </w:p>
              </w:tc>
              <w:tc>
                <w:tcPr>
                  <w:tcW w:w="897" w:type="dxa"/>
                  <w:tcBorders>
                    <w:top w:val="double" w:sz="4" w:space="0" w:color="auto"/>
                    <w:left w:val="double" w:sz="4" w:space="0" w:color="auto"/>
                    <w:bottom w:val="nil"/>
                    <w:right w:val="nil"/>
                  </w:tcBorders>
                  <w:vAlign w:val="bottom"/>
                </w:tcPr>
                <w:p w14:paraId="2E7BCFEB" w14:textId="74C10723" w:rsidR="004F6F93" w:rsidRPr="007E30E2" w:rsidRDefault="00C55199" w:rsidP="008A055E">
                  <w:pPr>
                    <w:jc w:val="center"/>
                    <w:rPr>
                      <w:rFonts w:cstheme="minorHAnsi"/>
                      <w:b/>
                      <w:sz w:val="14"/>
                      <w:szCs w:val="14"/>
                    </w:rPr>
                  </w:pPr>
                  <w:r>
                    <w:rPr>
                      <w:rFonts w:cstheme="minorHAnsi"/>
                      <w:b/>
                      <w:sz w:val="14"/>
                      <w:szCs w:val="14"/>
                    </w:rPr>
                    <w:t>2</w:t>
                  </w:r>
                  <w:r w:rsidR="003A0B20">
                    <w:rPr>
                      <w:rFonts w:cstheme="minorHAnsi"/>
                      <w:b/>
                      <w:sz w:val="14"/>
                      <w:szCs w:val="14"/>
                    </w:rPr>
                    <w:t>5</w:t>
                  </w:r>
                  <w:r w:rsidR="004F6F93">
                    <w:rPr>
                      <w:rFonts w:cstheme="minorHAnsi"/>
                      <w:b/>
                      <w:sz w:val="14"/>
                      <w:szCs w:val="14"/>
                    </w:rPr>
                    <w:t>,</w:t>
                  </w:r>
                  <w:r w:rsidR="003A0B20">
                    <w:rPr>
                      <w:rFonts w:cstheme="minorHAnsi"/>
                      <w:b/>
                      <w:sz w:val="14"/>
                      <w:szCs w:val="14"/>
                    </w:rPr>
                    <w:t>931</w:t>
                  </w:r>
                  <w:r w:rsidR="004F6F93">
                    <w:rPr>
                      <w:rFonts w:cstheme="minorHAnsi"/>
                      <w:b/>
                      <w:sz w:val="14"/>
                      <w:szCs w:val="14"/>
                    </w:rPr>
                    <w:t>,</w:t>
                  </w:r>
                  <w:r w:rsidR="00F92882">
                    <w:rPr>
                      <w:rFonts w:cstheme="minorHAnsi"/>
                      <w:b/>
                      <w:sz w:val="14"/>
                      <w:szCs w:val="14"/>
                    </w:rPr>
                    <w:t>3</w:t>
                  </w:r>
                  <w:r w:rsidR="003A0B20">
                    <w:rPr>
                      <w:rFonts w:cstheme="minorHAnsi"/>
                      <w:b/>
                      <w:sz w:val="14"/>
                      <w:szCs w:val="14"/>
                    </w:rPr>
                    <w:t>69</w:t>
                  </w:r>
                </w:p>
              </w:tc>
              <w:tc>
                <w:tcPr>
                  <w:tcW w:w="783" w:type="dxa"/>
                  <w:tcBorders>
                    <w:top w:val="double" w:sz="4" w:space="0" w:color="auto"/>
                    <w:left w:val="nil"/>
                    <w:bottom w:val="nil"/>
                    <w:right w:val="double" w:sz="4" w:space="0" w:color="auto"/>
                  </w:tcBorders>
                </w:tcPr>
                <w:p w14:paraId="5EE43885" w14:textId="77777777" w:rsidR="004F6F93" w:rsidRPr="00E93446" w:rsidRDefault="004F6F93" w:rsidP="00DF2BC3">
                  <w:pPr>
                    <w:jc w:val="right"/>
                    <w:rPr>
                      <w:rFonts w:cstheme="minorHAnsi"/>
                      <w:sz w:val="14"/>
                      <w:szCs w:val="14"/>
                    </w:rPr>
                  </w:pPr>
                </w:p>
              </w:tc>
            </w:tr>
            <w:tr w:rsidR="004F6F93" w:rsidRPr="000B5CD5" w14:paraId="3B70677C" w14:textId="77777777" w:rsidTr="00DF2BC3">
              <w:tc>
                <w:tcPr>
                  <w:tcW w:w="3132" w:type="dxa"/>
                  <w:tcBorders>
                    <w:top w:val="nil"/>
                    <w:left w:val="double" w:sz="4" w:space="0" w:color="auto"/>
                    <w:bottom w:val="nil"/>
                    <w:right w:val="double" w:sz="4" w:space="0" w:color="auto"/>
                  </w:tcBorders>
                  <w:vAlign w:val="center"/>
                </w:tcPr>
                <w:p w14:paraId="1CCB7255" w14:textId="77777777" w:rsidR="004F6F93" w:rsidRPr="00373153" w:rsidRDefault="004F6F93" w:rsidP="00DF2BC3">
                  <w:pPr>
                    <w:keepNext/>
                    <w:tabs>
                      <w:tab w:val="left" w:pos="579"/>
                    </w:tabs>
                    <w:ind w:left="593" w:hanging="576"/>
                    <w:rPr>
                      <w:rFonts w:cs="Arial"/>
                      <w:bCs/>
                      <w:sz w:val="14"/>
                      <w:szCs w:val="14"/>
                    </w:rPr>
                  </w:pPr>
                  <w:r w:rsidRPr="00373153">
                    <w:rPr>
                      <w:rFonts w:cs="Arial"/>
                      <w:bCs/>
                      <w:sz w:val="14"/>
                      <w:szCs w:val="14"/>
                    </w:rPr>
                    <w:t>Impuestos a los productos, netos</w:t>
                  </w:r>
                  <w:r>
                    <w:rPr>
                      <w:rFonts w:cs="Arial"/>
                      <w:bCs/>
                      <w:sz w:val="14"/>
                      <w:szCs w:val="14"/>
                    </w:rPr>
                    <w:t xml:space="preserve"> de subsidios</w:t>
                  </w:r>
                </w:p>
              </w:tc>
              <w:tc>
                <w:tcPr>
                  <w:tcW w:w="897" w:type="dxa"/>
                  <w:tcBorders>
                    <w:top w:val="nil"/>
                    <w:left w:val="double" w:sz="4" w:space="0" w:color="auto"/>
                    <w:bottom w:val="nil"/>
                    <w:right w:val="nil"/>
                  </w:tcBorders>
                </w:tcPr>
                <w:p w14:paraId="43EDE119" w14:textId="50C13411" w:rsidR="004F6F93" w:rsidRPr="00E93446" w:rsidRDefault="00882F7F" w:rsidP="008A055E">
                  <w:pPr>
                    <w:jc w:val="right"/>
                    <w:rPr>
                      <w:rFonts w:cstheme="minorHAnsi"/>
                      <w:sz w:val="14"/>
                      <w:szCs w:val="14"/>
                    </w:rPr>
                  </w:pPr>
                  <w:r>
                    <w:rPr>
                      <w:rFonts w:cstheme="minorHAnsi"/>
                      <w:sz w:val="14"/>
                      <w:szCs w:val="14"/>
                    </w:rPr>
                    <w:t>1,</w:t>
                  </w:r>
                  <w:r w:rsidR="00F92882">
                    <w:rPr>
                      <w:rFonts w:cstheme="minorHAnsi"/>
                      <w:sz w:val="14"/>
                      <w:szCs w:val="14"/>
                    </w:rPr>
                    <w:t>5</w:t>
                  </w:r>
                  <w:r w:rsidR="003A0B20">
                    <w:rPr>
                      <w:rFonts w:cstheme="minorHAnsi"/>
                      <w:sz w:val="14"/>
                      <w:szCs w:val="14"/>
                    </w:rPr>
                    <w:t>57</w:t>
                  </w:r>
                  <w:r w:rsidR="004F6F93">
                    <w:rPr>
                      <w:rFonts w:cstheme="minorHAnsi"/>
                      <w:sz w:val="14"/>
                      <w:szCs w:val="14"/>
                    </w:rPr>
                    <w:t>,</w:t>
                  </w:r>
                  <w:r w:rsidR="00F92882">
                    <w:rPr>
                      <w:rFonts w:cstheme="minorHAnsi"/>
                      <w:sz w:val="14"/>
                      <w:szCs w:val="14"/>
                    </w:rPr>
                    <w:t>5</w:t>
                  </w:r>
                  <w:r w:rsidR="003A0B20">
                    <w:rPr>
                      <w:rFonts w:cstheme="minorHAnsi"/>
                      <w:sz w:val="14"/>
                      <w:szCs w:val="14"/>
                    </w:rPr>
                    <w:t>50</w:t>
                  </w:r>
                </w:p>
              </w:tc>
              <w:tc>
                <w:tcPr>
                  <w:tcW w:w="783" w:type="dxa"/>
                  <w:tcBorders>
                    <w:top w:val="nil"/>
                    <w:left w:val="nil"/>
                    <w:bottom w:val="nil"/>
                    <w:right w:val="double" w:sz="4" w:space="0" w:color="auto"/>
                  </w:tcBorders>
                </w:tcPr>
                <w:p w14:paraId="17E15B18" w14:textId="77777777" w:rsidR="004F6F93" w:rsidRPr="00E93446" w:rsidRDefault="004F6F93" w:rsidP="00DF2BC3">
                  <w:pPr>
                    <w:jc w:val="right"/>
                    <w:rPr>
                      <w:rFonts w:cstheme="minorHAnsi"/>
                      <w:sz w:val="14"/>
                      <w:szCs w:val="14"/>
                    </w:rPr>
                  </w:pPr>
                </w:p>
              </w:tc>
            </w:tr>
            <w:tr w:rsidR="004F6F93" w:rsidRPr="000B5CD5" w14:paraId="4A09D908" w14:textId="77777777" w:rsidTr="00DF2BC3">
              <w:tc>
                <w:tcPr>
                  <w:tcW w:w="3132" w:type="dxa"/>
                  <w:tcBorders>
                    <w:top w:val="nil"/>
                    <w:left w:val="double" w:sz="4" w:space="0" w:color="auto"/>
                    <w:bottom w:val="nil"/>
                    <w:right w:val="double" w:sz="4" w:space="0" w:color="auto"/>
                  </w:tcBorders>
                  <w:vAlign w:val="center"/>
                </w:tcPr>
                <w:p w14:paraId="623EC9A0" w14:textId="77777777" w:rsidR="004F6F93" w:rsidRPr="00373153" w:rsidRDefault="004F6F93" w:rsidP="00DF2BC3">
                  <w:pPr>
                    <w:keepNext/>
                    <w:tabs>
                      <w:tab w:val="left" w:pos="579"/>
                    </w:tabs>
                    <w:ind w:left="593" w:hanging="576"/>
                    <w:rPr>
                      <w:rFonts w:cs="Arial"/>
                      <w:b/>
                      <w:bCs/>
                      <w:sz w:val="14"/>
                      <w:szCs w:val="14"/>
                    </w:rPr>
                  </w:pPr>
                  <w:r w:rsidRPr="00373153">
                    <w:rPr>
                      <w:rFonts w:cs="Arial"/>
                      <w:b/>
                      <w:bCs/>
                      <w:sz w:val="14"/>
                      <w:szCs w:val="14"/>
                    </w:rPr>
                    <w:t xml:space="preserve">VALOR AGREGADO BRUTO </w:t>
                  </w:r>
                  <w:r w:rsidRPr="006732D5">
                    <w:rPr>
                      <w:rFonts w:cs="Arial"/>
                      <w:b/>
                      <w:bCs/>
                      <w:sz w:val="12"/>
                      <w:szCs w:val="14"/>
                    </w:rPr>
                    <w:t>(en valores básicos</w:t>
                  </w:r>
                  <w:r w:rsidRPr="00373153">
                    <w:rPr>
                      <w:rFonts w:cs="Arial"/>
                      <w:b/>
                      <w:bCs/>
                      <w:sz w:val="14"/>
                      <w:szCs w:val="14"/>
                    </w:rPr>
                    <w:t>)</w:t>
                  </w:r>
                </w:p>
              </w:tc>
              <w:tc>
                <w:tcPr>
                  <w:tcW w:w="897" w:type="dxa"/>
                  <w:tcBorders>
                    <w:top w:val="nil"/>
                    <w:left w:val="double" w:sz="4" w:space="0" w:color="auto"/>
                    <w:bottom w:val="nil"/>
                    <w:right w:val="nil"/>
                  </w:tcBorders>
                </w:tcPr>
                <w:p w14:paraId="1DC9E734" w14:textId="6B646E60" w:rsidR="004F6F93" w:rsidRPr="007E30E2" w:rsidRDefault="00126D08" w:rsidP="008A055E">
                  <w:pPr>
                    <w:jc w:val="right"/>
                    <w:rPr>
                      <w:rFonts w:cstheme="minorHAnsi"/>
                      <w:b/>
                      <w:sz w:val="14"/>
                      <w:szCs w:val="14"/>
                    </w:rPr>
                  </w:pPr>
                  <w:r>
                    <w:rPr>
                      <w:rFonts w:cstheme="minorHAnsi"/>
                      <w:b/>
                      <w:sz w:val="14"/>
                      <w:szCs w:val="14"/>
                    </w:rPr>
                    <w:t>2</w:t>
                  </w:r>
                  <w:r w:rsidR="003A0B20">
                    <w:rPr>
                      <w:rFonts w:cstheme="minorHAnsi"/>
                      <w:b/>
                      <w:sz w:val="14"/>
                      <w:szCs w:val="14"/>
                    </w:rPr>
                    <w:t>4</w:t>
                  </w:r>
                  <w:r w:rsidR="004F6F93">
                    <w:rPr>
                      <w:rFonts w:cstheme="minorHAnsi"/>
                      <w:b/>
                      <w:sz w:val="14"/>
                      <w:szCs w:val="14"/>
                    </w:rPr>
                    <w:t>,</w:t>
                  </w:r>
                  <w:r w:rsidR="003A0B20">
                    <w:rPr>
                      <w:rFonts w:cstheme="minorHAnsi"/>
                      <w:b/>
                      <w:sz w:val="14"/>
                      <w:szCs w:val="14"/>
                    </w:rPr>
                    <w:t>373</w:t>
                  </w:r>
                  <w:r w:rsidR="004F6F93">
                    <w:rPr>
                      <w:rFonts w:cstheme="minorHAnsi"/>
                      <w:b/>
                      <w:sz w:val="14"/>
                      <w:szCs w:val="14"/>
                    </w:rPr>
                    <w:t>,</w:t>
                  </w:r>
                  <w:r w:rsidR="003A0B20">
                    <w:rPr>
                      <w:rFonts w:cstheme="minorHAnsi"/>
                      <w:b/>
                      <w:sz w:val="14"/>
                      <w:szCs w:val="14"/>
                    </w:rPr>
                    <w:t>820</w:t>
                  </w:r>
                </w:p>
              </w:tc>
              <w:tc>
                <w:tcPr>
                  <w:tcW w:w="783" w:type="dxa"/>
                  <w:tcBorders>
                    <w:top w:val="nil"/>
                    <w:left w:val="nil"/>
                    <w:bottom w:val="nil"/>
                    <w:right w:val="double" w:sz="4" w:space="0" w:color="auto"/>
                  </w:tcBorders>
                </w:tcPr>
                <w:p w14:paraId="65B774D4" w14:textId="77777777" w:rsidR="004F6F93" w:rsidRPr="007E30E2" w:rsidRDefault="004F6F93" w:rsidP="005F445E">
                  <w:pPr>
                    <w:ind w:right="170"/>
                    <w:jc w:val="right"/>
                    <w:rPr>
                      <w:rFonts w:cstheme="minorHAnsi"/>
                      <w:b/>
                      <w:sz w:val="14"/>
                      <w:szCs w:val="14"/>
                    </w:rPr>
                  </w:pPr>
                  <w:r w:rsidRPr="007E30E2">
                    <w:rPr>
                      <w:rFonts w:cstheme="minorHAnsi"/>
                      <w:b/>
                      <w:sz w:val="14"/>
                      <w:szCs w:val="14"/>
                    </w:rPr>
                    <w:t>100.0</w:t>
                  </w:r>
                </w:p>
              </w:tc>
            </w:tr>
            <w:tr w:rsidR="004F6F93" w:rsidRPr="000B5CD5" w14:paraId="7A8E6595" w14:textId="77777777" w:rsidTr="00DF2BC3">
              <w:tc>
                <w:tcPr>
                  <w:tcW w:w="3132" w:type="dxa"/>
                  <w:tcBorders>
                    <w:top w:val="nil"/>
                    <w:left w:val="double" w:sz="4" w:space="0" w:color="auto"/>
                    <w:bottom w:val="nil"/>
                    <w:right w:val="double" w:sz="4" w:space="0" w:color="auto"/>
                  </w:tcBorders>
                  <w:vAlign w:val="bottom"/>
                </w:tcPr>
                <w:p w14:paraId="76D7F6F2" w14:textId="77777777" w:rsidR="004F6F93" w:rsidRPr="00373153" w:rsidRDefault="004F6F93" w:rsidP="00DF2BC3">
                  <w:pPr>
                    <w:keepNext/>
                    <w:tabs>
                      <w:tab w:val="left" w:pos="579"/>
                    </w:tabs>
                    <w:ind w:left="593" w:hanging="576"/>
                    <w:rPr>
                      <w:rFonts w:cs="Arial"/>
                      <w:b/>
                      <w:bCs/>
                      <w:sz w:val="14"/>
                      <w:szCs w:val="14"/>
                    </w:rPr>
                  </w:pPr>
                  <w:r w:rsidRPr="00373153">
                    <w:rPr>
                      <w:rFonts w:cs="Arial"/>
                      <w:b/>
                      <w:bCs/>
                      <w:sz w:val="14"/>
                      <w:szCs w:val="14"/>
                    </w:rPr>
                    <w:t>Actividades Primarias</w:t>
                  </w:r>
                </w:p>
              </w:tc>
              <w:tc>
                <w:tcPr>
                  <w:tcW w:w="897" w:type="dxa"/>
                  <w:tcBorders>
                    <w:top w:val="nil"/>
                    <w:left w:val="double" w:sz="4" w:space="0" w:color="auto"/>
                    <w:bottom w:val="nil"/>
                    <w:right w:val="nil"/>
                  </w:tcBorders>
                </w:tcPr>
                <w:p w14:paraId="5629A975" w14:textId="313A67EC" w:rsidR="004F6F93" w:rsidRPr="007E30E2" w:rsidRDefault="003A0B20" w:rsidP="008A055E">
                  <w:pPr>
                    <w:jc w:val="right"/>
                    <w:rPr>
                      <w:rFonts w:cstheme="minorHAnsi"/>
                      <w:b/>
                      <w:sz w:val="14"/>
                      <w:szCs w:val="14"/>
                    </w:rPr>
                  </w:pPr>
                  <w:r>
                    <w:rPr>
                      <w:rFonts w:cstheme="minorHAnsi"/>
                      <w:b/>
                      <w:sz w:val="14"/>
                      <w:szCs w:val="14"/>
                    </w:rPr>
                    <w:t>1,</w:t>
                  </w:r>
                  <w:r w:rsidR="00A22271">
                    <w:rPr>
                      <w:rFonts w:cstheme="minorHAnsi"/>
                      <w:b/>
                      <w:sz w:val="14"/>
                      <w:szCs w:val="14"/>
                    </w:rPr>
                    <w:t>0</w:t>
                  </w:r>
                  <w:r>
                    <w:rPr>
                      <w:rFonts w:cstheme="minorHAnsi"/>
                      <w:b/>
                      <w:sz w:val="14"/>
                      <w:szCs w:val="14"/>
                    </w:rPr>
                    <w:t>22</w:t>
                  </w:r>
                  <w:r w:rsidR="00F92882">
                    <w:rPr>
                      <w:rFonts w:cstheme="minorHAnsi"/>
                      <w:b/>
                      <w:sz w:val="14"/>
                      <w:szCs w:val="14"/>
                    </w:rPr>
                    <w:t>,4</w:t>
                  </w:r>
                  <w:r>
                    <w:rPr>
                      <w:rFonts w:cstheme="minorHAnsi"/>
                      <w:b/>
                      <w:sz w:val="14"/>
                      <w:szCs w:val="14"/>
                    </w:rPr>
                    <w:t>13</w:t>
                  </w:r>
                </w:p>
              </w:tc>
              <w:tc>
                <w:tcPr>
                  <w:tcW w:w="783" w:type="dxa"/>
                  <w:tcBorders>
                    <w:top w:val="nil"/>
                    <w:left w:val="nil"/>
                    <w:bottom w:val="nil"/>
                    <w:right w:val="double" w:sz="4" w:space="0" w:color="auto"/>
                  </w:tcBorders>
                </w:tcPr>
                <w:p w14:paraId="1756DDF9" w14:textId="171DF508" w:rsidR="004F6F93" w:rsidRPr="007E30E2" w:rsidRDefault="00C37000" w:rsidP="00421ECE">
                  <w:pPr>
                    <w:ind w:right="170"/>
                    <w:jc w:val="right"/>
                    <w:rPr>
                      <w:rFonts w:cstheme="minorHAnsi"/>
                      <w:b/>
                      <w:sz w:val="14"/>
                      <w:szCs w:val="14"/>
                    </w:rPr>
                  </w:pPr>
                  <w:r>
                    <w:rPr>
                      <w:rFonts w:cstheme="minorHAnsi"/>
                      <w:b/>
                      <w:sz w:val="14"/>
                      <w:szCs w:val="14"/>
                    </w:rPr>
                    <w:t>4.2</w:t>
                  </w:r>
                </w:p>
              </w:tc>
            </w:tr>
            <w:tr w:rsidR="004F6F93" w:rsidRPr="000B5CD5" w14:paraId="5FD0791C" w14:textId="77777777" w:rsidTr="00A97FFE">
              <w:tc>
                <w:tcPr>
                  <w:tcW w:w="3132" w:type="dxa"/>
                  <w:tcBorders>
                    <w:top w:val="nil"/>
                    <w:left w:val="double" w:sz="4" w:space="0" w:color="auto"/>
                    <w:bottom w:val="nil"/>
                    <w:right w:val="double" w:sz="4" w:space="0" w:color="auto"/>
                  </w:tcBorders>
                  <w:vAlign w:val="bottom"/>
                </w:tcPr>
                <w:p w14:paraId="43DBF3F3" w14:textId="77777777" w:rsidR="004F6F93" w:rsidRPr="00150626" w:rsidRDefault="004F6F93" w:rsidP="000D7726">
                  <w:pPr>
                    <w:tabs>
                      <w:tab w:val="left" w:pos="523"/>
                    </w:tabs>
                    <w:ind w:left="510" w:hanging="510"/>
                    <w:rPr>
                      <w:rFonts w:cs="Arial"/>
                      <w:sz w:val="16"/>
                      <w:szCs w:val="16"/>
                    </w:rPr>
                  </w:pPr>
                  <w:r w:rsidRPr="00373153">
                    <w:rPr>
                      <w:rFonts w:cs="Arial"/>
                      <w:sz w:val="14"/>
                      <w:szCs w:val="14"/>
                    </w:rPr>
                    <w:t>11</w:t>
                  </w:r>
                  <w:r w:rsidRPr="00373153">
                    <w:rPr>
                      <w:rFonts w:cs="Arial"/>
                      <w:sz w:val="14"/>
                      <w:szCs w:val="14"/>
                    </w:rPr>
                    <w:tab/>
                  </w:r>
                  <w:r w:rsidRPr="0004031C">
                    <w:rPr>
                      <w:rFonts w:cs="Arial"/>
                      <w:sz w:val="14"/>
                      <w:szCs w:val="14"/>
                    </w:rPr>
                    <w:t xml:space="preserve">Agricultura, </w:t>
                  </w:r>
                  <w:r>
                    <w:rPr>
                      <w:rFonts w:cs="Arial"/>
                      <w:sz w:val="14"/>
                      <w:szCs w:val="14"/>
                    </w:rPr>
                    <w:t>cría y explotación de animales</w:t>
                  </w:r>
                  <w:r w:rsidRPr="0004031C">
                    <w:rPr>
                      <w:rFonts w:cs="Arial"/>
                      <w:sz w:val="14"/>
                      <w:szCs w:val="14"/>
                    </w:rPr>
                    <w:t>, aprovechamiento forestal, pesca y caza</w:t>
                  </w:r>
                </w:p>
              </w:tc>
              <w:tc>
                <w:tcPr>
                  <w:tcW w:w="897" w:type="dxa"/>
                  <w:tcBorders>
                    <w:top w:val="nil"/>
                    <w:left w:val="double" w:sz="4" w:space="0" w:color="auto"/>
                    <w:bottom w:val="nil"/>
                    <w:right w:val="nil"/>
                  </w:tcBorders>
                  <w:vAlign w:val="center"/>
                </w:tcPr>
                <w:p w14:paraId="682A7DA1" w14:textId="1BE00253" w:rsidR="004F6F93" w:rsidRPr="00E93446" w:rsidRDefault="003A0B20" w:rsidP="008A055E">
                  <w:pPr>
                    <w:jc w:val="right"/>
                    <w:rPr>
                      <w:rFonts w:cstheme="minorHAnsi"/>
                      <w:sz w:val="14"/>
                      <w:szCs w:val="14"/>
                    </w:rPr>
                  </w:pPr>
                  <w:r>
                    <w:rPr>
                      <w:rFonts w:cstheme="minorHAnsi"/>
                      <w:sz w:val="14"/>
                      <w:szCs w:val="14"/>
                    </w:rPr>
                    <w:t>1,022</w:t>
                  </w:r>
                  <w:r w:rsidR="00D34306">
                    <w:rPr>
                      <w:rFonts w:cstheme="minorHAnsi"/>
                      <w:sz w:val="14"/>
                      <w:szCs w:val="14"/>
                    </w:rPr>
                    <w:t>,</w:t>
                  </w:r>
                  <w:r w:rsidR="00F92882">
                    <w:rPr>
                      <w:rFonts w:cstheme="minorHAnsi"/>
                      <w:sz w:val="14"/>
                      <w:szCs w:val="14"/>
                    </w:rPr>
                    <w:t>4</w:t>
                  </w:r>
                  <w:r>
                    <w:rPr>
                      <w:rFonts w:cstheme="minorHAnsi"/>
                      <w:sz w:val="14"/>
                      <w:szCs w:val="14"/>
                    </w:rPr>
                    <w:t>13</w:t>
                  </w:r>
                </w:p>
              </w:tc>
              <w:tc>
                <w:tcPr>
                  <w:tcW w:w="783" w:type="dxa"/>
                  <w:tcBorders>
                    <w:top w:val="nil"/>
                    <w:left w:val="nil"/>
                    <w:bottom w:val="nil"/>
                    <w:right w:val="double" w:sz="4" w:space="0" w:color="auto"/>
                  </w:tcBorders>
                  <w:vAlign w:val="center"/>
                </w:tcPr>
                <w:p w14:paraId="412266D9" w14:textId="180FCAB9" w:rsidR="004F6F93" w:rsidRPr="00E93446" w:rsidRDefault="00C37000" w:rsidP="00421ECE">
                  <w:pPr>
                    <w:ind w:right="170"/>
                    <w:jc w:val="right"/>
                    <w:rPr>
                      <w:rFonts w:cstheme="minorHAnsi"/>
                      <w:sz w:val="14"/>
                      <w:szCs w:val="14"/>
                    </w:rPr>
                  </w:pPr>
                  <w:r>
                    <w:rPr>
                      <w:rFonts w:cstheme="minorHAnsi"/>
                      <w:sz w:val="14"/>
                      <w:szCs w:val="14"/>
                    </w:rPr>
                    <w:t>4.2</w:t>
                  </w:r>
                </w:p>
              </w:tc>
            </w:tr>
            <w:tr w:rsidR="004F6F93" w:rsidRPr="000B5CD5" w14:paraId="0D01E260" w14:textId="77777777" w:rsidTr="00DF2BC3">
              <w:tc>
                <w:tcPr>
                  <w:tcW w:w="3132" w:type="dxa"/>
                  <w:tcBorders>
                    <w:top w:val="nil"/>
                    <w:left w:val="double" w:sz="4" w:space="0" w:color="auto"/>
                    <w:bottom w:val="nil"/>
                    <w:right w:val="double" w:sz="4" w:space="0" w:color="auto"/>
                  </w:tcBorders>
                  <w:vAlign w:val="bottom"/>
                </w:tcPr>
                <w:p w14:paraId="5BC2FEB0" w14:textId="77777777" w:rsidR="004F6F93" w:rsidRPr="00373153" w:rsidRDefault="004F6F93" w:rsidP="000D7726">
                  <w:pPr>
                    <w:keepNext/>
                    <w:tabs>
                      <w:tab w:val="left" w:pos="579"/>
                    </w:tabs>
                    <w:ind w:left="593" w:hanging="576"/>
                    <w:rPr>
                      <w:rFonts w:cs="Arial"/>
                      <w:b/>
                      <w:bCs/>
                      <w:sz w:val="14"/>
                      <w:szCs w:val="14"/>
                    </w:rPr>
                  </w:pPr>
                  <w:r w:rsidRPr="00373153">
                    <w:rPr>
                      <w:rFonts w:cs="Arial"/>
                      <w:b/>
                      <w:bCs/>
                      <w:sz w:val="14"/>
                      <w:szCs w:val="14"/>
                    </w:rPr>
                    <w:t>Actividades Secundarias</w:t>
                  </w:r>
                </w:p>
              </w:tc>
              <w:tc>
                <w:tcPr>
                  <w:tcW w:w="897" w:type="dxa"/>
                  <w:tcBorders>
                    <w:top w:val="nil"/>
                    <w:left w:val="double" w:sz="4" w:space="0" w:color="auto"/>
                    <w:bottom w:val="nil"/>
                    <w:right w:val="nil"/>
                  </w:tcBorders>
                </w:tcPr>
                <w:p w14:paraId="62B185C5" w14:textId="13CA1EAE" w:rsidR="004F6F93" w:rsidRPr="007E30E2" w:rsidRDefault="003A0B20" w:rsidP="008A055E">
                  <w:pPr>
                    <w:jc w:val="right"/>
                    <w:rPr>
                      <w:rFonts w:cstheme="minorHAnsi"/>
                      <w:b/>
                      <w:sz w:val="14"/>
                      <w:szCs w:val="14"/>
                    </w:rPr>
                  </w:pPr>
                  <w:r>
                    <w:rPr>
                      <w:rFonts w:cstheme="minorHAnsi"/>
                      <w:b/>
                      <w:sz w:val="14"/>
                      <w:szCs w:val="14"/>
                    </w:rPr>
                    <w:t>8</w:t>
                  </w:r>
                  <w:r w:rsidR="004F6F93">
                    <w:rPr>
                      <w:rFonts w:cstheme="minorHAnsi"/>
                      <w:b/>
                      <w:sz w:val="14"/>
                      <w:szCs w:val="14"/>
                    </w:rPr>
                    <w:t>,</w:t>
                  </w:r>
                  <w:r>
                    <w:rPr>
                      <w:rFonts w:cstheme="minorHAnsi"/>
                      <w:b/>
                      <w:sz w:val="14"/>
                      <w:szCs w:val="14"/>
                    </w:rPr>
                    <w:t>109</w:t>
                  </w:r>
                  <w:r w:rsidR="004F6F93">
                    <w:rPr>
                      <w:rFonts w:cstheme="minorHAnsi"/>
                      <w:b/>
                      <w:sz w:val="14"/>
                      <w:szCs w:val="14"/>
                    </w:rPr>
                    <w:t>,</w:t>
                  </w:r>
                  <w:r>
                    <w:rPr>
                      <w:rFonts w:cstheme="minorHAnsi"/>
                      <w:b/>
                      <w:sz w:val="14"/>
                      <w:szCs w:val="14"/>
                    </w:rPr>
                    <w:t>10</w:t>
                  </w:r>
                  <w:r w:rsidR="00964796">
                    <w:rPr>
                      <w:rFonts w:cstheme="minorHAnsi"/>
                      <w:b/>
                      <w:sz w:val="14"/>
                      <w:szCs w:val="14"/>
                    </w:rPr>
                    <w:t>5</w:t>
                  </w:r>
                </w:p>
              </w:tc>
              <w:tc>
                <w:tcPr>
                  <w:tcW w:w="783" w:type="dxa"/>
                  <w:tcBorders>
                    <w:top w:val="nil"/>
                    <w:left w:val="nil"/>
                    <w:bottom w:val="nil"/>
                    <w:right w:val="double" w:sz="4" w:space="0" w:color="auto"/>
                  </w:tcBorders>
                </w:tcPr>
                <w:p w14:paraId="4F65BC9E" w14:textId="5A3338CA" w:rsidR="004F6F93" w:rsidRPr="007E30E2" w:rsidRDefault="001B68A6" w:rsidP="00421ECE">
                  <w:pPr>
                    <w:ind w:right="170"/>
                    <w:jc w:val="right"/>
                    <w:rPr>
                      <w:rFonts w:cstheme="minorHAnsi"/>
                      <w:b/>
                      <w:sz w:val="14"/>
                      <w:szCs w:val="14"/>
                    </w:rPr>
                  </w:pPr>
                  <w:r>
                    <w:rPr>
                      <w:rFonts w:cstheme="minorHAnsi"/>
                      <w:b/>
                      <w:sz w:val="14"/>
                      <w:szCs w:val="14"/>
                    </w:rPr>
                    <w:t>3</w:t>
                  </w:r>
                  <w:r w:rsidR="00C37000">
                    <w:rPr>
                      <w:rFonts w:cstheme="minorHAnsi"/>
                      <w:b/>
                      <w:sz w:val="14"/>
                      <w:szCs w:val="14"/>
                    </w:rPr>
                    <w:t>3.3</w:t>
                  </w:r>
                </w:p>
              </w:tc>
            </w:tr>
            <w:tr w:rsidR="004F6F93" w:rsidRPr="000B5CD5" w14:paraId="73D93F08" w14:textId="77777777" w:rsidTr="00DF2BC3">
              <w:tc>
                <w:tcPr>
                  <w:tcW w:w="3132" w:type="dxa"/>
                  <w:tcBorders>
                    <w:top w:val="nil"/>
                    <w:left w:val="double" w:sz="4" w:space="0" w:color="auto"/>
                    <w:bottom w:val="nil"/>
                    <w:right w:val="double" w:sz="4" w:space="0" w:color="auto"/>
                  </w:tcBorders>
                  <w:vAlign w:val="bottom"/>
                </w:tcPr>
                <w:p w14:paraId="1C5642B6" w14:textId="77777777" w:rsidR="004F6F93" w:rsidRPr="00274010" w:rsidRDefault="004F6F93" w:rsidP="000D7726">
                  <w:pPr>
                    <w:tabs>
                      <w:tab w:val="left" w:pos="523"/>
                    </w:tabs>
                    <w:ind w:left="510" w:hanging="510"/>
                    <w:rPr>
                      <w:rFonts w:cs="Arial"/>
                      <w:sz w:val="14"/>
                      <w:szCs w:val="14"/>
                    </w:rPr>
                  </w:pPr>
                  <w:r w:rsidRPr="00274010">
                    <w:rPr>
                      <w:rFonts w:cs="Arial"/>
                      <w:sz w:val="14"/>
                      <w:szCs w:val="14"/>
                    </w:rPr>
                    <w:t>21</w:t>
                  </w:r>
                  <w:r w:rsidRPr="00274010">
                    <w:rPr>
                      <w:rFonts w:cs="Arial"/>
                      <w:sz w:val="14"/>
                      <w:szCs w:val="14"/>
                    </w:rPr>
                    <w:tab/>
                    <w:t xml:space="preserve">Minería </w:t>
                  </w:r>
                </w:p>
              </w:tc>
              <w:tc>
                <w:tcPr>
                  <w:tcW w:w="897" w:type="dxa"/>
                  <w:tcBorders>
                    <w:top w:val="nil"/>
                    <w:left w:val="double" w:sz="4" w:space="0" w:color="auto"/>
                    <w:bottom w:val="nil"/>
                    <w:right w:val="nil"/>
                  </w:tcBorders>
                </w:tcPr>
                <w:p w14:paraId="3449FEAF" w14:textId="38154F14" w:rsidR="004F6F93" w:rsidRPr="00E93446" w:rsidRDefault="00964796" w:rsidP="008A055E">
                  <w:pPr>
                    <w:jc w:val="right"/>
                    <w:rPr>
                      <w:rFonts w:cstheme="minorHAnsi"/>
                      <w:sz w:val="14"/>
                      <w:szCs w:val="14"/>
                    </w:rPr>
                  </w:pPr>
                  <w:r>
                    <w:rPr>
                      <w:rFonts w:cstheme="minorHAnsi"/>
                      <w:sz w:val="14"/>
                      <w:szCs w:val="14"/>
                    </w:rPr>
                    <w:t>1,2</w:t>
                  </w:r>
                  <w:r w:rsidR="003A0B20">
                    <w:rPr>
                      <w:rFonts w:cstheme="minorHAnsi"/>
                      <w:sz w:val="14"/>
                      <w:szCs w:val="14"/>
                    </w:rPr>
                    <w:t>89</w:t>
                  </w:r>
                  <w:r w:rsidR="00DB3F99">
                    <w:rPr>
                      <w:rFonts w:cstheme="minorHAnsi"/>
                      <w:sz w:val="14"/>
                      <w:szCs w:val="14"/>
                    </w:rPr>
                    <w:t>,</w:t>
                  </w:r>
                  <w:r w:rsidR="003A0B20">
                    <w:rPr>
                      <w:rFonts w:cstheme="minorHAnsi"/>
                      <w:sz w:val="14"/>
                      <w:szCs w:val="14"/>
                    </w:rPr>
                    <w:t>78</w:t>
                  </w:r>
                  <w:r>
                    <w:rPr>
                      <w:rFonts w:cstheme="minorHAnsi"/>
                      <w:sz w:val="14"/>
                      <w:szCs w:val="14"/>
                    </w:rPr>
                    <w:t>9</w:t>
                  </w:r>
                </w:p>
              </w:tc>
              <w:tc>
                <w:tcPr>
                  <w:tcW w:w="783" w:type="dxa"/>
                  <w:tcBorders>
                    <w:top w:val="nil"/>
                    <w:left w:val="nil"/>
                    <w:bottom w:val="nil"/>
                    <w:right w:val="double" w:sz="4" w:space="0" w:color="auto"/>
                  </w:tcBorders>
                </w:tcPr>
                <w:p w14:paraId="15BC4CC1" w14:textId="66CFE019" w:rsidR="004F6F93" w:rsidRPr="00E93446" w:rsidRDefault="001B68A6" w:rsidP="005C0A29">
                  <w:pPr>
                    <w:ind w:right="170"/>
                    <w:jc w:val="right"/>
                    <w:rPr>
                      <w:rFonts w:cstheme="minorHAnsi"/>
                      <w:sz w:val="14"/>
                      <w:szCs w:val="14"/>
                    </w:rPr>
                  </w:pPr>
                  <w:r>
                    <w:rPr>
                      <w:rFonts w:cstheme="minorHAnsi"/>
                      <w:sz w:val="14"/>
                      <w:szCs w:val="14"/>
                    </w:rPr>
                    <w:t>5.3</w:t>
                  </w:r>
                </w:p>
              </w:tc>
            </w:tr>
            <w:tr w:rsidR="004F6F93" w:rsidRPr="000B5CD5" w14:paraId="32F148D2" w14:textId="77777777" w:rsidTr="00A84A85">
              <w:tc>
                <w:tcPr>
                  <w:tcW w:w="3132" w:type="dxa"/>
                  <w:tcBorders>
                    <w:top w:val="nil"/>
                    <w:left w:val="double" w:sz="4" w:space="0" w:color="auto"/>
                    <w:bottom w:val="nil"/>
                    <w:right w:val="double" w:sz="4" w:space="0" w:color="auto"/>
                  </w:tcBorders>
                  <w:vAlign w:val="bottom"/>
                </w:tcPr>
                <w:p w14:paraId="70541B93" w14:textId="13593976" w:rsidR="004F6F93" w:rsidRPr="00274010" w:rsidRDefault="004F6F93" w:rsidP="000D7726">
                  <w:pPr>
                    <w:tabs>
                      <w:tab w:val="left" w:pos="523"/>
                    </w:tabs>
                    <w:ind w:left="510" w:hanging="510"/>
                    <w:rPr>
                      <w:rFonts w:cs="Arial"/>
                      <w:sz w:val="14"/>
                      <w:szCs w:val="14"/>
                    </w:rPr>
                  </w:pPr>
                  <w:r w:rsidRPr="00274010">
                    <w:rPr>
                      <w:rFonts w:cs="Arial"/>
                      <w:sz w:val="14"/>
                      <w:szCs w:val="14"/>
                    </w:rPr>
                    <w:t>22</w:t>
                  </w:r>
                  <w:r w:rsidRPr="00274010">
                    <w:rPr>
                      <w:rFonts w:cs="Arial"/>
                      <w:sz w:val="14"/>
                      <w:szCs w:val="14"/>
                    </w:rPr>
                    <w:tab/>
                  </w:r>
                  <w:r>
                    <w:rPr>
                      <w:rFonts w:cs="Arial"/>
                      <w:sz w:val="14"/>
                      <w:szCs w:val="14"/>
                    </w:rPr>
                    <w:t xml:space="preserve">Generación, transmisión y distribución de energía eléctrica, suministro de </w:t>
                  </w:r>
                  <w:r w:rsidRPr="00274010">
                    <w:rPr>
                      <w:rFonts w:cs="Arial"/>
                      <w:sz w:val="14"/>
                      <w:szCs w:val="14"/>
                    </w:rPr>
                    <w:t xml:space="preserve">agua y </w:t>
                  </w:r>
                  <w:r>
                    <w:rPr>
                      <w:rFonts w:cs="Arial"/>
                      <w:sz w:val="14"/>
                      <w:szCs w:val="14"/>
                    </w:rPr>
                    <w:t>de</w:t>
                  </w:r>
                  <w:r w:rsidRPr="00274010">
                    <w:rPr>
                      <w:rFonts w:cs="Arial"/>
                      <w:sz w:val="14"/>
                      <w:szCs w:val="14"/>
                    </w:rPr>
                    <w:t xml:space="preserve"> gas por ductos al consumidor final </w:t>
                  </w:r>
                </w:p>
              </w:tc>
              <w:tc>
                <w:tcPr>
                  <w:tcW w:w="897" w:type="dxa"/>
                  <w:tcBorders>
                    <w:top w:val="nil"/>
                    <w:left w:val="double" w:sz="4" w:space="0" w:color="auto"/>
                    <w:bottom w:val="nil"/>
                    <w:right w:val="nil"/>
                  </w:tcBorders>
                  <w:vAlign w:val="center"/>
                </w:tcPr>
                <w:p w14:paraId="65B2D867" w14:textId="63E25CD9" w:rsidR="004F6F93" w:rsidRPr="00E93446" w:rsidRDefault="003A0B20" w:rsidP="008A055E">
                  <w:pPr>
                    <w:jc w:val="right"/>
                    <w:rPr>
                      <w:rFonts w:cstheme="minorHAnsi"/>
                      <w:sz w:val="14"/>
                      <w:szCs w:val="14"/>
                    </w:rPr>
                  </w:pPr>
                  <w:r>
                    <w:rPr>
                      <w:rFonts w:cstheme="minorHAnsi"/>
                      <w:sz w:val="14"/>
                      <w:szCs w:val="14"/>
                    </w:rPr>
                    <w:t>516</w:t>
                  </w:r>
                  <w:r w:rsidR="004F6F93">
                    <w:rPr>
                      <w:rFonts w:cstheme="minorHAnsi"/>
                      <w:sz w:val="14"/>
                      <w:szCs w:val="14"/>
                    </w:rPr>
                    <w:t>,</w:t>
                  </w:r>
                  <w:r w:rsidR="00A00377">
                    <w:rPr>
                      <w:rFonts w:cstheme="minorHAnsi"/>
                      <w:sz w:val="14"/>
                      <w:szCs w:val="14"/>
                    </w:rPr>
                    <w:t>5</w:t>
                  </w:r>
                  <w:r>
                    <w:rPr>
                      <w:rFonts w:cstheme="minorHAnsi"/>
                      <w:sz w:val="14"/>
                      <w:szCs w:val="14"/>
                    </w:rPr>
                    <w:t>2</w:t>
                  </w:r>
                  <w:r w:rsidR="00F57C6C">
                    <w:rPr>
                      <w:rFonts w:cstheme="minorHAnsi"/>
                      <w:sz w:val="14"/>
                      <w:szCs w:val="14"/>
                    </w:rPr>
                    <w:t>0</w:t>
                  </w:r>
                </w:p>
              </w:tc>
              <w:tc>
                <w:tcPr>
                  <w:tcW w:w="783" w:type="dxa"/>
                  <w:tcBorders>
                    <w:top w:val="nil"/>
                    <w:left w:val="nil"/>
                    <w:bottom w:val="nil"/>
                    <w:right w:val="double" w:sz="4" w:space="0" w:color="auto"/>
                  </w:tcBorders>
                  <w:vAlign w:val="center"/>
                </w:tcPr>
                <w:p w14:paraId="1924C6F4" w14:textId="3C9CD686" w:rsidR="004F6F93" w:rsidRPr="00E93446" w:rsidRDefault="00BE609D" w:rsidP="003C716B">
                  <w:pPr>
                    <w:ind w:right="170"/>
                    <w:jc w:val="right"/>
                    <w:rPr>
                      <w:rFonts w:cstheme="minorHAnsi"/>
                      <w:sz w:val="14"/>
                      <w:szCs w:val="14"/>
                    </w:rPr>
                  </w:pPr>
                  <w:r>
                    <w:rPr>
                      <w:rFonts w:cstheme="minorHAnsi"/>
                      <w:sz w:val="14"/>
                      <w:szCs w:val="14"/>
                    </w:rPr>
                    <w:t>2</w:t>
                  </w:r>
                  <w:r w:rsidR="005C0A29">
                    <w:rPr>
                      <w:rFonts w:cstheme="minorHAnsi"/>
                      <w:sz w:val="14"/>
                      <w:szCs w:val="14"/>
                    </w:rPr>
                    <w:t>.</w:t>
                  </w:r>
                  <w:r w:rsidR="001B68A6">
                    <w:rPr>
                      <w:rFonts w:cstheme="minorHAnsi"/>
                      <w:sz w:val="14"/>
                      <w:szCs w:val="14"/>
                    </w:rPr>
                    <w:t>1</w:t>
                  </w:r>
                </w:p>
              </w:tc>
            </w:tr>
            <w:tr w:rsidR="004F6F93" w:rsidRPr="000B5CD5" w14:paraId="3D8733FF" w14:textId="77777777" w:rsidTr="00DF2BC3">
              <w:tc>
                <w:tcPr>
                  <w:tcW w:w="3132" w:type="dxa"/>
                  <w:tcBorders>
                    <w:top w:val="nil"/>
                    <w:left w:val="double" w:sz="4" w:space="0" w:color="auto"/>
                    <w:bottom w:val="nil"/>
                    <w:right w:val="double" w:sz="4" w:space="0" w:color="auto"/>
                  </w:tcBorders>
                  <w:vAlign w:val="bottom"/>
                </w:tcPr>
                <w:p w14:paraId="6D837362" w14:textId="77777777" w:rsidR="004F6F93" w:rsidRPr="00274010" w:rsidRDefault="004F6F93" w:rsidP="000D7726">
                  <w:pPr>
                    <w:tabs>
                      <w:tab w:val="left" w:pos="523"/>
                    </w:tabs>
                    <w:ind w:left="510" w:hanging="510"/>
                    <w:rPr>
                      <w:rFonts w:cs="Arial"/>
                      <w:sz w:val="14"/>
                      <w:szCs w:val="14"/>
                    </w:rPr>
                  </w:pPr>
                  <w:r w:rsidRPr="00274010">
                    <w:rPr>
                      <w:rFonts w:cs="Arial"/>
                      <w:sz w:val="14"/>
                      <w:szCs w:val="14"/>
                    </w:rPr>
                    <w:t>23</w:t>
                  </w:r>
                  <w:r w:rsidRPr="00274010">
                    <w:rPr>
                      <w:rFonts w:cs="Arial"/>
                      <w:sz w:val="14"/>
                      <w:szCs w:val="14"/>
                    </w:rPr>
                    <w:tab/>
                    <w:t xml:space="preserve">Construcción </w:t>
                  </w:r>
                </w:p>
              </w:tc>
              <w:tc>
                <w:tcPr>
                  <w:tcW w:w="897" w:type="dxa"/>
                  <w:tcBorders>
                    <w:top w:val="nil"/>
                    <w:left w:val="double" w:sz="4" w:space="0" w:color="auto"/>
                    <w:bottom w:val="nil"/>
                    <w:right w:val="nil"/>
                  </w:tcBorders>
                </w:tcPr>
                <w:p w14:paraId="66EE614C" w14:textId="6446732F" w:rsidR="004F6F93" w:rsidRPr="00E93446" w:rsidRDefault="004F6F93" w:rsidP="008A055E">
                  <w:pPr>
                    <w:jc w:val="right"/>
                    <w:rPr>
                      <w:rFonts w:cstheme="minorHAnsi"/>
                      <w:sz w:val="14"/>
                      <w:szCs w:val="14"/>
                    </w:rPr>
                  </w:pPr>
                  <w:r>
                    <w:rPr>
                      <w:rFonts w:cstheme="minorHAnsi"/>
                      <w:sz w:val="14"/>
                      <w:szCs w:val="14"/>
                    </w:rPr>
                    <w:t>1,</w:t>
                  </w:r>
                  <w:r w:rsidR="00964796">
                    <w:rPr>
                      <w:rFonts w:cstheme="minorHAnsi"/>
                      <w:sz w:val="14"/>
                      <w:szCs w:val="14"/>
                    </w:rPr>
                    <w:t>7</w:t>
                  </w:r>
                  <w:r w:rsidR="003A0B20">
                    <w:rPr>
                      <w:rFonts w:cstheme="minorHAnsi"/>
                      <w:sz w:val="14"/>
                      <w:szCs w:val="14"/>
                    </w:rPr>
                    <w:t>13</w:t>
                  </w:r>
                  <w:r>
                    <w:rPr>
                      <w:rFonts w:cstheme="minorHAnsi"/>
                      <w:sz w:val="14"/>
                      <w:szCs w:val="14"/>
                    </w:rPr>
                    <w:t>,</w:t>
                  </w:r>
                  <w:r w:rsidR="003A0B20">
                    <w:rPr>
                      <w:rFonts w:cstheme="minorHAnsi"/>
                      <w:sz w:val="14"/>
                      <w:szCs w:val="14"/>
                    </w:rPr>
                    <w:t>3</w:t>
                  </w:r>
                  <w:r w:rsidR="00A00377">
                    <w:rPr>
                      <w:rFonts w:cstheme="minorHAnsi"/>
                      <w:sz w:val="14"/>
                      <w:szCs w:val="14"/>
                    </w:rPr>
                    <w:t>6</w:t>
                  </w:r>
                  <w:r w:rsidR="00964796">
                    <w:rPr>
                      <w:rFonts w:cstheme="minorHAnsi"/>
                      <w:sz w:val="14"/>
                      <w:szCs w:val="14"/>
                    </w:rPr>
                    <w:t>3</w:t>
                  </w:r>
                </w:p>
              </w:tc>
              <w:tc>
                <w:tcPr>
                  <w:tcW w:w="783" w:type="dxa"/>
                  <w:tcBorders>
                    <w:top w:val="nil"/>
                    <w:left w:val="nil"/>
                    <w:bottom w:val="nil"/>
                    <w:right w:val="double" w:sz="4" w:space="0" w:color="auto"/>
                  </w:tcBorders>
                </w:tcPr>
                <w:p w14:paraId="6217939F" w14:textId="1666DF30" w:rsidR="004F6F93" w:rsidRPr="00E93446" w:rsidRDefault="001B68A6" w:rsidP="003D289F">
                  <w:pPr>
                    <w:ind w:right="170"/>
                    <w:jc w:val="right"/>
                    <w:rPr>
                      <w:rFonts w:cstheme="minorHAnsi"/>
                      <w:sz w:val="14"/>
                      <w:szCs w:val="14"/>
                    </w:rPr>
                  </w:pPr>
                  <w:r>
                    <w:rPr>
                      <w:rFonts w:cstheme="minorHAnsi"/>
                      <w:sz w:val="14"/>
                      <w:szCs w:val="14"/>
                    </w:rPr>
                    <w:t>7.</w:t>
                  </w:r>
                  <w:r w:rsidR="00305AB5">
                    <w:rPr>
                      <w:rFonts w:cstheme="minorHAnsi"/>
                      <w:sz w:val="14"/>
                      <w:szCs w:val="14"/>
                    </w:rPr>
                    <w:t>1</w:t>
                  </w:r>
                </w:p>
              </w:tc>
            </w:tr>
            <w:tr w:rsidR="004F6F93" w:rsidRPr="000B5CD5" w14:paraId="5E669608" w14:textId="77777777" w:rsidTr="00DF2BC3">
              <w:tc>
                <w:tcPr>
                  <w:tcW w:w="3132" w:type="dxa"/>
                  <w:tcBorders>
                    <w:top w:val="nil"/>
                    <w:left w:val="double" w:sz="4" w:space="0" w:color="auto"/>
                    <w:bottom w:val="nil"/>
                    <w:right w:val="double" w:sz="4" w:space="0" w:color="auto"/>
                  </w:tcBorders>
                  <w:vAlign w:val="bottom"/>
                </w:tcPr>
                <w:p w14:paraId="06E2936F" w14:textId="77777777" w:rsidR="004F6F93" w:rsidRPr="00274010" w:rsidRDefault="004F6F93" w:rsidP="000D7726">
                  <w:pPr>
                    <w:tabs>
                      <w:tab w:val="left" w:pos="523"/>
                    </w:tabs>
                    <w:ind w:left="510" w:hanging="510"/>
                    <w:rPr>
                      <w:rFonts w:cs="Arial"/>
                      <w:sz w:val="14"/>
                      <w:szCs w:val="14"/>
                    </w:rPr>
                  </w:pPr>
                  <w:r>
                    <w:rPr>
                      <w:rFonts w:cs="Arial"/>
                      <w:sz w:val="14"/>
                      <w:szCs w:val="14"/>
                    </w:rPr>
                    <w:t>31-33</w:t>
                  </w:r>
                  <w:r>
                    <w:rPr>
                      <w:rFonts w:cs="Arial"/>
                      <w:sz w:val="14"/>
                      <w:szCs w:val="14"/>
                    </w:rPr>
                    <w:tab/>
                  </w:r>
                  <w:r w:rsidRPr="00274010">
                    <w:rPr>
                      <w:rFonts w:cs="Arial"/>
                      <w:sz w:val="14"/>
                      <w:szCs w:val="14"/>
                    </w:rPr>
                    <w:t xml:space="preserve">Industrias manufactureras </w:t>
                  </w:r>
                </w:p>
              </w:tc>
              <w:tc>
                <w:tcPr>
                  <w:tcW w:w="897" w:type="dxa"/>
                  <w:tcBorders>
                    <w:top w:val="nil"/>
                    <w:left w:val="double" w:sz="4" w:space="0" w:color="auto"/>
                    <w:bottom w:val="nil"/>
                    <w:right w:val="nil"/>
                  </w:tcBorders>
                </w:tcPr>
                <w:p w14:paraId="3D3EBBFA" w14:textId="3EDBA1CB" w:rsidR="004F6F93" w:rsidRPr="00E93446" w:rsidRDefault="00881EB4" w:rsidP="008A055E">
                  <w:pPr>
                    <w:jc w:val="right"/>
                    <w:rPr>
                      <w:rFonts w:cstheme="minorHAnsi"/>
                      <w:sz w:val="14"/>
                      <w:szCs w:val="14"/>
                    </w:rPr>
                  </w:pPr>
                  <w:r>
                    <w:rPr>
                      <w:rFonts w:cstheme="minorHAnsi"/>
                      <w:sz w:val="14"/>
                      <w:szCs w:val="14"/>
                    </w:rPr>
                    <w:t>4</w:t>
                  </w:r>
                  <w:r w:rsidR="004F6F93">
                    <w:rPr>
                      <w:rFonts w:cstheme="minorHAnsi"/>
                      <w:sz w:val="14"/>
                      <w:szCs w:val="14"/>
                    </w:rPr>
                    <w:t>,</w:t>
                  </w:r>
                  <w:r w:rsidR="00916232">
                    <w:rPr>
                      <w:rFonts w:cstheme="minorHAnsi"/>
                      <w:sz w:val="14"/>
                      <w:szCs w:val="14"/>
                    </w:rPr>
                    <w:t>589</w:t>
                  </w:r>
                  <w:r w:rsidR="004F6F93">
                    <w:rPr>
                      <w:rFonts w:cstheme="minorHAnsi"/>
                      <w:sz w:val="14"/>
                      <w:szCs w:val="14"/>
                    </w:rPr>
                    <w:t>,</w:t>
                  </w:r>
                  <w:r w:rsidR="00964796">
                    <w:rPr>
                      <w:rFonts w:cstheme="minorHAnsi"/>
                      <w:sz w:val="14"/>
                      <w:szCs w:val="14"/>
                    </w:rPr>
                    <w:t>43</w:t>
                  </w:r>
                  <w:r w:rsidR="00916232">
                    <w:rPr>
                      <w:rFonts w:cstheme="minorHAnsi"/>
                      <w:sz w:val="14"/>
                      <w:szCs w:val="14"/>
                    </w:rPr>
                    <w:t>3</w:t>
                  </w:r>
                </w:p>
              </w:tc>
              <w:tc>
                <w:tcPr>
                  <w:tcW w:w="783" w:type="dxa"/>
                  <w:tcBorders>
                    <w:top w:val="nil"/>
                    <w:left w:val="nil"/>
                    <w:bottom w:val="nil"/>
                    <w:right w:val="double" w:sz="4" w:space="0" w:color="auto"/>
                  </w:tcBorders>
                </w:tcPr>
                <w:p w14:paraId="2ABE3792" w14:textId="713535C2" w:rsidR="004F6F93" w:rsidRPr="00E93446" w:rsidRDefault="001B68A6" w:rsidP="00421ECE">
                  <w:pPr>
                    <w:ind w:right="170"/>
                    <w:jc w:val="right"/>
                    <w:rPr>
                      <w:rFonts w:cstheme="minorHAnsi"/>
                      <w:sz w:val="14"/>
                      <w:szCs w:val="14"/>
                    </w:rPr>
                  </w:pPr>
                  <w:r>
                    <w:rPr>
                      <w:rFonts w:cstheme="minorHAnsi"/>
                      <w:sz w:val="14"/>
                      <w:szCs w:val="14"/>
                    </w:rPr>
                    <w:t>1</w:t>
                  </w:r>
                  <w:r w:rsidR="00C37000">
                    <w:rPr>
                      <w:rFonts w:cstheme="minorHAnsi"/>
                      <w:sz w:val="14"/>
                      <w:szCs w:val="14"/>
                    </w:rPr>
                    <w:t>8.8</w:t>
                  </w:r>
                </w:p>
              </w:tc>
            </w:tr>
            <w:tr w:rsidR="004F6F93" w:rsidRPr="000B5CD5" w14:paraId="48F6C691" w14:textId="77777777" w:rsidTr="00DF2BC3">
              <w:tc>
                <w:tcPr>
                  <w:tcW w:w="3132" w:type="dxa"/>
                  <w:tcBorders>
                    <w:top w:val="nil"/>
                    <w:left w:val="double" w:sz="4" w:space="0" w:color="auto"/>
                    <w:bottom w:val="nil"/>
                    <w:right w:val="double" w:sz="4" w:space="0" w:color="auto"/>
                  </w:tcBorders>
                  <w:vAlign w:val="bottom"/>
                </w:tcPr>
                <w:p w14:paraId="2096A160" w14:textId="77777777" w:rsidR="004F6F93" w:rsidRPr="00373153" w:rsidRDefault="004F6F93" w:rsidP="000D7726">
                  <w:pPr>
                    <w:keepNext/>
                    <w:tabs>
                      <w:tab w:val="left" w:pos="579"/>
                    </w:tabs>
                    <w:ind w:left="593" w:hanging="576"/>
                    <w:rPr>
                      <w:rFonts w:cs="Arial"/>
                      <w:b/>
                      <w:bCs/>
                      <w:sz w:val="14"/>
                      <w:szCs w:val="14"/>
                    </w:rPr>
                  </w:pPr>
                  <w:r w:rsidRPr="00373153">
                    <w:rPr>
                      <w:rFonts w:cs="Arial"/>
                      <w:b/>
                      <w:bCs/>
                      <w:sz w:val="14"/>
                      <w:szCs w:val="14"/>
                    </w:rPr>
                    <w:t>Actividades Terciarias</w:t>
                  </w:r>
                </w:p>
              </w:tc>
              <w:tc>
                <w:tcPr>
                  <w:tcW w:w="897" w:type="dxa"/>
                  <w:tcBorders>
                    <w:top w:val="nil"/>
                    <w:left w:val="double" w:sz="4" w:space="0" w:color="auto"/>
                    <w:bottom w:val="nil"/>
                    <w:right w:val="nil"/>
                  </w:tcBorders>
                </w:tcPr>
                <w:p w14:paraId="4DB9AC00" w14:textId="3F738BA6" w:rsidR="004F6F93" w:rsidRPr="007E30E2" w:rsidRDefault="00633DB7" w:rsidP="008A055E">
                  <w:pPr>
                    <w:jc w:val="right"/>
                    <w:rPr>
                      <w:rFonts w:cstheme="minorHAnsi"/>
                      <w:b/>
                      <w:sz w:val="14"/>
                      <w:szCs w:val="14"/>
                    </w:rPr>
                  </w:pPr>
                  <w:r>
                    <w:rPr>
                      <w:rFonts w:cstheme="minorHAnsi"/>
                      <w:b/>
                      <w:sz w:val="14"/>
                      <w:szCs w:val="14"/>
                    </w:rPr>
                    <w:t>1</w:t>
                  </w:r>
                  <w:r w:rsidR="00210438">
                    <w:rPr>
                      <w:rFonts w:cstheme="minorHAnsi"/>
                      <w:b/>
                      <w:sz w:val="14"/>
                      <w:szCs w:val="14"/>
                    </w:rPr>
                    <w:t>5</w:t>
                  </w:r>
                  <w:r w:rsidR="004F6F93">
                    <w:rPr>
                      <w:rFonts w:cstheme="minorHAnsi"/>
                      <w:b/>
                      <w:sz w:val="14"/>
                      <w:szCs w:val="14"/>
                    </w:rPr>
                    <w:t>,</w:t>
                  </w:r>
                  <w:r w:rsidR="00210438">
                    <w:rPr>
                      <w:rFonts w:cstheme="minorHAnsi"/>
                      <w:b/>
                      <w:sz w:val="14"/>
                      <w:szCs w:val="14"/>
                    </w:rPr>
                    <w:t>242</w:t>
                  </w:r>
                  <w:r w:rsidR="003227F4">
                    <w:rPr>
                      <w:rFonts w:cstheme="minorHAnsi"/>
                      <w:b/>
                      <w:sz w:val="14"/>
                      <w:szCs w:val="14"/>
                    </w:rPr>
                    <w:t>,</w:t>
                  </w:r>
                  <w:r w:rsidR="00210438">
                    <w:rPr>
                      <w:rFonts w:cstheme="minorHAnsi"/>
                      <w:b/>
                      <w:sz w:val="14"/>
                      <w:szCs w:val="14"/>
                    </w:rPr>
                    <w:t>301</w:t>
                  </w:r>
                </w:p>
              </w:tc>
              <w:tc>
                <w:tcPr>
                  <w:tcW w:w="783" w:type="dxa"/>
                  <w:tcBorders>
                    <w:top w:val="nil"/>
                    <w:left w:val="nil"/>
                    <w:bottom w:val="nil"/>
                    <w:right w:val="double" w:sz="4" w:space="0" w:color="auto"/>
                  </w:tcBorders>
                </w:tcPr>
                <w:p w14:paraId="67086AD1" w14:textId="71F2833B" w:rsidR="004F6F93" w:rsidRPr="007E30E2" w:rsidRDefault="00596ACC" w:rsidP="00421ECE">
                  <w:pPr>
                    <w:ind w:right="170"/>
                    <w:jc w:val="right"/>
                    <w:rPr>
                      <w:rFonts w:cstheme="minorHAnsi"/>
                      <w:b/>
                      <w:sz w:val="14"/>
                      <w:szCs w:val="14"/>
                    </w:rPr>
                  </w:pPr>
                  <w:r>
                    <w:rPr>
                      <w:rFonts w:cstheme="minorHAnsi"/>
                      <w:b/>
                      <w:sz w:val="14"/>
                      <w:szCs w:val="14"/>
                    </w:rPr>
                    <w:t>62.</w:t>
                  </w:r>
                  <w:r w:rsidR="00204380">
                    <w:rPr>
                      <w:rFonts w:cstheme="minorHAnsi"/>
                      <w:b/>
                      <w:sz w:val="14"/>
                      <w:szCs w:val="14"/>
                    </w:rPr>
                    <w:t>5</w:t>
                  </w:r>
                </w:p>
              </w:tc>
            </w:tr>
            <w:tr w:rsidR="004F6F93" w:rsidRPr="000B5CD5" w14:paraId="7E187ED9" w14:textId="77777777" w:rsidTr="00DF2BC3">
              <w:tc>
                <w:tcPr>
                  <w:tcW w:w="3132" w:type="dxa"/>
                  <w:tcBorders>
                    <w:top w:val="nil"/>
                    <w:left w:val="double" w:sz="4" w:space="0" w:color="auto"/>
                    <w:bottom w:val="nil"/>
                    <w:right w:val="double" w:sz="4" w:space="0" w:color="auto"/>
                  </w:tcBorders>
                  <w:vAlign w:val="bottom"/>
                </w:tcPr>
                <w:p w14:paraId="3E2C7F12" w14:textId="77777777" w:rsidR="00F41967" w:rsidRPr="00274010" w:rsidRDefault="004F6F93" w:rsidP="00F41967">
                  <w:pPr>
                    <w:tabs>
                      <w:tab w:val="left" w:pos="523"/>
                    </w:tabs>
                    <w:ind w:left="510" w:hanging="510"/>
                    <w:rPr>
                      <w:rFonts w:cs="Arial"/>
                      <w:sz w:val="14"/>
                      <w:szCs w:val="14"/>
                    </w:rPr>
                  </w:pPr>
                  <w:r w:rsidRPr="00274010">
                    <w:rPr>
                      <w:rFonts w:cs="Arial"/>
                      <w:sz w:val="14"/>
                      <w:szCs w:val="14"/>
                    </w:rPr>
                    <w:t>43</w:t>
                  </w:r>
                  <w:r w:rsidRPr="00274010">
                    <w:rPr>
                      <w:rFonts w:cs="Arial"/>
                      <w:sz w:val="14"/>
                      <w:szCs w:val="14"/>
                    </w:rPr>
                    <w:tab/>
                    <w:t>Comercio</w:t>
                  </w:r>
                  <w:r w:rsidR="00D97251">
                    <w:rPr>
                      <w:rFonts w:cs="Arial"/>
                      <w:sz w:val="14"/>
                      <w:szCs w:val="14"/>
                    </w:rPr>
                    <w:t xml:space="preserve"> al por mayor</w:t>
                  </w:r>
                </w:p>
              </w:tc>
              <w:tc>
                <w:tcPr>
                  <w:tcW w:w="897" w:type="dxa"/>
                  <w:tcBorders>
                    <w:top w:val="nil"/>
                    <w:left w:val="double" w:sz="4" w:space="0" w:color="auto"/>
                    <w:bottom w:val="nil"/>
                    <w:right w:val="nil"/>
                  </w:tcBorders>
                </w:tcPr>
                <w:p w14:paraId="4C139993" w14:textId="6359B734" w:rsidR="004F6F93" w:rsidRPr="00E93446" w:rsidRDefault="00672524" w:rsidP="00E504AE">
                  <w:pPr>
                    <w:jc w:val="right"/>
                    <w:rPr>
                      <w:rFonts w:cstheme="minorHAnsi"/>
                      <w:sz w:val="14"/>
                      <w:szCs w:val="14"/>
                    </w:rPr>
                  </w:pPr>
                  <w:r>
                    <w:rPr>
                      <w:rFonts w:cstheme="minorHAnsi"/>
                      <w:sz w:val="14"/>
                      <w:szCs w:val="14"/>
                    </w:rPr>
                    <w:t>2</w:t>
                  </w:r>
                  <w:r w:rsidR="004F6F93">
                    <w:rPr>
                      <w:rFonts w:cstheme="minorHAnsi"/>
                      <w:sz w:val="14"/>
                      <w:szCs w:val="14"/>
                    </w:rPr>
                    <w:t>,</w:t>
                  </w:r>
                  <w:r w:rsidR="002E57FC">
                    <w:rPr>
                      <w:rFonts w:cstheme="minorHAnsi"/>
                      <w:sz w:val="14"/>
                      <w:szCs w:val="14"/>
                    </w:rPr>
                    <w:t>3</w:t>
                  </w:r>
                  <w:r w:rsidR="00210438">
                    <w:rPr>
                      <w:rFonts w:cstheme="minorHAnsi"/>
                      <w:sz w:val="14"/>
                      <w:szCs w:val="14"/>
                    </w:rPr>
                    <w:t>9</w:t>
                  </w:r>
                  <w:r w:rsidR="002E57FC">
                    <w:rPr>
                      <w:rFonts w:cstheme="minorHAnsi"/>
                      <w:sz w:val="14"/>
                      <w:szCs w:val="14"/>
                    </w:rPr>
                    <w:t>8</w:t>
                  </w:r>
                  <w:r w:rsidR="00393419">
                    <w:rPr>
                      <w:rFonts w:cstheme="minorHAnsi"/>
                      <w:sz w:val="14"/>
                      <w:szCs w:val="14"/>
                    </w:rPr>
                    <w:t>,</w:t>
                  </w:r>
                  <w:r w:rsidR="00210438">
                    <w:rPr>
                      <w:rFonts w:cstheme="minorHAnsi"/>
                      <w:sz w:val="14"/>
                      <w:szCs w:val="14"/>
                    </w:rPr>
                    <w:t>000</w:t>
                  </w:r>
                </w:p>
              </w:tc>
              <w:tc>
                <w:tcPr>
                  <w:tcW w:w="783" w:type="dxa"/>
                  <w:tcBorders>
                    <w:top w:val="nil"/>
                    <w:left w:val="nil"/>
                    <w:bottom w:val="nil"/>
                    <w:right w:val="double" w:sz="4" w:space="0" w:color="auto"/>
                  </w:tcBorders>
                </w:tcPr>
                <w:p w14:paraId="26F7738C" w14:textId="3068F5AB" w:rsidR="004F6F93" w:rsidRPr="00E93446" w:rsidRDefault="00204380" w:rsidP="00210630">
                  <w:pPr>
                    <w:ind w:right="170"/>
                    <w:jc w:val="right"/>
                    <w:rPr>
                      <w:rFonts w:cstheme="minorHAnsi"/>
                      <w:sz w:val="14"/>
                      <w:szCs w:val="14"/>
                    </w:rPr>
                  </w:pPr>
                  <w:r>
                    <w:rPr>
                      <w:rFonts w:cstheme="minorHAnsi"/>
                      <w:sz w:val="14"/>
                      <w:szCs w:val="14"/>
                    </w:rPr>
                    <w:t>9.8</w:t>
                  </w:r>
                </w:p>
              </w:tc>
            </w:tr>
            <w:tr w:rsidR="008A6845" w:rsidRPr="000B5CD5" w14:paraId="20D9EA03" w14:textId="77777777" w:rsidTr="00DF2BC3">
              <w:tc>
                <w:tcPr>
                  <w:tcW w:w="3132" w:type="dxa"/>
                  <w:tcBorders>
                    <w:top w:val="nil"/>
                    <w:left w:val="double" w:sz="4" w:space="0" w:color="auto"/>
                    <w:bottom w:val="nil"/>
                    <w:right w:val="double" w:sz="4" w:space="0" w:color="auto"/>
                  </w:tcBorders>
                  <w:vAlign w:val="bottom"/>
                </w:tcPr>
                <w:p w14:paraId="293B2DC7" w14:textId="0673D304" w:rsidR="008A6845" w:rsidRPr="00274010" w:rsidRDefault="008A6845" w:rsidP="008A6845">
                  <w:pPr>
                    <w:tabs>
                      <w:tab w:val="left" w:pos="523"/>
                    </w:tabs>
                    <w:ind w:left="510" w:hanging="510"/>
                    <w:rPr>
                      <w:rFonts w:cs="Arial"/>
                      <w:sz w:val="14"/>
                      <w:szCs w:val="14"/>
                    </w:rPr>
                  </w:pPr>
                  <w:r>
                    <w:rPr>
                      <w:rFonts w:cs="Arial"/>
                      <w:sz w:val="14"/>
                      <w:szCs w:val="14"/>
                    </w:rPr>
                    <w:t>46            Comercio al por menor</w:t>
                  </w:r>
                </w:p>
              </w:tc>
              <w:tc>
                <w:tcPr>
                  <w:tcW w:w="897" w:type="dxa"/>
                  <w:tcBorders>
                    <w:top w:val="nil"/>
                    <w:left w:val="double" w:sz="4" w:space="0" w:color="auto"/>
                    <w:bottom w:val="nil"/>
                    <w:right w:val="nil"/>
                  </w:tcBorders>
                </w:tcPr>
                <w:p w14:paraId="5E57E8BC" w14:textId="322062FD" w:rsidR="008A6845" w:rsidRDefault="008A6845" w:rsidP="008A6845">
                  <w:pPr>
                    <w:jc w:val="right"/>
                    <w:rPr>
                      <w:rFonts w:cstheme="minorHAnsi"/>
                      <w:sz w:val="14"/>
                      <w:szCs w:val="14"/>
                    </w:rPr>
                  </w:pPr>
                  <w:r>
                    <w:rPr>
                      <w:rFonts w:cstheme="minorHAnsi"/>
                      <w:sz w:val="14"/>
                      <w:szCs w:val="14"/>
                    </w:rPr>
                    <w:t>2,</w:t>
                  </w:r>
                  <w:r w:rsidR="00210438">
                    <w:rPr>
                      <w:rFonts w:cstheme="minorHAnsi"/>
                      <w:sz w:val="14"/>
                      <w:szCs w:val="14"/>
                    </w:rPr>
                    <w:t>384</w:t>
                  </w:r>
                  <w:r>
                    <w:rPr>
                      <w:rFonts w:cstheme="minorHAnsi"/>
                      <w:sz w:val="14"/>
                      <w:szCs w:val="14"/>
                    </w:rPr>
                    <w:t>,</w:t>
                  </w:r>
                  <w:r w:rsidR="00210438">
                    <w:rPr>
                      <w:rFonts w:cstheme="minorHAnsi"/>
                      <w:sz w:val="14"/>
                      <w:szCs w:val="14"/>
                    </w:rPr>
                    <w:t>067</w:t>
                  </w:r>
                </w:p>
              </w:tc>
              <w:tc>
                <w:tcPr>
                  <w:tcW w:w="783" w:type="dxa"/>
                  <w:tcBorders>
                    <w:top w:val="nil"/>
                    <w:left w:val="nil"/>
                    <w:bottom w:val="nil"/>
                    <w:right w:val="double" w:sz="4" w:space="0" w:color="auto"/>
                  </w:tcBorders>
                </w:tcPr>
                <w:p w14:paraId="6D884C09" w14:textId="74578FFB" w:rsidR="008A6845" w:rsidRDefault="008A6845" w:rsidP="00210630">
                  <w:pPr>
                    <w:ind w:right="170"/>
                    <w:jc w:val="right"/>
                    <w:rPr>
                      <w:rFonts w:cstheme="minorHAnsi"/>
                      <w:sz w:val="14"/>
                      <w:szCs w:val="14"/>
                    </w:rPr>
                  </w:pPr>
                  <w:r>
                    <w:rPr>
                      <w:rFonts w:cstheme="minorHAnsi"/>
                      <w:sz w:val="14"/>
                      <w:szCs w:val="14"/>
                    </w:rPr>
                    <w:t>9.</w:t>
                  </w:r>
                  <w:r w:rsidR="00204380">
                    <w:rPr>
                      <w:rFonts w:cstheme="minorHAnsi"/>
                      <w:sz w:val="14"/>
                      <w:szCs w:val="14"/>
                    </w:rPr>
                    <w:t>8</w:t>
                  </w:r>
                </w:p>
              </w:tc>
            </w:tr>
            <w:tr w:rsidR="004F6F93" w:rsidRPr="000B5CD5" w14:paraId="3454639A" w14:textId="77777777" w:rsidTr="00DF2BC3">
              <w:tc>
                <w:tcPr>
                  <w:tcW w:w="3132" w:type="dxa"/>
                  <w:tcBorders>
                    <w:top w:val="nil"/>
                    <w:left w:val="double" w:sz="4" w:space="0" w:color="auto"/>
                    <w:bottom w:val="nil"/>
                    <w:right w:val="double" w:sz="4" w:space="0" w:color="auto"/>
                  </w:tcBorders>
                  <w:vAlign w:val="bottom"/>
                </w:tcPr>
                <w:p w14:paraId="53C1B396" w14:textId="60FE141F" w:rsidR="004F6F93" w:rsidRPr="00274010" w:rsidRDefault="004F6F93" w:rsidP="000D7726">
                  <w:pPr>
                    <w:tabs>
                      <w:tab w:val="left" w:pos="523"/>
                    </w:tabs>
                    <w:ind w:left="510" w:hanging="510"/>
                    <w:rPr>
                      <w:rFonts w:cs="Arial"/>
                      <w:sz w:val="14"/>
                      <w:szCs w:val="14"/>
                    </w:rPr>
                  </w:pPr>
                  <w:r w:rsidRPr="00274010">
                    <w:rPr>
                      <w:rFonts w:cs="Arial"/>
                      <w:sz w:val="14"/>
                      <w:szCs w:val="14"/>
                    </w:rPr>
                    <w:t>48-49</w:t>
                  </w:r>
                  <w:r w:rsidRPr="00274010">
                    <w:rPr>
                      <w:rFonts w:cs="Arial"/>
                      <w:sz w:val="14"/>
                      <w:szCs w:val="14"/>
                    </w:rPr>
                    <w:tab/>
                    <w:t>Transportes, correos y</w:t>
                  </w:r>
                  <w:r>
                    <w:rPr>
                      <w:rFonts w:cs="Arial"/>
                      <w:sz w:val="14"/>
                      <w:szCs w:val="14"/>
                    </w:rPr>
                    <w:t xml:space="preserve"> </w:t>
                  </w:r>
                  <w:r w:rsidRPr="00274010">
                    <w:rPr>
                      <w:rFonts w:cs="Arial"/>
                      <w:sz w:val="14"/>
                      <w:szCs w:val="14"/>
                    </w:rPr>
                    <w:t xml:space="preserve">almacenamiento </w:t>
                  </w:r>
                </w:p>
              </w:tc>
              <w:tc>
                <w:tcPr>
                  <w:tcW w:w="897" w:type="dxa"/>
                  <w:tcBorders>
                    <w:top w:val="nil"/>
                    <w:left w:val="double" w:sz="4" w:space="0" w:color="auto"/>
                    <w:bottom w:val="nil"/>
                    <w:right w:val="nil"/>
                  </w:tcBorders>
                </w:tcPr>
                <w:p w14:paraId="0752F5AA" w14:textId="611921FD" w:rsidR="004F6F93" w:rsidRPr="00E93446" w:rsidRDefault="00672524" w:rsidP="008A055E">
                  <w:pPr>
                    <w:jc w:val="right"/>
                    <w:rPr>
                      <w:rFonts w:cstheme="minorHAnsi"/>
                      <w:sz w:val="14"/>
                      <w:szCs w:val="14"/>
                    </w:rPr>
                  </w:pPr>
                  <w:r>
                    <w:rPr>
                      <w:rFonts w:cstheme="minorHAnsi"/>
                      <w:sz w:val="14"/>
                      <w:szCs w:val="14"/>
                    </w:rPr>
                    <w:t>1,</w:t>
                  </w:r>
                  <w:r w:rsidR="00210438">
                    <w:rPr>
                      <w:rFonts w:cstheme="minorHAnsi"/>
                      <w:sz w:val="14"/>
                      <w:szCs w:val="14"/>
                    </w:rPr>
                    <w:t>5</w:t>
                  </w:r>
                  <w:r w:rsidR="002E57FC">
                    <w:rPr>
                      <w:rFonts w:cstheme="minorHAnsi"/>
                      <w:sz w:val="14"/>
                      <w:szCs w:val="14"/>
                    </w:rPr>
                    <w:t>29</w:t>
                  </w:r>
                  <w:r w:rsidR="004F6F93">
                    <w:rPr>
                      <w:rFonts w:cstheme="minorHAnsi"/>
                      <w:sz w:val="14"/>
                      <w:szCs w:val="14"/>
                    </w:rPr>
                    <w:t>,</w:t>
                  </w:r>
                  <w:r w:rsidR="00210438">
                    <w:rPr>
                      <w:rFonts w:cstheme="minorHAnsi"/>
                      <w:sz w:val="14"/>
                      <w:szCs w:val="14"/>
                    </w:rPr>
                    <w:t>173</w:t>
                  </w:r>
                </w:p>
              </w:tc>
              <w:tc>
                <w:tcPr>
                  <w:tcW w:w="783" w:type="dxa"/>
                  <w:tcBorders>
                    <w:top w:val="nil"/>
                    <w:left w:val="nil"/>
                    <w:bottom w:val="nil"/>
                    <w:right w:val="double" w:sz="4" w:space="0" w:color="auto"/>
                  </w:tcBorders>
                </w:tcPr>
                <w:p w14:paraId="6F2688A0" w14:textId="207CA93D" w:rsidR="004F6F93" w:rsidRPr="00E93446" w:rsidRDefault="00204380" w:rsidP="00114201">
                  <w:pPr>
                    <w:ind w:right="170"/>
                    <w:jc w:val="right"/>
                    <w:rPr>
                      <w:rFonts w:cstheme="minorHAnsi"/>
                      <w:sz w:val="14"/>
                      <w:szCs w:val="14"/>
                    </w:rPr>
                  </w:pPr>
                  <w:r>
                    <w:rPr>
                      <w:rFonts w:cstheme="minorHAnsi"/>
                      <w:sz w:val="14"/>
                      <w:szCs w:val="14"/>
                    </w:rPr>
                    <w:t>6.3</w:t>
                  </w:r>
                </w:p>
              </w:tc>
            </w:tr>
            <w:tr w:rsidR="004F6F93" w:rsidRPr="000B5CD5" w14:paraId="11F6AE8D" w14:textId="77777777" w:rsidTr="00DF2BC3">
              <w:tc>
                <w:tcPr>
                  <w:tcW w:w="3132" w:type="dxa"/>
                  <w:tcBorders>
                    <w:top w:val="nil"/>
                    <w:left w:val="double" w:sz="4" w:space="0" w:color="auto"/>
                    <w:bottom w:val="nil"/>
                    <w:right w:val="double" w:sz="4" w:space="0" w:color="auto"/>
                  </w:tcBorders>
                  <w:vAlign w:val="bottom"/>
                </w:tcPr>
                <w:p w14:paraId="247DDFFE" w14:textId="77777777" w:rsidR="004F6F93" w:rsidRPr="00274010" w:rsidRDefault="004F6F93" w:rsidP="000D7726">
                  <w:pPr>
                    <w:tabs>
                      <w:tab w:val="left" w:pos="523"/>
                    </w:tabs>
                    <w:ind w:left="510" w:hanging="510"/>
                    <w:rPr>
                      <w:rFonts w:cs="Arial"/>
                      <w:sz w:val="14"/>
                      <w:szCs w:val="14"/>
                    </w:rPr>
                  </w:pPr>
                  <w:r w:rsidRPr="00274010">
                    <w:rPr>
                      <w:rFonts w:cs="Arial"/>
                      <w:sz w:val="14"/>
                      <w:szCs w:val="14"/>
                    </w:rPr>
                    <w:t>51</w:t>
                  </w:r>
                  <w:r w:rsidRPr="00274010">
                    <w:rPr>
                      <w:rFonts w:cs="Arial"/>
                      <w:sz w:val="14"/>
                      <w:szCs w:val="14"/>
                    </w:rPr>
                    <w:tab/>
                    <w:t xml:space="preserve">Información en medios masivos </w:t>
                  </w:r>
                </w:p>
              </w:tc>
              <w:tc>
                <w:tcPr>
                  <w:tcW w:w="897" w:type="dxa"/>
                  <w:tcBorders>
                    <w:top w:val="nil"/>
                    <w:left w:val="double" w:sz="4" w:space="0" w:color="auto"/>
                    <w:bottom w:val="nil"/>
                    <w:right w:val="nil"/>
                  </w:tcBorders>
                </w:tcPr>
                <w:p w14:paraId="0C06CCF9" w14:textId="49BD65FC" w:rsidR="004F6F93" w:rsidRPr="00E93446" w:rsidRDefault="003227F4" w:rsidP="00B5033D">
                  <w:pPr>
                    <w:jc w:val="right"/>
                    <w:rPr>
                      <w:rFonts w:cstheme="minorHAnsi"/>
                      <w:sz w:val="14"/>
                      <w:szCs w:val="14"/>
                    </w:rPr>
                  </w:pPr>
                  <w:r>
                    <w:rPr>
                      <w:rFonts w:cstheme="minorHAnsi"/>
                      <w:sz w:val="14"/>
                      <w:szCs w:val="14"/>
                    </w:rPr>
                    <w:t>3</w:t>
                  </w:r>
                  <w:r w:rsidR="00210438">
                    <w:rPr>
                      <w:rFonts w:cstheme="minorHAnsi"/>
                      <w:sz w:val="14"/>
                      <w:szCs w:val="14"/>
                    </w:rPr>
                    <w:t>84</w:t>
                  </w:r>
                  <w:r w:rsidR="004F6F93">
                    <w:rPr>
                      <w:rFonts w:cstheme="minorHAnsi"/>
                      <w:sz w:val="14"/>
                      <w:szCs w:val="14"/>
                    </w:rPr>
                    <w:t>,</w:t>
                  </w:r>
                  <w:r w:rsidR="00210438">
                    <w:rPr>
                      <w:rFonts w:cstheme="minorHAnsi"/>
                      <w:sz w:val="14"/>
                      <w:szCs w:val="14"/>
                    </w:rPr>
                    <w:t>690</w:t>
                  </w:r>
                </w:p>
              </w:tc>
              <w:tc>
                <w:tcPr>
                  <w:tcW w:w="783" w:type="dxa"/>
                  <w:tcBorders>
                    <w:top w:val="nil"/>
                    <w:left w:val="nil"/>
                    <w:bottom w:val="nil"/>
                    <w:right w:val="double" w:sz="4" w:space="0" w:color="auto"/>
                  </w:tcBorders>
                </w:tcPr>
                <w:p w14:paraId="7BF21AAF" w14:textId="323A70D1" w:rsidR="004F6F93" w:rsidRPr="00E93446" w:rsidRDefault="00C14034" w:rsidP="0015523C">
                  <w:pPr>
                    <w:ind w:right="170"/>
                    <w:jc w:val="right"/>
                    <w:rPr>
                      <w:rFonts w:cstheme="minorHAnsi"/>
                      <w:sz w:val="14"/>
                      <w:szCs w:val="14"/>
                    </w:rPr>
                  </w:pPr>
                  <w:r>
                    <w:rPr>
                      <w:rFonts w:cstheme="minorHAnsi"/>
                      <w:sz w:val="14"/>
                      <w:szCs w:val="14"/>
                    </w:rPr>
                    <w:t>1</w:t>
                  </w:r>
                  <w:r w:rsidR="00C65174">
                    <w:rPr>
                      <w:rFonts w:cstheme="minorHAnsi"/>
                      <w:sz w:val="14"/>
                      <w:szCs w:val="14"/>
                    </w:rPr>
                    <w:t>.</w:t>
                  </w:r>
                  <w:r w:rsidR="0099066F">
                    <w:rPr>
                      <w:rFonts w:cstheme="minorHAnsi"/>
                      <w:sz w:val="14"/>
                      <w:szCs w:val="14"/>
                    </w:rPr>
                    <w:t>6</w:t>
                  </w:r>
                </w:p>
              </w:tc>
            </w:tr>
            <w:tr w:rsidR="004F6F93" w:rsidRPr="000B5CD5" w14:paraId="0372BDD2" w14:textId="77777777" w:rsidTr="00DF2BC3">
              <w:tc>
                <w:tcPr>
                  <w:tcW w:w="3132" w:type="dxa"/>
                  <w:tcBorders>
                    <w:top w:val="nil"/>
                    <w:left w:val="double" w:sz="4" w:space="0" w:color="auto"/>
                    <w:bottom w:val="nil"/>
                    <w:right w:val="double" w:sz="4" w:space="0" w:color="auto"/>
                  </w:tcBorders>
                  <w:vAlign w:val="bottom"/>
                </w:tcPr>
                <w:p w14:paraId="3F931E2E" w14:textId="77777777" w:rsidR="004F6F93" w:rsidRPr="00274010" w:rsidRDefault="004F6F93" w:rsidP="000D7726">
                  <w:pPr>
                    <w:tabs>
                      <w:tab w:val="left" w:pos="523"/>
                    </w:tabs>
                    <w:ind w:left="510" w:hanging="510"/>
                    <w:rPr>
                      <w:rFonts w:cs="Arial"/>
                      <w:sz w:val="14"/>
                      <w:szCs w:val="14"/>
                    </w:rPr>
                  </w:pPr>
                  <w:r w:rsidRPr="00274010">
                    <w:rPr>
                      <w:rFonts w:cs="Arial"/>
                      <w:sz w:val="14"/>
                      <w:szCs w:val="14"/>
                    </w:rPr>
                    <w:t>52</w:t>
                  </w:r>
                  <w:r w:rsidRPr="00274010">
                    <w:rPr>
                      <w:rFonts w:cs="Arial"/>
                      <w:sz w:val="14"/>
                      <w:szCs w:val="14"/>
                    </w:rPr>
                    <w:tab/>
                    <w:t xml:space="preserve">Servicios financieros y de seguros </w:t>
                  </w:r>
                </w:p>
              </w:tc>
              <w:tc>
                <w:tcPr>
                  <w:tcW w:w="897" w:type="dxa"/>
                  <w:tcBorders>
                    <w:top w:val="nil"/>
                    <w:left w:val="double" w:sz="4" w:space="0" w:color="auto"/>
                    <w:bottom w:val="nil"/>
                    <w:right w:val="nil"/>
                  </w:tcBorders>
                </w:tcPr>
                <w:p w14:paraId="09F9A514" w14:textId="772B03F6" w:rsidR="004F6F93" w:rsidRPr="00E93446" w:rsidRDefault="00210438" w:rsidP="00B5033D">
                  <w:pPr>
                    <w:jc w:val="right"/>
                    <w:rPr>
                      <w:rFonts w:cstheme="minorHAnsi"/>
                      <w:sz w:val="14"/>
                      <w:szCs w:val="14"/>
                    </w:rPr>
                  </w:pPr>
                  <w:r>
                    <w:rPr>
                      <w:rFonts w:cstheme="minorHAnsi"/>
                      <w:sz w:val="14"/>
                      <w:szCs w:val="14"/>
                    </w:rPr>
                    <w:t>1,005</w:t>
                  </w:r>
                  <w:r w:rsidR="004F6F93">
                    <w:rPr>
                      <w:rFonts w:cstheme="minorHAnsi"/>
                      <w:sz w:val="14"/>
                      <w:szCs w:val="14"/>
                    </w:rPr>
                    <w:t>,</w:t>
                  </w:r>
                  <w:r w:rsidR="002E57FC">
                    <w:rPr>
                      <w:rFonts w:cstheme="minorHAnsi"/>
                      <w:sz w:val="14"/>
                      <w:szCs w:val="14"/>
                    </w:rPr>
                    <w:t>3</w:t>
                  </w:r>
                  <w:r>
                    <w:rPr>
                      <w:rFonts w:cstheme="minorHAnsi"/>
                      <w:sz w:val="14"/>
                      <w:szCs w:val="14"/>
                    </w:rPr>
                    <w:t>51</w:t>
                  </w:r>
                </w:p>
              </w:tc>
              <w:tc>
                <w:tcPr>
                  <w:tcW w:w="783" w:type="dxa"/>
                  <w:tcBorders>
                    <w:top w:val="nil"/>
                    <w:left w:val="nil"/>
                    <w:bottom w:val="nil"/>
                    <w:right w:val="double" w:sz="4" w:space="0" w:color="auto"/>
                  </w:tcBorders>
                </w:tcPr>
                <w:p w14:paraId="493EA5FD" w14:textId="2CC80446" w:rsidR="004F6F93" w:rsidRPr="00E93446" w:rsidRDefault="002F61E3" w:rsidP="00C65174">
                  <w:pPr>
                    <w:ind w:right="170"/>
                    <w:jc w:val="right"/>
                    <w:rPr>
                      <w:rFonts w:cstheme="minorHAnsi"/>
                      <w:sz w:val="14"/>
                      <w:szCs w:val="14"/>
                    </w:rPr>
                  </w:pPr>
                  <w:r>
                    <w:rPr>
                      <w:rFonts w:cstheme="minorHAnsi"/>
                      <w:sz w:val="14"/>
                      <w:szCs w:val="14"/>
                    </w:rPr>
                    <w:t>4.</w:t>
                  </w:r>
                  <w:r w:rsidR="0099066F">
                    <w:rPr>
                      <w:rFonts w:cstheme="minorHAnsi"/>
                      <w:sz w:val="14"/>
                      <w:szCs w:val="14"/>
                    </w:rPr>
                    <w:t>1</w:t>
                  </w:r>
                </w:p>
              </w:tc>
            </w:tr>
            <w:tr w:rsidR="004F6F93" w:rsidRPr="000B5CD5" w14:paraId="31B8EB2C" w14:textId="77777777" w:rsidTr="00A84A85">
              <w:tc>
                <w:tcPr>
                  <w:tcW w:w="3132" w:type="dxa"/>
                  <w:tcBorders>
                    <w:top w:val="nil"/>
                    <w:left w:val="double" w:sz="4" w:space="0" w:color="auto"/>
                    <w:bottom w:val="nil"/>
                    <w:right w:val="double" w:sz="4" w:space="0" w:color="auto"/>
                  </w:tcBorders>
                  <w:vAlign w:val="bottom"/>
                </w:tcPr>
                <w:p w14:paraId="63E8CBC6" w14:textId="77777777" w:rsidR="004F6F93" w:rsidRPr="00274010" w:rsidRDefault="004F6F93" w:rsidP="000D7726">
                  <w:pPr>
                    <w:tabs>
                      <w:tab w:val="left" w:pos="523"/>
                    </w:tabs>
                    <w:ind w:left="510" w:hanging="510"/>
                    <w:rPr>
                      <w:rFonts w:cs="Arial"/>
                      <w:sz w:val="14"/>
                      <w:szCs w:val="14"/>
                    </w:rPr>
                  </w:pPr>
                  <w:r w:rsidRPr="00274010">
                    <w:rPr>
                      <w:rFonts w:cs="Arial"/>
                      <w:sz w:val="14"/>
                      <w:szCs w:val="14"/>
                    </w:rPr>
                    <w:t>53</w:t>
                  </w:r>
                  <w:r w:rsidRPr="00274010">
                    <w:rPr>
                      <w:rFonts w:cs="Arial"/>
                      <w:sz w:val="14"/>
                      <w:szCs w:val="14"/>
                    </w:rPr>
                    <w:tab/>
                    <w:t xml:space="preserve">Servicios inmobiliarios y de alquiler de bienes muebles e intangibles </w:t>
                  </w:r>
                </w:p>
              </w:tc>
              <w:tc>
                <w:tcPr>
                  <w:tcW w:w="897" w:type="dxa"/>
                  <w:tcBorders>
                    <w:top w:val="nil"/>
                    <w:left w:val="double" w:sz="4" w:space="0" w:color="auto"/>
                    <w:bottom w:val="nil"/>
                    <w:right w:val="nil"/>
                  </w:tcBorders>
                  <w:vAlign w:val="center"/>
                </w:tcPr>
                <w:p w14:paraId="74DE4464" w14:textId="0B83B546" w:rsidR="004F6F93" w:rsidRPr="00E93446" w:rsidRDefault="007D26A1" w:rsidP="00B5033D">
                  <w:pPr>
                    <w:jc w:val="right"/>
                    <w:rPr>
                      <w:rFonts w:cstheme="minorHAnsi"/>
                      <w:sz w:val="14"/>
                      <w:szCs w:val="14"/>
                    </w:rPr>
                  </w:pPr>
                  <w:r>
                    <w:rPr>
                      <w:rFonts w:cstheme="minorHAnsi"/>
                      <w:sz w:val="14"/>
                      <w:szCs w:val="14"/>
                    </w:rPr>
                    <w:t>2</w:t>
                  </w:r>
                  <w:r w:rsidR="004F6F93">
                    <w:rPr>
                      <w:rFonts w:cstheme="minorHAnsi"/>
                      <w:sz w:val="14"/>
                      <w:szCs w:val="14"/>
                    </w:rPr>
                    <w:t>,</w:t>
                  </w:r>
                  <w:r w:rsidR="00210438">
                    <w:rPr>
                      <w:rFonts w:cstheme="minorHAnsi"/>
                      <w:sz w:val="14"/>
                      <w:szCs w:val="14"/>
                    </w:rPr>
                    <w:t>551</w:t>
                  </w:r>
                  <w:r w:rsidR="004F6F93">
                    <w:rPr>
                      <w:rFonts w:cstheme="minorHAnsi"/>
                      <w:sz w:val="14"/>
                      <w:szCs w:val="14"/>
                    </w:rPr>
                    <w:t>,</w:t>
                  </w:r>
                  <w:r w:rsidR="00210438">
                    <w:rPr>
                      <w:rFonts w:cstheme="minorHAnsi"/>
                      <w:sz w:val="14"/>
                      <w:szCs w:val="14"/>
                    </w:rPr>
                    <w:t>037</w:t>
                  </w:r>
                </w:p>
              </w:tc>
              <w:tc>
                <w:tcPr>
                  <w:tcW w:w="783" w:type="dxa"/>
                  <w:tcBorders>
                    <w:top w:val="nil"/>
                    <w:left w:val="nil"/>
                    <w:bottom w:val="nil"/>
                    <w:right w:val="double" w:sz="4" w:space="0" w:color="auto"/>
                  </w:tcBorders>
                  <w:vAlign w:val="center"/>
                </w:tcPr>
                <w:p w14:paraId="0DF2ABE3" w14:textId="3769FF89" w:rsidR="004F6F93" w:rsidRPr="00E93446" w:rsidRDefault="00210630" w:rsidP="00210630">
                  <w:pPr>
                    <w:ind w:right="170"/>
                    <w:jc w:val="right"/>
                    <w:rPr>
                      <w:rFonts w:cstheme="minorHAnsi"/>
                      <w:sz w:val="14"/>
                      <w:szCs w:val="14"/>
                    </w:rPr>
                  </w:pPr>
                  <w:r>
                    <w:rPr>
                      <w:rFonts w:cstheme="minorHAnsi"/>
                      <w:sz w:val="14"/>
                      <w:szCs w:val="14"/>
                    </w:rPr>
                    <w:t>1</w:t>
                  </w:r>
                  <w:r w:rsidR="00207289">
                    <w:rPr>
                      <w:rFonts w:cstheme="minorHAnsi"/>
                      <w:sz w:val="14"/>
                      <w:szCs w:val="14"/>
                    </w:rPr>
                    <w:t>0.</w:t>
                  </w:r>
                  <w:r w:rsidR="0099066F">
                    <w:rPr>
                      <w:rFonts w:cstheme="minorHAnsi"/>
                      <w:sz w:val="14"/>
                      <w:szCs w:val="14"/>
                    </w:rPr>
                    <w:t>5</w:t>
                  </w:r>
                </w:p>
              </w:tc>
            </w:tr>
            <w:tr w:rsidR="004F6F93" w:rsidRPr="000B5CD5" w14:paraId="02F9E616" w14:textId="77777777" w:rsidTr="00A84A85">
              <w:tc>
                <w:tcPr>
                  <w:tcW w:w="3132" w:type="dxa"/>
                  <w:tcBorders>
                    <w:top w:val="nil"/>
                    <w:left w:val="double" w:sz="4" w:space="0" w:color="auto"/>
                    <w:bottom w:val="nil"/>
                    <w:right w:val="double" w:sz="4" w:space="0" w:color="auto"/>
                  </w:tcBorders>
                  <w:vAlign w:val="bottom"/>
                </w:tcPr>
                <w:p w14:paraId="1E22CA4F" w14:textId="77777777" w:rsidR="004F6F93" w:rsidRPr="00274010" w:rsidRDefault="004F6F93" w:rsidP="000D7726">
                  <w:pPr>
                    <w:tabs>
                      <w:tab w:val="left" w:pos="523"/>
                    </w:tabs>
                    <w:ind w:left="510" w:hanging="510"/>
                    <w:rPr>
                      <w:rFonts w:cs="Arial"/>
                      <w:sz w:val="14"/>
                      <w:szCs w:val="14"/>
                    </w:rPr>
                  </w:pPr>
                  <w:r w:rsidRPr="00274010">
                    <w:rPr>
                      <w:rFonts w:cs="Arial"/>
                      <w:sz w:val="14"/>
                      <w:szCs w:val="14"/>
                    </w:rPr>
                    <w:t>54</w:t>
                  </w:r>
                  <w:r w:rsidRPr="00274010">
                    <w:rPr>
                      <w:rFonts w:cs="Arial"/>
                      <w:sz w:val="14"/>
                      <w:szCs w:val="14"/>
                    </w:rPr>
                    <w:tab/>
                    <w:t xml:space="preserve">Servicios profesionales, científicos y técnicos </w:t>
                  </w:r>
                </w:p>
              </w:tc>
              <w:tc>
                <w:tcPr>
                  <w:tcW w:w="897" w:type="dxa"/>
                  <w:tcBorders>
                    <w:top w:val="nil"/>
                    <w:left w:val="double" w:sz="4" w:space="0" w:color="auto"/>
                    <w:bottom w:val="nil"/>
                    <w:right w:val="nil"/>
                  </w:tcBorders>
                  <w:vAlign w:val="center"/>
                </w:tcPr>
                <w:p w14:paraId="37B7EB94" w14:textId="77CA1748" w:rsidR="004F6F93" w:rsidRPr="00E93446" w:rsidRDefault="00393419" w:rsidP="00B5033D">
                  <w:pPr>
                    <w:jc w:val="right"/>
                    <w:rPr>
                      <w:rFonts w:cstheme="minorHAnsi"/>
                      <w:sz w:val="14"/>
                      <w:szCs w:val="14"/>
                    </w:rPr>
                  </w:pPr>
                  <w:r>
                    <w:rPr>
                      <w:rFonts w:cstheme="minorHAnsi"/>
                      <w:sz w:val="14"/>
                      <w:szCs w:val="14"/>
                    </w:rPr>
                    <w:t>4</w:t>
                  </w:r>
                  <w:r w:rsidR="002E57FC">
                    <w:rPr>
                      <w:rFonts w:cstheme="minorHAnsi"/>
                      <w:sz w:val="14"/>
                      <w:szCs w:val="14"/>
                    </w:rPr>
                    <w:t>5</w:t>
                  </w:r>
                  <w:r w:rsidR="00210438">
                    <w:rPr>
                      <w:rFonts w:cstheme="minorHAnsi"/>
                      <w:sz w:val="14"/>
                      <w:szCs w:val="14"/>
                    </w:rPr>
                    <w:t>3</w:t>
                  </w:r>
                  <w:r w:rsidR="007D26A1">
                    <w:rPr>
                      <w:rFonts w:cstheme="minorHAnsi"/>
                      <w:sz w:val="14"/>
                      <w:szCs w:val="14"/>
                    </w:rPr>
                    <w:t>,</w:t>
                  </w:r>
                  <w:r w:rsidR="00210438">
                    <w:rPr>
                      <w:rFonts w:cstheme="minorHAnsi"/>
                      <w:sz w:val="14"/>
                      <w:szCs w:val="14"/>
                    </w:rPr>
                    <w:t>583</w:t>
                  </w:r>
                </w:p>
              </w:tc>
              <w:tc>
                <w:tcPr>
                  <w:tcW w:w="783" w:type="dxa"/>
                  <w:tcBorders>
                    <w:top w:val="nil"/>
                    <w:left w:val="nil"/>
                    <w:bottom w:val="nil"/>
                    <w:right w:val="double" w:sz="4" w:space="0" w:color="auto"/>
                  </w:tcBorders>
                  <w:vAlign w:val="center"/>
                </w:tcPr>
                <w:p w14:paraId="25D54D0E" w14:textId="7B2799AA" w:rsidR="004F6F93" w:rsidRPr="00E93446" w:rsidRDefault="00E67AB0" w:rsidP="00421ECE">
                  <w:pPr>
                    <w:ind w:right="170"/>
                    <w:jc w:val="right"/>
                    <w:rPr>
                      <w:rFonts w:cstheme="minorHAnsi"/>
                      <w:sz w:val="14"/>
                      <w:szCs w:val="14"/>
                    </w:rPr>
                  </w:pPr>
                  <w:r>
                    <w:rPr>
                      <w:rFonts w:cstheme="minorHAnsi"/>
                      <w:sz w:val="14"/>
                      <w:szCs w:val="14"/>
                    </w:rPr>
                    <w:t>1.8</w:t>
                  </w:r>
                </w:p>
              </w:tc>
            </w:tr>
            <w:tr w:rsidR="004F6F93" w:rsidRPr="000B5CD5" w14:paraId="46DB1FB4" w14:textId="77777777" w:rsidTr="00DF2BC3">
              <w:tc>
                <w:tcPr>
                  <w:tcW w:w="3132" w:type="dxa"/>
                  <w:tcBorders>
                    <w:top w:val="nil"/>
                    <w:left w:val="double" w:sz="4" w:space="0" w:color="auto"/>
                    <w:bottom w:val="nil"/>
                    <w:right w:val="double" w:sz="4" w:space="0" w:color="auto"/>
                  </w:tcBorders>
                  <w:vAlign w:val="bottom"/>
                </w:tcPr>
                <w:p w14:paraId="47FC7EDB" w14:textId="77777777" w:rsidR="004F6F93" w:rsidRPr="00274010" w:rsidRDefault="004F6F93" w:rsidP="000D7726">
                  <w:pPr>
                    <w:tabs>
                      <w:tab w:val="left" w:pos="523"/>
                    </w:tabs>
                    <w:ind w:left="510" w:hanging="510"/>
                    <w:rPr>
                      <w:rFonts w:cs="Arial"/>
                      <w:sz w:val="14"/>
                      <w:szCs w:val="14"/>
                    </w:rPr>
                  </w:pPr>
                  <w:r w:rsidRPr="00274010">
                    <w:rPr>
                      <w:rFonts w:cs="Arial"/>
                      <w:sz w:val="14"/>
                      <w:szCs w:val="14"/>
                    </w:rPr>
                    <w:t>55</w:t>
                  </w:r>
                  <w:r w:rsidRPr="00274010">
                    <w:rPr>
                      <w:rFonts w:cs="Arial"/>
                      <w:sz w:val="14"/>
                      <w:szCs w:val="14"/>
                    </w:rPr>
                    <w:tab/>
                  </w:r>
                  <w:r>
                    <w:rPr>
                      <w:rFonts w:cs="Arial"/>
                      <w:sz w:val="14"/>
                      <w:szCs w:val="14"/>
                    </w:rPr>
                    <w:t>C</w:t>
                  </w:r>
                  <w:r w:rsidRPr="00274010">
                    <w:rPr>
                      <w:rFonts w:cs="Arial"/>
                      <w:sz w:val="14"/>
                      <w:szCs w:val="14"/>
                    </w:rPr>
                    <w:t xml:space="preserve">orporativos  </w:t>
                  </w:r>
                </w:p>
              </w:tc>
              <w:tc>
                <w:tcPr>
                  <w:tcW w:w="897" w:type="dxa"/>
                  <w:tcBorders>
                    <w:top w:val="nil"/>
                    <w:left w:val="double" w:sz="4" w:space="0" w:color="auto"/>
                    <w:bottom w:val="nil"/>
                    <w:right w:val="nil"/>
                  </w:tcBorders>
                </w:tcPr>
                <w:p w14:paraId="3C9B7F7D" w14:textId="17023889" w:rsidR="004F6F93" w:rsidRPr="00E93446" w:rsidRDefault="00B74AE9" w:rsidP="00B5033D">
                  <w:pPr>
                    <w:jc w:val="right"/>
                    <w:rPr>
                      <w:rFonts w:cstheme="minorHAnsi"/>
                      <w:sz w:val="14"/>
                      <w:szCs w:val="14"/>
                    </w:rPr>
                  </w:pPr>
                  <w:r>
                    <w:rPr>
                      <w:rFonts w:cstheme="minorHAnsi"/>
                      <w:sz w:val="14"/>
                      <w:szCs w:val="14"/>
                    </w:rPr>
                    <w:t>1</w:t>
                  </w:r>
                  <w:r w:rsidR="00672524">
                    <w:rPr>
                      <w:rFonts w:cstheme="minorHAnsi"/>
                      <w:sz w:val="14"/>
                      <w:szCs w:val="14"/>
                    </w:rPr>
                    <w:t>3</w:t>
                  </w:r>
                  <w:r w:rsidR="00210438">
                    <w:rPr>
                      <w:rFonts w:cstheme="minorHAnsi"/>
                      <w:sz w:val="14"/>
                      <w:szCs w:val="14"/>
                    </w:rPr>
                    <w:t>8</w:t>
                  </w:r>
                  <w:r w:rsidR="004F6F93">
                    <w:rPr>
                      <w:rFonts w:cstheme="minorHAnsi"/>
                      <w:sz w:val="14"/>
                      <w:szCs w:val="14"/>
                    </w:rPr>
                    <w:t>,</w:t>
                  </w:r>
                  <w:r w:rsidR="002E57FC">
                    <w:rPr>
                      <w:rFonts w:cstheme="minorHAnsi"/>
                      <w:sz w:val="14"/>
                      <w:szCs w:val="14"/>
                    </w:rPr>
                    <w:t>3</w:t>
                  </w:r>
                  <w:r w:rsidR="00210438">
                    <w:rPr>
                      <w:rFonts w:cstheme="minorHAnsi"/>
                      <w:sz w:val="14"/>
                      <w:szCs w:val="14"/>
                    </w:rPr>
                    <w:t>18</w:t>
                  </w:r>
                </w:p>
              </w:tc>
              <w:tc>
                <w:tcPr>
                  <w:tcW w:w="783" w:type="dxa"/>
                  <w:tcBorders>
                    <w:top w:val="nil"/>
                    <w:left w:val="nil"/>
                    <w:bottom w:val="nil"/>
                    <w:right w:val="double" w:sz="4" w:space="0" w:color="auto"/>
                  </w:tcBorders>
                </w:tcPr>
                <w:p w14:paraId="3476A66B" w14:textId="549EF8B2" w:rsidR="004F6F93" w:rsidRPr="00E93446" w:rsidRDefault="004F6F93" w:rsidP="00FA35A3">
                  <w:pPr>
                    <w:ind w:right="170"/>
                    <w:jc w:val="right"/>
                    <w:rPr>
                      <w:rFonts w:cstheme="minorHAnsi"/>
                      <w:sz w:val="14"/>
                      <w:szCs w:val="14"/>
                    </w:rPr>
                  </w:pPr>
                  <w:r w:rsidRPr="00E93446">
                    <w:rPr>
                      <w:rFonts w:cstheme="minorHAnsi"/>
                      <w:sz w:val="14"/>
                      <w:szCs w:val="14"/>
                    </w:rPr>
                    <w:t>0.</w:t>
                  </w:r>
                  <w:r w:rsidR="002F61E3">
                    <w:rPr>
                      <w:rFonts w:cstheme="minorHAnsi"/>
                      <w:sz w:val="14"/>
                      <w:szCs w:val="14"/>
                    </w:rPr>
                    <w:t>6</w:t>
                  </w:r>
                </w:p>
              </w:tc>
            </w:tr>
            <w:tr w:rsidR="004F6F93" w:rsidRPr="000B5CD5" w14:paraId="4B015485" w14:textId="77777777" w:rsidTr="00A84A85">
              <w:tc>
                <w:tcPr>
                  <w:tcW w:w="3132" w:type="dxa"/>
                  <w:tcBorders>
                    <w:top w:val="nil"/>
                    <w:left w:val="double" w:sz="4" w:space="0" w:color="auto"/>
                    <w:bottom w:val="nil"/>
                    <w:right w:val="double" w:sz="4" w:space="0" w:color="auto"/>
                  </w:tcBorders>
                  <w:vAlign w:val="bottom"/>
                </w:tcPr>
                <w:p w14:paraId="5F5C0525" w14:textId="77777777" w:rsidR="004F6F93" w:rsidRPr="00274010" w:rsidRDefault="004F6F93" w:rsidP="000D7726">
                  <w:pPr>
                    <w:tabs>
                      <w:tab w:val="left" w:pos="546"/>
                    </w:tabs>
                    <w:ind w:left="510" w:hanging="510"/>
                    <w:rPr>
                      <w:rFonts w:cs="Arial"/>
                      <w:sz w:val="14"/>
                      <w:szCs w:val="14"/>
                    </w:rPr>
                  </w:pPr>
                  <w:r w:rsidRPr="00274010">
                    <w:rPr>
                      <w:rFonts w:cs="Arial"/>
                      <w:sz w:val="14"/>
                      <w:szCs w:val="14"/>
                    </w:rPr>
                    <w:t>56</w:t>
                  </w:r>
                  <w:r w:rsidRPr="00274010">
                    <w:rPr>
                      <w:rFonts w:cs="Arial"/>
                      <w:sz w:val="14"/>
                      <w:szCs w:val="14"/>
                    </w:rPr>
                    <w:tab/>
                    <w:t xml:space="preserve">Servicios de apoyo a los negocios y manejo de </w:t>
                  </w:r>
                  <w:r w:rsidR="00F521CB">
                    <w:rPr>
                      <w:rFonts w:cs="Arial"/>
                      <w:sz w:val="14"/>
                      <w:szCs w:val="14"/>
                    </w:rPr>
                    <w:t xml:space="preserve">residuos y </w:t>
                  </w:r>
                  <w:r w:rsidRPr="00274010">
                    <w:rPr>
                      <w:rFonts w:cs="Arial"/>
                      <w:sz w:val="14"/>
                      <w:szCs w:val="14"/>
                    </w:rPr>
                    <w:t>desechos</w:t>
                  </w:r>
                  <w:r w:rsidR="00F521CB">
                    <w:rPr>
                      <w:rFonts w:cs="Arial"/>
                      <w:sz w:val="14"/>
                      <w:szCs w:val="14"/>
                    </w:rPr>
                    <w:t>,</w:t>
                  </w:r>
                  <w:r w:rsidRPr="00274010">
                    <w:rPr>
                      <w:rFonts w:cs="Arial"/>
                      <w:sz w:val="14"/>
                      <w:szCs w:val="14"/>
                    </w:rPr>
                    <w:t xml:space="preserve"> y servicios de remediación </w:t>
                  </w:r>
                </w:p>
              </w:tc>
              <w:tc>
                <w:tcPr>
                  <w:tcW w:w="897" w:type="dxa"/>
                  <w:tcBorders>
                    <w:top w:val="nil"/>
                    <w:left w:val="double" w:sz="4" w:space="0" w:color="auto"/>
                    <w:bottom w:val="nil"/>
                    <w:right w:val="nil"/>
                  </w:tcBorders>
                  <w:vAlign w:val="center"/>
                </w:tcPr>
                <w:p w14:paraId="683E4497" w14:textId="27C31CFD" w:rsidR="004F6F93" w:rsidRPr="00E93446" w:rsidRDefault="002E57FC" w:rsidP="00B5033D">
                  <w:pPr>
                    <w:jc w:val="right"/>
                    <w:rPr>
                      <w:rFonts w:cstheme="minorHAnsi"/>
                      <w:sz w:val="14"/>
                      <w:szCs w:val="14"/>
                    </w:rPr>
                  </w:pPr>
                  <w:r>
                    <w:rPr>
                      <w:rFonts w:cstheme="minorHAnsi"/>
                      <w:sz w:val="14"/>
                      <w:szCs w:val="14"/>
                    </w:rPr>
                    <w:t>8</w:t>
                  </w:r>
                  <w:r w:rsidR="00210438">
                    <w:rPr>
                      <w:rFonts w:cstheme="minorHAnsi"/>
                      <w:sz w:val="14"/>
                      <w:szCs w:val="14"/>
                    </w:rPr>
                    <w:t>7</w:t>
                  </w:r>
                  <w:r>
                    <w:rPr>
                      <w:rFonts w:cstheme="minorHAnsi"/>
                      <w:sz w:val="14"/>
                      <w:szCs w:val="14"/>
                    </w:rPr>
                    <w:t>2</w:t>
                  </w:r>
                  <w:r w:rsidR="004F6F93">
                    <w:rPr>
                      <w:rFonts w:cstheme="minorHAnsi"/>
                      <w:sz w:val="14"/>
                      <w:szCs w:val="14"/>
                    </w:rPr>
                    <w:t>,</w:t>
                  </w:r>
                  <w:r w:rsidR="00210438">
                    <w:rPr>
                      <w:rFonts w:cstheme="minorHAnsi"/>
                      <w:sz w:val="14"/>
                      <w:szCs w:val="14"/>
                    </w:rPr>
                    <w:t>333</w:t>
                  </w:r>
                </w:p>
              </w:tc>
              <w:tc>
                <w:tcPr>
                  <w:tcW w:w="783" w:type="dxa"/>
                  <w:tcBorders>
                    <w:top w:val="nil"/>
                    <w:left w:val="nil"/>
                    <w:bottom w:val="nil"/>
                    <w:right w:val="double" w:sz="4" w:space="0" w:color="auto"/>
                  </w:tcBorders>
                  <w:vAlign w:val="center"/>
                </w:tcPr>
                <w:p w14:paraId="37DA4121" w14:textId="6DBC76A3" w:rsidR="004F6F93" w:rsidRPr="00E93446" w:rsidRDefault="00207289" w:rsidP="00BF19F1">
                  <w:pPr>
                    <w:ind w:right="170"/>
                    <w:jc w:val="right"/>
                    <w:rPr>
                      <w:rFonts w:cstheme="minorHAnsi"/>
                      <w:sz w:val="14"/>
                      <w:szCs w:val="14"/>
                    </w:rPr>
                  </w:pPr>
                  <w:r>
                    <w:rPr>
                      <w:rFonts w:cstheme="minorHAnsi"/>
                      <w:sz w:val="14"/>
                      <w:szCs w:val="14"/>
                    </w:rPr>
                    <w:t>3.</w:t>
                  </w:r>
                  <w:r w:rsidR="0099066F">
                    <w:rPr>
                      <w:rFonts w:cstheme="minorHAnsi"/>
                      <w:sz w:val="14"/>
                      <w:szCs w:val="14"/>
                    </w:rPr>
                    <w:t>6</w:t>
                  </w:r>
                </w:p>
              </w:tc>
            </w:tr>
            <w:tr w:rsidR="004F6F93" w:rsidRPr="000B5CD5" w14:paraId="4DE432C7" w14:textId="77777777" w:rsidTr="00DF2BC3">
              <w:tc>
                <w:tcPr>
                  <w:tcW w:w="3132" w:type="dxa"/>
                  <w:tcBorders>
                    <w:top w:val="nil"/>
                    <w:left w:val="double" w:sz="4" w:space="0" w:color="auto"/>
                    <w:bottom w:val="nil"/>
                    <w:right w:val="double" w:sz="4" w:space="0" w:color="auto"/>
                  </w:tcBorders>
                  <w:vAlign w:val="bottom"/>
                </w:tcPr>
                <w:p w14:paraId="0D1461BD" w14:textId="77777777" w:rsidR="004F6F93" w:rsidRPr="00274010" w:rsidRDefault="004F6F93" w:rsidP="000D7726">
                  <w:pPr>
                    <w:tabs>
                      <w:tab w:val="left" w:pos="523"/>
                    </w:tabs>
                    <w:ind w:left="510" w:hanging="510"/>
                    <w:rPr>
                      <w:rFonts w:cs="Arial"/>
                      <w:sz w:val="14"/>
                      <w:szCs w:val="14"/>
                    </w:rPr>
                  </w:pPr>
                  <w:r w:rsidRPr="00274010">
                    <w:rPr>
                      <w:rFonts w:cs="Arial"/>
                      <w:sz w:val="14"/>
                      <w:szCs w:val="14"/>
                    </w:rPr>
                    <w:t>61</w:t>
                  </w:r>
                  <w:r w:rsidRPr="00274010">
                    <w:rPr>
                      <w:rFonts w:cs="Arial"/>
                      <w:sz w:val="14"/>
                      <w:szCs w:val="14"/>
                    </w:rPr>
                    <w:tab/>
                    <w:t xml:space="preserve">Servicios educativos </w:t>
                  </w:r>
                </w:p>
              </w:tc>
              <w:tc>
                <w:tcPr>
                  <w:tcW w:w="897" w:type="dxa"/>
                  <w:tcBorders>
                    <w:top w:val="nil"/>
                    <w:left w:val="double" w:sz="4" w:space="0" w:color="auto"/>
                    <w:bottom w:val="nil"/>
                    <w:right w:val="nil"/>
                  </w:tcBorders>
                </w:tcPr>
                <w:p w14:paraId="61F646F5" w14:textId="25649DF4" w:rsidR="004F6F93" w:rsidRPr="00E93446" w:rsidRDefault="00393419" w:rsidP="00B5033D">
                  <w:pPr>
                    <w:jc w:val="right"/>
                    <w:rPr>
                      <w:rFonts w:cstheme="minorHAnsi"/>
                      <w:sz w:val="14"/>
                      <w:szCs w:val="14"/>
                    </w:rPr>
                  </w:pPr>
                  <w:r>
                    <w:rPr>
                      <w:rFonts w:cstheme="minorHAnsi"/>
                      <w:sz w:val="14"/>
                      <w:szCs w:val="14"/>
                    </w:rPr>
                    <w:t>9</w:t>
                  </w:r>
                  <w:r w:rsidR="00210438">
                    <w:rPr>
                      <w:rFonts w:cstheme="minorHAnsi"/>
                      <w:sz w:val="14"/>
                      <w:szCs w:val="14"/>
                    </w:rPr>
                    <w:t>17</w:t>
                  </w:r>
                  <w:r w:rsidR="004F6F93">
                    <w:rPr>
                      <w:rFonts w:cstheme="minorHAnsi"/>
                      <w:sz w:val="14"/>
                      <w:szCs w:val="14"/>
                    </w:rPr>
                    <w:t>,</w:t>
                  </w:r>
                  <w:r w:rsidR="00672524">
                    <w:rPr>
                      <w:rFonts w:cstheme="minorHAnsi"/>
                      <w:sz w:val="14"/>
                      <w:szCs w:val="14"/>
                    </w:rPr>
                    <w:t>6</w:t>
                  </w:r>
                  <w:r w:rsidR="00210438">
                    <w:rPr>
                      <w:rFonts w:cstheme="minorHAnsi"/>
                      <w:sz w:val="14"/>
                      <w:szCs w:val="14"/>
                    </w:rPr>
                    <w:t>1</w:t>
                  </w:r>
                  <w:r w:rsidR="002E57FC">
                    <w:rPr>
                      <w:rFonts w:cstheme="minorHAnsi"/>
                      <w:sz w:val="14"/>
                      <w:szCs w:val="14"/>
                    </w:rPr>
                    <w:t>1</w:t>
                  </w:r>
                </w:p>
              </w:tc>
              <w:tc>
                <w:tcPr>
                  <w:tcW w:w="783" w:type="dxa"/>
                  <w:tcBorders>
                    <w:top w:val="nil"/>
                    <w:left w:val="nil"/>
                    <w:bottom w:val="nil"/>
                    <w:right w:val="double" w:sz="4" w:space="0" w:color="auto"/>
                  </w:tcBorders>
                </w:tcPr>
                <w:p w14:paraId="400D00CB" w14:textId="593CB92C" w:rsidR="004F6F93" w:rsidRPr="00E93446" w:rsidRDefault="002F61E3" w:rsidP="009B7E32">
                  <w:pPr>
                    <w:ind w:right="170"/>
                    <w:jc w:val="right"/>
                    <w:rPr>
                      <w:rFonts w:cstheme="minorHAnsi"/>
                      <w:sz w:val="14"/>
                      <w:szCs w:val="14"/>
                    </w:rPr>
                  </w:pPr>
                  <w:r>
                    <w:rPr>
                      <w:rFonts w:cstheme="minorHAnsi"/>
                      <w:sz w:val="14"/>
                      <w:szCs w:val="14"/>
                    </w:rPr>
                    <w:t>3.</w:t>
                  </w:r>
                  <w:r w:rsidR="0099066F">
                    <w:rPr>
                      <w:rFonts w:cstheme="minorHAnsi"/>
                      <w:sz w:val="14"/>
                      <w:szCs w:val="14"/>
                    </w:rPr>
                    <w:t>8</w:t>
                  </w:r>
                </w:p>
              </w:tc>
            </w:tr>
            <w:tr w:rsidR="004F6F93" w:rsidRPr="000B5CD5" w14:paraId="1DBD4E8B" w14:textId="77777777" w:rsidTr="00DF2BC3">
              <w:tc>
                <w:tcPr>
                  <w:tcW w:w="3132" w:type="dxa"/>
                  <w:tcBorders>
                    <w:top w:val="nil"/>
                    <w:left w:val="double" w:sz="4" w:space="0" w:color="auto"/>
                    <w:bottom w:val="nil"/>
                    <w:right w:val="double" w:sz="4" w:space="0" w:color="auto"/>
                  </w:tcBorders>
                  <w:vAlign w:val="bottom"/>
                </w:tcPr>
                <w:p w14:paraId="467CDDA0" w14:textId="77777777" w:rsidR="004F6F93" w:rsidRPr="00274010" w:rsidRDefault="004F6F93" w:rsidP="000D7726">
                  <w:pPr>
                    <w:tabs>
                      <w:tab w:val="left" w:pos="523"/>
                    </w:tabs>
                    <w:ind w:left="510" w:hanging="510"/>
                    <w:rPr>
                      <w:rFonts w:cs="Arial"/>
                      <w:sz w:val="14"/>
                      <w:szCs w:val="14"/>
                    </w:rPr>
                  </w:pPr>
                  <w:r w:rsidRPr="00274010">
                    <w:rPr>
                      <w:rFonts w:cs="Arial"/>
                      <w:sz w:val="14"/>
                      <w:szCs w:val="14"/>
                    </w:rPr>
                    <w:t>62</w:t>
                  </w:r>
                  <w:r w:rsidRPr="00274010">
                    <w:rPr>
                      <w:rFonts w:cs="Arial"/>
                      <w:sz w:val="14"/>
                      <w:szCs w:val="14"/>
                    </w:rPr>
                    <w:tab/>
                    <w:t xml:space="preserve">Servicios de salud y de asistencia social </w:t>
                  </w:r>
                </w:p>
              </w:tc>
              <w:tc>
                <w:tcPr>
                  <w:tcW w:w="897" w:type="dxa"/>
                  <w:tcBorders>
                    <w:top w:val="nil"/>
                    <w:left w:val="double" w:sz="4" w:space="0" w:color="auto"/>
                    <w:bottom w:val="nil"/>
                    <w:right w:val="nil"/>
                  </w:tcBorders>
                </w:tcPr>
                <w:p w14:paraId="3F4F1B17" w14:textId="4EDAD6FE" w:rsidR="004F6F93" w:rsidRPr="00E93446" w:rsidRDefault="0076569D" w:rsidP="00B5033D">
                  <w:pPr>
                    <w:jc w:val="right"/>
                    <w:rPr>
                      <w:rFonts w:cstheme="minorHAnsi"/>
                      <w:sz w:val="14"/>
                      <w:szCs w:val="14"/>
                    </w:rPr>
                  </w:pPr>
                  <w:r>
                    <w:rPr>
                      <w:rFonts w:cstheme="minorHAnsi"/>
                      <w:sz w:val="14"/>
                      <w:szCs w:val="14"/>
                    </w:rPr>
                    <w:t>6</w:t>
                  </w:r>
                  <w:r w:rsidR="00210438">
                    <w:rPr>
                      <w:rFonts w:cstheme="minorHAnsi"/>
                      <w:sz w:val="14"/>
                      <w:szCs w:val="14"/>
                    </w:rPr>
                    <w:t>85</w:t>
                  </w:r>
                  <w:r w:rsidR="00C65063">
                    <w:rPr>
                      <w:rFonts w:cstheme="minorHAnsi"/>
                      <w:sz w:val="14"/>
                      <w:szCs w:val="14"/>
                    </w:rPr>
                    <w:t>,</w:t>
                  </w:r>
                  <w:r w:rsidR="00305AB5">
                    <w:rPr>
                      <w:rFonts w:cstheme="minorHAnsi"/>
                      <w:sz w:val="14"/>
                      <w:szCs w:val="14"/>
                    </w:rPr>
                    <w:t>9</w:t>
                  </w:r>
                  <w:r w:rsidR="00210438">
                    <w:rPr>
                      <w:rFonts w:cstheme="minorHAnsi"/>
                      <w:sz w:val="14"/>
                      <w:szCs w:val="14"/>
                    </w:rPr>
                    <w:t>5</w:t>
                  </w:r>
                  <w:r w:rsidR="002E57FC">
                    <w:rPr>
                      <w:rFonts w:cstheme="minorHAnsi"/>
                      <w:sz w:val="14"/>
                      <w:szCs w:val="14"/>
                    </w:rPr>
                    <w:t>7</w:t>
                  </w:r>
                </w:p>
              </w:tc>
              <w:tc>
                <w:tcPr>
                  <w:tcW w:w="783" w:type="dxa"/>
                  <w:tcBorders>
                    <w:top w:val="nil"/>
                    <w:left w:val="nil"/>
                    <w:bottom w:val="nil"/>
                    <w:right w:val="double" w:sz="4" w:space="0" w:color="auto"/>
                  </w:tcBorders>
                </w:tcPr>
                <w:p w14:paraId="58CF24A2" w14:textId="427824FA" w:rsidR="004F6F93" w:rsidRPr="00E93446" w:rsidRDefault="002F61E3" w:rsidP="008B5281">
                  <w:pPr>
                    <w:ind w:right="170"/>
                    <w:jc w:val="right"/>
                    <w:rPr>
                      <w:rFonts w:cstheme="minorHAnsi"/>
                      <w:sz w:val="14"/>
                      <w:szCs w:val="14"/>
                    </w:rPr>
                  </w:pPr>
                  <w:r>
                    <w:rPr>
                      <w:rFonts w:cstheme="minorHAnsi"/>
                      <w:sz w:val="14"/>
                      <w:szCs w:val="14"/>
                    </w:rPr>
                    <w:t>2.</w:t>
                  </w:r>
                  <w:r w:rsidR="0099066F">
                    <w:rPr>
                      <w:rFonts w:cstheme="minorHAnsi"/>
                      <w:sz w:val="14"/>
                      <w:szCs w:val="14"/>
                    </w:rPr>
                    <w:t>8</w:t>
                  </w:r>
                </w:p>
              </w:tc>
            </w:tr>
            <w:tr w:rsidR="004F6F93" w:rsidRPr="000B5CD5" w14:paraId="7D61DF81" w14:textId="77777777" w:rsidTr="00A84A85">
              <w:tc>
                <w:tcPr>
                  <w:tcW w:w="3132" w:type="dxa"/>
                  <w:tcBorders>
                    <w:top w:val="nil"/>
                    <w:left w:val="double" w:sz="4" w:space="0" w:color="auto"/>
                    <w:bottom w:val="nil"/>
                    <w:right w:val="double" w:sz="4" w:space="0" w:color="auto"/>
                  </w:tcBorders>
                  <w:vAlign w:val="bottom"/>
                </w:tcPr>
                <w:p w14:paraId="027AEF5C" w14:textId="77777777" w:rsidR="004F6F93" w:rsidRPr="00274010" w:rsidRDefault="004F6F93" w:rsidP="00FB6D33">
                  <w:pPr>
                    <w:tabs>
                      <w:tab w:val="left" w:pos="523"/>
                    </w:tabs>
                    <w:ind w:left="510" w:hanging="510"/>
                    <w:rPr>
                      <w:rFonts w:cs="Arial"/>
                      <w:sz w:val="14"/>
                      <w:szCs w:val="14"/>
                    </w:rPr>
                  </w:pPr>
                  <w:r w:rsidRPr="00274010">
                    <w:rPr>
                      <w:rFonts w:cs="Arial"/>
                      <w:sz w:val="14"/>
                      <w:szCs w:val="14"/>
                    </w:rPr>
                    <w:t>71</w:t>
                  </w:r>
                  <w:r w:rsidRPr="00274010">
                    <w:rPr>
                      <w:rFonts w:cs="Arial"/>
                      <w:sz w:val="14"/>
                      <w:szCs w:val="14"/>
                    </w:rPr>
                    <w:tab/>
                    <w:t>Servicios de esparcimiento culturales</w:t>
                  </w:r>
                  <w:r>
                    <w:rPr>
                      <w:rFonts w:cs="Arial"/>
                      <w:sz w:val="14"/>
                      <w:szCs w:val="14"/>
                    </w:rPr>
                    <w:t xml:space="preserve"> y</w:t>
                  </w:r>
                  <w:r w:rsidRPr="00274010">
                    <w:rPr>
                      <w:rFonts w:cs="Arial"/>
                      <w:sz w:val="14"/>
                      <w:szCs w:val="14"/>
                    </w:rPr>
                    <w:t xml:space="preserve"> deportivos</w:t>
                  </w:r>
                  <w:r>
                    <w:rPr>
                      <w:rFonts w:cs="Arial"/>
                      <w:sz w:val="14"/>
                      <w:szCs w:val="14"/>
                    </w:rPr>
                    <w:t>,</w:t>
                  </w:r>
                  <w:r w:rsidRPr="00274010">
                    <w:rPr>
                      <w:rFonts w:cs="Arial"/>
                      <w:sz w:val="14"/>
                      <w:szCs w:val="14"/>
                    </w:rPr>
                    <w:t xml:space="preserve"> y otros servicios recreativos</w:t>
                  </w:r>
                </w:p>
              </w:tc>
              <w:tc>
                <w:tcPr>
                  <w:tcW w:w="897" w:type="dxa"/>
                  <w:tcBorders>
                    <w:top w:val="nil"/>
                    <w:left w:val="double" w:sz="4" w:space="0" w:color="auto"/>
                    <w:bottom w:val="nil"/>
                    <w:right w:val="nil"/>
                  </w:tcBorders>
                  <w:vAlign w:val="center"/>
                </w:tcPr>
                <w:p w14:paraId="413D4D20" w14:textId="29D393EE" w:rsidR="004F6F93" w:rsidRPr="00E93446" w:rsidRDefault="00210438" w:rsidP="00B5033D">
                  <w:pPr>
                    <w:jc w:val="right"/>
                    <w:rPr>
                      <w:rFonts w:cstheme="minorHAnsi"/>
                      <w:sz w:val="14"/>
                      <w:szCs w:val="14"/>
                    </w:rPr>
                  </w:pPr>
                  <w:r>
                    <w:rPr>
                      <w:rFonts w:cstheme="minorHAnsi"/>
                      <w:sz w:val="14"/>
                      <w:szCs w:val="14"/>
                    </w:rPr>
                    <w:t>62</w:t>
                  </w:r>
                  <w:r w:rsidR="004F6F93">
                    <w:rPr>
                      <w:rFonts w:cstheme="minorHAnsi"/>
                      <w:sz w:val="14"/>
                      <w:szCs w:val="14"/>
                    </w:rPr>
                    <w:t>,</w:t>
                  </w:r>
                  <w:r>
                    <w:rPr>
                      <w:rFonts w:cstheme="minorHAnsi"/>
                      <w:sz w:val="14"/>
                      <w:szCs w:val="14"/>
                    </w:rPr>
                    <w:t>889</w:t>
                  </w:r>
                </w:p>
              </w:tc>
              <w:tc>
                <w:tcPr>
                  <w:tcW w:w="783" w:type="dxa"/>
                  <w:tcBorders>
                    <w:top w:val="nil"/>
                    <w:left w:val="nil"/>
                    <w:bottom w:val="nil"/>
                    <w:right w:val="double" w:sz="4" w:space="0" w:color="auto"/>
                  </w:tcBorders>
                  <w:vAlign w:val="center"/>
                </w:tcPr>
                <w:p w14:paraId="67C4A103" w14:textId="4B44D1BF" w:rsidR="004F6F93" w:rsidRPr="00E93446" w:rsidRDefault="004F6F93" w:rsidP="00ED36E5">
                  <w:pPr>
                    <w:ind w:right="170"/>
                    <w:jc w:val="right"/>
                    <w:rPr>
                      <w:rFonts w:cstheme="minorHAnsi"/>
                      <w:sz w:val="14"/>
                      <w:szCs w:val="14"/>
                    </w:rPr>
                  </w:pPr>
                  <w:r w:rsidRPr="00E93446">
                    <w:rPr>
                      <w:rFonts w:cstheme="minorHAnsi"/>
                      <w:sz w:val="14"/>
                      <w:szCs w:val="14"/>
                    </w:rPr>
                    <w:t>0.</w:t>
                  </w:r>
                  <w:r w:rsidR="00757B7A">
                    <w:rPr>
                      <w:rFonts w:cstheme="minorHAnsi"/>
                      <w:sz w:val="14"/>
                      <w:szCs w:val="14"/>
                    </w:rPr>
                    <w:t>2</w:t>
                  </w:r>
                </w:p>
              </w:tc>
            </w:tr>
            <w:tr w:rsidR="004F6F93" w:rsidRPr="000B5CD5" w14:paraId="2BA80A0E" w14:textId="77777777" w:rsidTr="00A84A85">
              <w:tc>
                <w:tcPr>
                  <w:tcW w:w="3132" w:type="dxa"/>
                  <w:tcBorders>
                    <w:top w:val="nil"/>
                    <w:left w:val="double" w:sz="4" w:space="0" w:color="auto"/>
                    <w:bottom w:val="nil"/>
                    <w:right w:val="double" w:sz="4" w:space="0" w:color="auto"/>
                  </w:tcBorders>
                  <w:vAlign w:val="bottom"/>
                </w:tcPr>
                <w:p w14:paraId="2EC85BE3" w14:textId="77777777" w:rsidR="004F6F93" w:rsidRPr="00274010" w:rsidRDefault="004F6F93" w:rsidP="000D7726">
                  <w:pPr>
                    <w:tabs>
                      <w:tab w:val="left" w:pos="523"/>
                    </w:tabs>
                    <w:ind w:left="510" w:hanging="510"/>
                    <w:rPr>
                      <w:rFonts w:cs="Arial"/>
                      <w:sz w:val="14"/>
                      <w:szCs w:val="14"/>
                    </w:rPr>
                  </w:pPr>
                  <w:r w:rsidRPr="00274010">
                    <w:rPr>
                      <w:rFonts w:cs="Arial"/>
                      <w:sz w:val="14"/>
                      <w:szCs w:val="14"/>
                    </w:rPr>
                    <w:t>72</w:t>
                  </w:r>
                  <w:r w:rsidRPr="00274010">
                    <w:rPr>
                      <w:rFonts w:cs="Arial"/>
                      <w:sz w:val="14"/>
                      <w:szCs w:val="14"/>
                    </w:rPr>
                    <w:tab/>
                    <w:t xml:space="preserve">Servicios de alojamiento temporal y de preparación de alimentos y bebidas </w:t>
                  </w:r>
                </w:p>
              </w:tc>
              <w:tc>
                <w:tcPr>
                  <w:tcW w:w="897" w:type="dxa"/>
                  <w:tcBorders>
                    <w:top w:val="nil"/>
                    <w:left w:val="double" w:sz="4" w:space="0" w:color="auto"/>
                    <w:bottom w:val="nil"/>
                    <w:right w:val="nil"/>
                  </w:tcBorders>
                  <w:vAlign w:val="center"/>
                </w:tcPr>
                <w:p w14:paraId="5779EF67" w14:textId="418F4797" w:rsidR="004F6F93" w:rsidRPr="00E93446" w:rsidRDefault="00210438" w:rsidP="00B5033D">
                  <w:pPr>
                    <w:jc w:val="right"/>
                    <w:rPr>
                      <w:rFonts w:cstheme="minorHAnsi"/>
                      <w:sz w:val="14"/>
                      <w:szCs w:val="14"/>
                    </w:rPr>
                  </w:pPr>
                  <w:r>
                    <w:rPr>
                      <w:rFonts w:cstheme="minorHAnsi"/>
                      <w:sz w:val="14"/>
                      <w:szCs w:val="14"/>
                    </w:rPr>
                    <w:t>4</w:t>
                  </w:r>
                  <w:r w:rsidR="002E57FC">
                    <w:rPr>
                      <w:rFonts w:cstheme="minorHAnsi"/>
                      <w:sz w:val="14"/>
                      <w:szCs w:val="14"/>
                    </w:rPr>
                    <w:t>4</w:t>
                  </w:r>
                  <w:r>
                    <w:rPr>
                      <w:rFonts w:cstheme="minorHAnsi"/>
                      <w:sz w:val="14"/>
                      <w:szCs w:val="14"/>
                    </w:rPr>
                    <w:t>7</w:t>
                  </w:r>
                  <w:r w:rsidR="00402967">
                    <w:rPr>
                      <w:rFonts w:cstheme="minorHAnsi"/>
                      <w:sz w:val="14"/>
                      <w:szCs w:val="14"/>
                    </w:rPr>
                    <w:t>,</w:t>
                  </w:r>
                  <w:r>
                    <w:rPr>
                      <w:rFonts w:cstheme="minorHAnsi"/>
                      <w:sz w:val="14"/>
                      <w:szCs w:val="14"/>
                    </w:rPr>
                    <w:t>317</w:t>
                  </w:r>
                </w:p>
              </w:tc>
              <w:tc>
                <w:tcPr>
                  <w:tcW w:w="783" w:type="dxa"/>
                  <w:tcBorders>
                    <w:top w:val="nil"/>
                    <w:left w:val="nil"/>
                    <w:bottom w:val="nil"/>
                    <w:right w:val="double" w:sz="4" w:space="0" w:color="auto"/>
                  </w:tcBorders>
                  <w:vAlign w:val="center"/>
                </w:tcPr>
                <w:p w14:paraId="7BE21762" w14:textId="3EE69402" w:rsidR="004F6F93" w:rsidRPr="00E93446" w:rsidRDefault="002F61E3" w:rsidP="00C11958">
                  <w:pPr>
                    <w:ind w:right="170"/>
                    <w:jc w:val="right"/>
                    <w:rPr>
                      <w:rFonts w:cstheme="minorHAnsi"/>
                      <w:sz w:val="14"/>
                      <w:szCs w:val="14"/>
                    </w:rPr>
                  </w:pPr>
                  <w:r>
                    <w:rPr>
                      <w:rFonts w:cstheme="minorHAnsi"/>
                      <w:sz w:val="14"/>
                      <w:szCs w:val="14"/>
                    </w:rPr>
                    <w:t>1.</w:t>
                  </w:r>
                  <w:r w:rsidR="0099066F">
                    <w:rPr>
                      <w:rFonts w:cstheme="minorHAnsi"/>
                      <w:sz w:val="14"/>
                      <w:szCs w:val="14"/>
                    </w:rPr>
                    <w:t>8</w:t>
                  </w:r>
                </w:p>
              </w:tc>
            </w:tr>
            <w:tr w:rsidR="004F6F93" w:rsidRPr="000B5CD5" w14:paraId="32A1E977" w14:textId="77777777" w:rsidTr="00A84A85">
              <w:tc>
                <w:tcPr>
                  <w:tcW w:w="3132" w:type="dxa"/>
                  <w:tcBorders>
                    <w:top w:val="nil"/>
                    <w:left w:val="double" w:sz="4" w:space="0" w:color="auto"/>
                    <w:bottom w:val="nil"/>
                    <w:right w:val="double" w:sz="4" w:space="0" w:color="auto"/>
                  </w:tcBorders>
                  <w:vAlign w:val="bottom"/>
                </w:tcPr>
                <w:p w14:paraId="689693E0" w14:textId="77777777" w:rsidR="004F6F93" w:rsidRPr="00274010" w:rsidRDefault="004F6F93" w:rsidP="000D7726">
                  <w:pPr>
                    <w:tabs>
                      <w:tab w:val="left" w:pos="523"/>
                    </w:tabs>
                    <w:ind w:left="510" w:hanging="510"/>
                    <w:rPr>
                      <w:rFonts w:cs="Arial"/>
                      <w:sz w:val="14"/>
                      <w:szCs w:val="14"/>
                    </w:rPr>
                  </w:pPr>
                  <w:r w:rsidRPr="00274010">
                    <w:rPr>
                      <w:rFonts w:cs="Arial"/>
                      <w:sz w:val="14"/>
                      <w:szCs w:val="14"/>
                    </w:rPr>
                    <w:t>81</w:t>
                  </w:r>
                  <w:r w:rsidRPr="00274010">
                    <w:rPr>
                      <w:rFonts w:cs="Arial"/>
                      <w:sz w:val="14"/>
                      <w:szCs w:val="14"/>
                    </w:rPr>
                    <w:tab/>
                    <w:t xml:space="preserve">Otros servicios excepto actividades </w:t>
                  </w:r>
                  <w:r>
                    <w:rPr>
                      <w:rFonts w:cs="Arial"/>
                      <w:sz w:val="14"/>
                      <w:szCs w:val="14"/>
                    </w:rPr>
                    <w:t>gubernamentales</w:t>
                  </w:r>
                  <w:r w:rsidRPr="00274010">
                    <w:rPr>
                      <w:rFonts w:cs="Arial"/>
                      <w:sz w:val="14"/>
                      <w:szCs w:val="14"/>
                    </w:rPr>
                    <w:t xml:space="preserve"> </w:t>
                  </w:r>
                </w:p>
              </w:tc>
              <w:tc>
                <w:tcPr>
                  <w:tcW w:w="897" w:type="dxa"/>
                  <w:tcBorders>
                    <w:top w:val="nil"/>
                    <w:left w:val="double" w:sz="4" w:space="0" w:color="auto"/>
                    <w:bottom w:val="nil"/>
                    <w:right w:val="nil"/>
                  </w:tcBorders>
                  <w:vAlign w:val="center"/>
                </w:tcPr>
                <w:p w14:paraId="73B3DB94" w14:textId="1C45426E" w:rsidR="004F6F93" w:rsidRPr="00E93446" w:rsidRDefault="00683812" w:rsidP="00B5033D">
                  <w:pPr>
                    <w:jc w:val="right"/>
                    <w:rPr>
                      <w:rFonts w:cstheme="minorHAnsi"/>
                      <w:sz w:val="14"/>
                      <w:szCs w:val="14"/>
                    </w:rPr>
                  </w:pPr>
                  <w:r>
                    <w:rPr>
                      <w:rFonts w:cstheme="minorHAnsi"/>
                      <w:sz w:val="14"/>
                      <w:szCs w:val="14"/>
                    </w:rPr>
                    <w:t>4</w:t>
                  </w:r>
                  <w:r w:rsidR="00210438">
                    <w:rPr>
                      <w:rFonts w:cstheme="minorHAnsi"/>
                      <w:sz w:val="14"/>
                      <w:szCs w:val="14"/>
                    </w:rPr>
                    <w:t>0</w:t>
                  </w:r>
                  <w:r w:rsidR="002E57FC">
                    <w:rPr>
                      <w:rFonts w:cstheme="minorHAnsi"/>
                      <w:sz w:val="14"/>
                      <w:szCs w:val="14"/>
                    </w:rPr>
                    <w:t>5</w:t>
                  </w:r>
                  <w:r w:rsidR="00633DB7">
                    <w:rPr>
                      <w:rFonts w:cstheme="minorHAnsi"/>
                      <w:sz w:val="14"/>
                      <w:szCs w:val="14"/>
                    </w:rPr>
                    <w:t>,</w:t>
                  </w:r>
                  <w:r w:rsidR="00210438">
                    <w:rPr>
                      <w:rFonts w:cstheme="minorHAnsi"/>
                      <w:sz w:val="14"/>
                      <w:szCs w:val="14"/>
                    </w:rPr>
                    <w:t>23</w:t>
                  </w:r>
                  <w:r w:rsidR="002E57FC">
                    <w:rPr>
                      <w:rFonts w:cstheme="minorHAnsi"/>
                      <w:sz w:val="14"/>
                      <w:szCs w:val="14"/>
                    </w:rPr>
                    <w:t>3</w:t>
                  </w:r>
                </w:p>
              </w:tc>
              <w:tc>
                <w:tcPr>
                  <w:tcW w:w="783" w:type="dxa"/>
                  <w:tcBorders>
                    <w:top w:val="nil"/>
                    <w:left w:val="nil"/>
                    <w:bottom w:val="nil"/>
                    <w:right w:val="double" w:sz="4" w:space="0" w:color="auto"/>
                  </w:tcBorders>
                  <w:vAlign w:val="center"/>
                </w:tcPr>
                <w:p w14:paraId="55FBA97C" w14:textId="40D94587" w:rsidR="004F6F93" w:rsidRPr="00E93446" w:rsidRDefault="0060607A" w:rsidP="00210630">
                  <w:pPr>
                    <w:ind w:right="170"/>
                    <w:jc w:val="right"/>
                    <w:rPr>
                      <w:rFonts w:cstheme="minorHAnsi"/>
                      <w:sz w:val="14"/>
                      <w:szCs w:val="14"/>
                    </w:rPr>
                  </w:pPr>
                  <w:r>
                    <w:rPr>
                      <w:rFonts w:cstheme="minorHAnsi"/>
                      <w:sz w:val="14"/>
                      <w:szCs w:val="14"/>
                    </w:rPr>
                    <w:t>1.</w:t>
                  </w:r>
                  <w:r w:rsidR="00E67AB0">
                    <w:rPr>
                      <w:rFonts w:cstheme="minorHAnsi"/>
                      <w:sz w:val="14"/>
                      <w:szCs w:val="14"/>
                    </w:rPr>
                    <w:t>7</w:t>
                  </w:r>
                </w:p>
              </w:tc>
            </w:tr>
            <w:tr w:rsidR="004F6F93" w:rsidRPr="000B5CD5" w14:paraId="3D84EA4B" w14:textId="77777777" w:rsidTr="00A84A85">
              <w:tc>
                <w:tcPr>
                  <w:tcW w:w="3132" w:type="dxa"/>
                  <w:tcBorders>
                    <w:top w:val="nil"/>
                    <w:left w:val="double" w:sz="4" w:space="0" w:color="auto"/>
                    <w:bottom w:val="double" w:sz="4" w:space="0" w:color="auto"/>
                    <w:right w:val="double" w:sz="4" w:space="0" w:color="auto"/>
                  </w:tcBorders>
                  <w:vAlign w:val="bottom"/>
                </w:tcPr>
                <w:p w14:paraId="088657E5" w14:textId="77777777" w:rsidR="004F6F93" w:rsidRPr="00274010" w:rsidRDefault="004F6F93" w:rsidP="000D7726">
                  <w:pPr>
                    <w:tabs>
                      <w:tab w:val="left" w:pos="523"/>
                    </w:tabs>
                    <w:ind w:left="510" w:hanging="510"/>
                    <w:rPr>
                      <w:rFonts w:cs="Arial"/>
                      <w:sz w:val="14"/>
                      <w:szCs w:val="14"/>
                    </w:rPr>
                  </w:pPr>
                  <w:r w:rsidRPr="00274010">
                    <w:rPr>
                      <w:rFonts w:cs="Arial"/>
                      <w:sz w:val="14"/>
                      <w:szCs w:val="14"/>
                    </w:rPr>
                    <w:t>93</w:t>
                  </w:r>
                  <w:r w:rsidRPr="00274010">
                    <w:rPr>
                      <w:rFonts w:cs="Arial"/>
                      <w:sz w:val="14"/>
                      <w:szCs w:val="14"/>
                    </w:rPr>
                    <w:tab/>
                    <w:t>Actividades</w:t>
                  </w:r>
                  <w:r>
                    <w:rPr>
                      <w:rFonts w:cs="Arial"/>
                      <w:sz w:val="14"/>
                      <w:szCs w:val="14"/>
                    </w:rPr>
                    <w:t xml:space="preserve"> legislativas, gubernamentales, de impartición de justicia y de organismos internacionales y extraterritoriales</w:t>
                  </w:r>
                  <w:r w:rsidRPr="00274010">
                    <w:rPr>
                      <w:rFonts w:cs="Arial"/>
                      <w:sz w:val="14"/>
                      <w:szCs w:val="14"/>
                    </w:rPr>
                    <w:t xml:space="preserve"> </w:t>
                  </w:r>
                </w:p>
              </w:tc>
              <w:tc>
                <w:tcPr>
                  <w:tcW w:w="897" w:type="dxa"/>
                  <w:tcBorders>
                    <w:top w:val="nil"/>
                    <w:left w:val="double" w:sz="4" w:space="0" w:color="auto"/>
                    <w:bottom w:val="double" w:sz="4" w:space="0" w:color="auto"/>
                    <w:right w:val="nil"/>
                  </w:tcBorders>
                  <w:vAlign w:val="center"/>
                </w:tcPr>
                <w:p w14:paraId="24E6A19E" w14:textId="3568F28F" w:rsidR="004F6F93" w:rsidRPr="00E93446" w:rsidRDefault="00210438" w:rsidP="00B5033D">
                  <w:pPr>
                    <w:jc w:val="right"/>
                    <w:rPr>
                      <w:rFonts w:cstheme="minorHAnsi"/>
                      <w:sz w:val="14"/>
                      <w:szCs w:val="14"/>
                    </w:rPr>
                  </w:pPr>
                  <w:r>
                    <w:rPr>
                      <w:rFonts w:cstheme="minorHAnsi"/>
                      <w:sz w:val="14"/>
                      <w:szCs w:val="14"/>
                    </w:rPr>
                    <w:t>1,006</w:t>
                  </w:r>
                  <w:r w:rsidR="004F6F93">
                    <w:rPr>
                      <w:rFonts w:cstheme="minorHAnsi"/>
                      <w:sz w:val="14"/>
                      <w:szCs w:val="14"/>
                    </w:rPr>
                    <w:t>,</w:t>
                  </w:r>
                  <w:r w:rsidR="002E57FC">
                    <w:rPr>
                      <w:rFonts w:cstheme="minorHAnsi"/>
                      <w:sz w:val="14"/>
                      <w:szCs w:val="14"/>
                    </w:rPr>
                    <w:t>7</w:t>
                  </w:r>
                  <w:r>
                    <w:rPr>
                      <w:rFonts w:cstheme="minorHAnsi"/>
                      <w:sz w:val="14"/>
                      <w:szCs w:val="14"/>
                    </w:rPr>
                    <w:t>4</w:t>
                  </w:r>
                  <w:r w:rsidR="00393419">
                    <w:rPr>
                      <w:rFonts w:cstheme="minorHAnsi"/>
                      <w:sz w:val="14"/>
                      <w:szCs w:val="14"/>
                    </w:rPr>
                    <w:t>2</w:t>
                  </w:r>
                </w:p>
              </w:tc>
              <w:tc>
                <w:tcPr>
                  <w:tcW w:w="783" w:type="dxa"/>
                  <w:tcBorders>
                    <w:top w:val="nil"/>
                    <w:left w:val="nil"/>
                    <w:bottom w:val="double" w:sz="4" w:space="0" w:color="auto"/>
                    <w:right w:val="double" w:sz="4" w:space="0" w:color="auto"/>
                  </w:tcBorders>
                  <w:vAlign w:val="center"/>
                </w:tcPr>
                <w:p w14:paraId="3ED2F16E" w14:textId="173993D4" w:rsidR="004F6F93" w:rsidRPr="00E93446" w:rsidRDefault="00596ACC" w:rsidP="005C0A29">
                  <w:pPr>
                    <w:ind w:right="170"/>
                    <w:jc w:val="right"/>
                    <w:rPr>
                      <w:rFonts w:cstheme="minorHAnsi"/>
                      <w:sz w:val="14"/>
                      <w:szCs w:val="14"/>
                    </w:rPr>
                  </w:pPr>
                  <w:r>
                    <w:rPr>
                      <w:rFonts w:cstheme="minorHAnsi"/>
                      <w:sz w:val="14"/>
                      <w:szCs w:val="14"/>
                    </w:rPr>
                    <w:t>4.</w:t>
                  </w:r>
                  <w:r w:rsidR="00C37000">
                    <w:rPr>
                      <w:rFonts w:cstheme="minorHAnsi"/>
                      <w:sz w:val="14"/>
                      <w:szCs w:val="14"/>
                    </w:rPr>
                    <w:t>1</w:t>
                  </w:r>
                </w:p>
              </w:tc>
            </w:tr>
          </w:tbl>
          <w:p w14:paraId="2F1D1737" w14:textId="77777777" w:rsidR="0061356E" w:rsidRPr="000F09B9" w:rsidRDefault="0061356E" w:rsidP="00DF2BC3">
            <w:pPr>
              <w:spacing w:line="220" w:lineRule="exact"/>
              <w:rPr>
                <w:rFonts w:cstheme="minorHAnsi"/>
              </w:rPr>
            </w:pPr>
          </w:p>
        </w:tc>
      </w:tr>
    </w:tbl>
    <w:p w14:paraId="2FBC25E2" w14:textId="77777777" w:rsidR="0061356E" w:rsidRPr="008B355F" w:rsidRDefault="00C55F88" w:rsidP="00C55F88">
      <w:pPr>
        <w:pStyle w:val="Textoindependiente"/>
        <w:spacing w:line="180" w:lineRule="exact"/>
        <w:ind w:left="698" w:hanging="840"/>
        <w:jc w:val="left"/>
        <w:rPr>
          <w:rFonts w:asciiTheme="minorHAnsi" w:hAnsiTheme="minorHAnsi" w:cstheme="minorHAnsi"/>
          <w:sz w:val="14"/>
          <w:szCs w:val="14"/>
        </w:rPr>
      </w:pPr>
      <w:r>
        <w:rPr>
          <w:rFonts w:asciiTheme="minorHAnsi" w:hAnsiTheme="minorHAnsi" w:cstheme="minorHAnsi"/>
          <w:sz w:val="14"/>
          <w:szCs w:val="14"/>
        </w:rPr>
        <w:t xml:space="preserve"> </w:t>
      </w:r>
      <w:r w:rsidR="0061356E" w:rsidRPr="008B355F">
        <w:rPr>
          <w:rFonts w:asciiTheme="minorHAnsi" w:hAnsiTheme="minorHAnsi" w:cstheme="minorHAnsi"/>
          <w:sz w:val="14"/>
          <w:szCs w:val="14"/>
        </w:rPr>
        <w:t>Nota: La suma de los parciales puede no coincidir con el total debido al redondeo.</w:t>
      </w:r>
    </w:p>
    <w:p w14:paraId="600613F6" w14:textId="0386B2B3" w:rsidR="008C5E01" w:rsidRDefault="00C55F88" w:rsidP="00C55F88">
      <w:pPr>
        <w:pStyle w:val="Textoindependiente"/>
        <w:spacing w:line="180" w:lineRule="exact"/>
        <w:ind w:left="698" w:hanging="840"/>
        <w:jc w:val="left"/>
        <w:rPr>
          <w:rFonts w:asciiTheme="minorHAnsi" w:hAnsiTheme="minorHAnsi" w:cstheme="minorHAnsi"/>
          <w:sz w:val="14"/>
          <w:szCs w:val="14"/>
        </w:rPr>
      </w:pPr>
      <w:r>
        <w:rPr>
          <w:rFonts w:asciiTheme="minorHAnsi" w:hAnsiTheme="minorHAnsi" w:cstheme="minorHAnsi"/>
          <w:sz w:val="14"/>
          <w:szCs w:val="14"/>
          <w:vertAlign w:val="superscript"/>
        </w:rPr>
        <w:t xml:space="preserve">  </w:t>
      </w:r>
      <w:r w:rsidR="008C5E01" w:rsidRPr="008C5E01">
        <w:rPr>
          <w:rFonts w:asciiTheme="minorHAnsi" w:hAnsiTheme="minorHAnsi" w:cstheme="minorHAnsi"/>
          <w:sz w:val="14"/>
          <w:szCs w:val="14"/>
          <w:vertAlign w:val="superscript"/>
        </w:rPr>
        <w:t>P/</w:t>
      </w:r>
      <w:r w:rsidR="00FB740D">
        <w:rPr>
          <w:rFonts w:asciiTheme="minorHAnsi" w:hAnsiTheme="minorHAnsi" w:cstheme="minorHAnsi"/>
          <w:sz w:val="14"/>
          <w:szCs w:val="14"/>
        </w:rPr>
        <w:t xml:space="preserve"> </w:t>
      </w:r>
      <w:r w:rsidR="008C5E01">
        <w:rPr>
          <w:rFonts w:asciiTheme="minorHAnsi" w:hAnsiTheme="minorHAnsi" w:cstheme="minorHAnsi"/>
          <w:sz w:val="14"/>
          <w:szCs w:val="14"/>
        </w:rPr>
        <w:t>Cifras preliminares.</w:t>
      </w:r>
    </w:p>
    <w:p w14:paraId="17A02028" w14:textId="77777777" w:rsidR="00635F9B" w:rsidRDefault="00C55F88" w:rsidP="00635F9B">
      <w:pPr>
        <w:pStyle w:val="Textoindependiente"/>
        <w:spacing w:line="180" w:lineRule="exact"/>
        <w:ind w:left="698" w:hanging="840"/>
        <w:jc w:val="left"/>
        <w:rPr>
          <w:rFonts w:asciiTheme="minorHAnsi" w:hAnsiTheme="minorHAnsi" w:cstheme="minorHAnsi"/>
          <w:sz w:val="14"/>
          <w:szCs w:val="14"/>
        </w:rPr>
      </w:pPr>
      <w:r>
        <w:rPr>
          <w:rFonts w:asciiTheme="minorHAnsi" w:hAnsiTheme="minorHAnsi" w:cstheme="minorHAnsi"/>
          <w:sz w:val="14"/>
          <w:szCs w:val="14"/>
        </w:rPr>
        <w:t xml:space="preserve"> </w:t>
      </w:r>
      <w:r w:rsidR="0061356E" w:rsidRPr="008B355F">
        <w:rPr>
          <w:rFonts w:asciiTheme="minorHAnsi" w:hAnsiTheme="minorHAnsi" w:cstheme="minorHAnsi"/>
          <w:sz w:val="14"/>
          <w:szCs w:val="14"/>
        </w:rPr>
        <w:t>Fuente: INEGI.</w:t>
      </w:r>
    </w:p>
    <w:p w14:paraId="5E1DEB8F" w14:textId="77777777" w:rsidR="00635F9B" w:rsidRDefault="00635F9B" w:rsidP="00635F9B">
      <w:pPr>
        <w:pStyle w:val="Textoindependiente"/>
        <w:spacing w:line="180" w:lineRule="exact"/>
        <w:ind w:left="698" w:hanging="840"/>
        <w:jc w:val="left"/>
        <w:rPr>
          <w:rFonts w:asciiTheme="minorHAnsi" w:hAnsiTheme="minorHAnsi" w:cstheme="minorHAnsi"/>
          <w:sz w:val="14"/>
          <w:szCs w:val="14"/>
        </w:rPr>
      </w:pPr>
    </w:p>
    <w:p w14:paraId="1CB5EE27" w14:textId="77777777" w:rsidR="0001544D" w:rsidRPr="00EA7C81" w:rsidRDefault="00635F9B" w:rsidP="009C5702">
      <w:pPr>
        <w:pStyle w:val="Textoindependiente"/>
        <w:spacing w:after="120" w:line="180" w:lineRule="exact"/>
        <w:ind w:left="697" w:hanging="697"/>
        <w:jc w:val="left"/>
        <w:rPr>
          <w:rFonts w:asciiTheme="minorHAnsi" w:hAnsiTheme="minorHAnsi" w:cstheme="minorHAnsi"/>
          <w:b/>
          <w:bCs/>
          <w:i/>
          <w:iCs/>
          <w:sz w:val="20"/>
          <w:szCs w:val="20"/>
        </w:rPr>
      </w:pPr>
      <w:r w:rsidRPr="00EA7C81">
        <w:rPr>
          <w:rFonts w:asciiTheme="minorHAnsi" w:hAnsiTheme="minorHAnsi" w:cstheme="minorHAnsi"/>
          <w:b/>
          <w:bCs/>
          <w:i/>
          <w:iCs/>
          <w:sz w:val="20"/>
          <w:szCs w:val="20"/>
        </w:rPr>
        <w:t>Nota al usuario</w:t>
      </w:r>
    </w:p>
    <w:p w14:paraId="7BC2E7D6" w14:textId="7720944F" w:rsidR="007D0CE0" w:rsidRPr="007D0CE0" w:rsidRDefault="007243B8" w:rsidP="007D0CE0">
      <w:pPr>
        <w:spacing w:before="240" w:after="0" w:line="240" w:lineRule="auto"/>
        <w:jc w:val="both"/>
        <w:rPr>
          <w:rFonts w:eastAsia="Times New Roman" w:cstheme="minorHAnsi"/>
          <w:sz w:val="20"/>
          <w:szCs w:val="20"/>
        </w:rPr>
      </w:pPr>
      <w:r w:rsidRPr="007243B8">
        <w:rPr>
          <w:rFonts w:eastAsia="Times New Roman" w:cstheme="minorHAnsi"/>
          <w:sz w:val="20"/>
          <w:szCs w:val="20"/>
        </w:rPr>
        <w:t xml:space="preserve">Con base en los </w:t>
      </w:r>
      <w:r w:rsidR="00135455">
        <w:rPr>
          <w:rFonts w:eastAsia="Times New Roman" w:cstheme="minorHAnsi"/>
          <w:sz w:val="20"/>
          <w:szCs w:val="20"/>
        </w:rPr>
        <w:t>“</w:t>
      </w:r>
      <w:r w:rsidRPr="007243B8">
        <w:rPr>
          <w:rFonts w:eastAsia="Times New Roman" w:cstheme="minorHAnsi"/>
          <w:sz w:val="20"/>
          <w:szCs w:val="20"/>
        </w:rPr>
        <w:t xml:space="preserve">Lineamientos de cambios a la información divulgada en las publicaciones estadísticas y geográficas del INEGI” y que se complementan con las establecidas en las </w:t>
      </w:r>
      <w:r w:rsidR="00135455">
        <w:rPr>
          <w:rFonts w:eastAsia="Times New Roman" w:cstheme="minorHAnsi"/>
          <w:sz w:val="20"/>
          <w:szCs w:val="20"/>
        </w:rPr>
        <w:t>“</w:t>
      </w:r>
      <w:r w:rsidRPr="007243B8">
        <w:rPr>
          <w:rFonts w:eastAsia="Times New Roman" w:cstheme="minorHAnsi"/>
          <w:sz w:val="20"/>
          <w:szCs w:val="20"/>
        </w:rPr>
        <w:t>Normas Especiales para la Divulgación de Datos</w:t>
      </w:r>
      <w:r w:rsidR="00135455">
        <w:rPr>
          <w:rFonts w:eastAsia="Times New Roman" w:cstheme="minorHAnsi"/>
          <w:sz w:val="20"/>
          <w:szCs w:val="20"/>
        </w:rPr>
        <w:t>”</w:t>
      </w:r>
      <w:r w:rsidRPr="007243B8">
        <w:rPr>
          <w:rFonts w:eastAsia="Times New Roman" w:cstheme="minorHAnsi"/>
          <w:sz w:val="20"/>
          <w:szCs w:val="20"/>
        </w:rPr>
        <w:t xml:space="preserve"> del Fondo Monetario Internacional (FMI), </w:t>
      </w:r>
      <w:r w:rsidR="007D0CE0" w:rsidRPr="007D0CE0">
        <w:rPr>
          <w:rFonts w:eastAsia="Times New Roman" w:cstheme="minorHAnsi"/>
          <w:sz w:val="20"/>
          <w:szCs w:val="20"/>
        </w:rPr>
        <w:t>los resultados del Producto Interno Bruto Trimestral (PIBT) incorporan la última información estadística disponible del año 2021. Como resultado de incorporar dicha información, se identifican diferencias en los niveles de los</w:t>
      </w:r>
      <w:r w:rsidR="007D0CE0" w:rsidRPr="007D0CE0">
        <w:rPr>
          <w:rFonts w:eastAsia="Times New Roman" w:cstheme="minorHAnsi"/>
          <w:sz w:val="24"/>
          <w:szCs w:val="24"/>
        </w:rPr>
        <w:t xml:space="preserve"> </w:t>
      </w:r>
      <w:r w:rsidR="007D0CE0" w:rsidRPr="007D0CE0">
        <w:rPr>
          <w:rFonts w:eastAsia="Times New Roman" w:cstheme="minorHAnsi"/>
          <w:sz w:val="20"/>
          <w:szCs w:val="20"/>
        </w:rPr>
        <w:t>valores y variaciones que fueron oportunamente publicadas.</w:t>
      </w:r>
    </w:p>
    <w:p w14:paraId="268956EA" w14:textId="7F44E650" w:rsidR="007D0CE0" w:rsidRDefault="007D0CE0" w:rsidP="007243B8">
      <w:pPr>
        <w:pStyle w:val="Default"/>
        <w:spacing w:before="240" w:after="240"/>
        <w:jc w:val="both"/>
        <w:rPr>
          <w:rFonts w:asciiTheme="minorHAnsi" w:eastAsia="Times New Roman" w:hAnsiTheme="minorHAnsi" w:cstheme="minorHAnsi"/>
          <w:color w:val="auto"/>
          <w:sz w:val="20"/>
          <w:szCs w:val="20"/>
        </w:rPr>
      </w:pPr>
    </w:p>
    <w:p w14:paraId="2E6CA89D" w14:textId="22EACB1B" w:rsidR="00380F08" w:rsidRPr="00657B87" w:rsidRDefault="00380F08" w:rsidP="00380F08">
      <w:pPr>
        <w:pStyle w:val="Default"/>
        <w:spacing w:before="240"/>
        <w:jc w:val="both"/>
        <w:rPr>
          <w:rFonts w:asciiTheme="minorHAnsi" w:hAnsiTheme="minorHAnsi"/>
          <w:color w:val="auto"/>
          <w:sz w:val="20"/>
          <w:szCs w:val="20"/>
        </w:rPr>
      </w:pPr>
      <w:r w:rsidRPr="00657B87">
        <w:rPr>
          <w:rFonts w:asciiTheme="minorHAnsi" w:hAnsiTheme="minorHAnsi"/>
          <w:color w:val="auto"/>
          <w:sz w:val="20"/>
          <w:szCs w:val="20"/>
        </w:rPr>
        <w:lastRenderedPageBreak/>
        <w:t xml:space="preserve">La Tasa de No Respuesta en la captación de las Encuestas Económicas que se consideraron para la integración del </w:t>
      </w:r>
      <w:r w:rsidR="00A05A9D">
        <w:rPr>
          <w:rFonts w:asciiTheme="minorHAnsi" w:hAnsiTheme="minorHAnsi"/>
          <w:color w:val="auto"/>
          <w:sz w:val="20"/>
          <w:szCs w:val="20"/>
        </w:rPr>
        <w:t xml:space="preserve">Producto Interno Bruto Trimestral (PIBT) </w:t>
      </w:r>
      <w:r w:rsidRPr="00657B87">
        <w:rPr>
          <w:rFonts w:asciiTheme="minorHAnsi" w:hAnsiTheme="minorHAnsi"/>
          <w:color w:val="auto"/>
          <w:sz w:val="20"/>
          <w:szCs w:val="20"/>
        </w:rPr>
        <w:t>como son: la Encuesta Nacional de Empresas Constructoras (ENEC)</w:t>
      </w:r>
      <w:r w:rsidR="00A05A9D">
        <w:rPr>
          <w:rFonts w:asciiTheme="minorHAnsi" w:hAnsiTheme="minorHAnsi"/>
          <w:color w:val="auto"/>
          <w:sz w:val="20"/>
          <w:szCs w:val="20"/>
        </w:rPr>
        <w:t xml:space="preserve">, </w:t>
      </w:r>
      <w:r w:rsidRPr="00657B87">
        <w:rPr>
          <w:rFonts w:asciiTheme="minorHAnsi" w:hAnsiTheme="minorHAnsi"/>
          <w:color w:val="auto"/>
          <w:sz w:val="20"/>
          <w:szCs w:val="20"/>
        </w:rPr>
        <w:t>la Encuesta Mensual de la Industria Manufacturera (EMIM), Encuesta Mensual sobre Empresas Comerciales (EMEC) y Encuesta Mensual de Servicios (EMS) en el segundo trimestre de 2021, registraron porcentajes apropiados de acuerdo con el diseño estadístico de las muestras; así como la captación de la Estadística de la Industria Minerometalúrgica</w:t>
      </w:r>
      <w:r w:rsidR="001160C5">
        <w:rPr>
          <w:rFonts w:asciiTheme="minorHAnsi" w:hAnsiTheme="minorHAnsi"/>
          <w:color w:val="auto"/>
          <w:sz w:val="20"/>
          <w:szCs w:val="20"/>
        </w:rPr>
        <w:t xml:space="preserve"> (EIMM)</w:t>
      </w:r>
      <w:r w:rsidRPr="00657B87">
        <w:rPr>
          <w:rFonts w:asciiTheme="minorHAnsi" w:hAnsiTheme="minorHAnsi"/>
          <w:color w:val="auto"/>
          <w:sz w:val="20"/>
          <w:szCs w:val="20"/>
        </w:rPr>
        <w:t xml:space="preserve">, los </w:t>
      </w:r>
      <w:r w:rsidR="00A05A9D">
        <w:rPr>
          <w:rFonts w:asciiTheme="minorHAnsi" w:hAnsiTheme="minorHAnsi"/>
          <w:color w:val="auto"/>
          <w:sz w:val="20"/>
          <w:szCs w:val="20"/>
        </w:rPr>
        <w:t>r</w:t>
      </w:r>
      <w:r w:rsidRPr="00657B87">
        <w:rPr>
          <w:rFonts w:asciiTheme="minorHAnsi" w:hAnsiTheme="minorHAnsi"/>
          <w:color w:val="auto"/>
          <w:sz w:val="20"/>
          <w:szCs w:val="20"/>
        </w:rPr>
        <w:t>egistros administrativos y los datos primarios que divulga el Instituto, lo que permitió la generación de estadísticas con niveles altos de cobertura y precisión estadística.</w:t>
      </w:r>
    </w:p>
    <w:p w14:paraId="6244F72B" w14:textId="646F99E6" w:rsidR="00A05A9D" w:rsidRPr="007625F0" w:rsidRDefault="00A05A9D" w:rsidP="00A05A9D">
      <w:pPr>
        <w:pStyle w:val="Default"/>
        <w:spacing w:before="240"/>
        <w:jc w:val="both"/>
        <w:rPr>
          <w:rFonts w:asciiTheme="minorHAnsi" w:hAnsiTheme="minorHAnsi"/>
          <w:color w:val="auto"/>
          <w:sz w:val="20"/>
          <w:szCs w:val="20"/>
        </w:rPr>
      </w:pPr>
      <w:r w:rsidRPr="007625F0">
        <w:rPr>
          <w:rFonts w:asciiTheme="minorHAnsi" w:hAnsiTheme="minorHAnsi"/>
          <w:color w:val="auto"/>
          <w:sz w:val="20"/>
          <w:szCs w:val="20"/>
        </w:rPr>
        <w:t>Para las actividades agropecuarias, de servicios financieros y del gobierno se complementa</w:t>
      </w:r>
      <w:r w:rsidR="001160C5">
        <w:rPr>
          <w:rFonts w:asciiTheme="minorHAnsi" w:hAnsiTheme="minorHAnsi"/>
          <w:color w:val="auto"/>
          <w:sz w:val="20"/>
          <w:szCs w:val="20"/>
        </w:rPr>
        <w:t>ro</w:t>
      </w:r>
      <w:r w:rsidRPr="007625F0">
        <w:rPr>
          <w:rFonts w:asciiTheme="minorHAnsi" w:hAnsiTheme="minorHAnsi"/>
          <w:color w:val="auto"/>
          <w:sz w:val="20"/>
          <w:szCs w:val="20"/>
        </w:rPr>
        <w:t xml:space="preserve">n con otros registros administrativos provenientes de las Unidades del Estado que se recibieron oportunamente vía correo electrónico y captación por </w:t>
      </w:r>
      <w:r w:rsidR="001160C5">
        <w:rPr>
          <w:rFonts w:asciiTheme="minorHAnsi" w:hAnsiTheme="minorHAnsi"/>
          <w:color w:val="auto"/>
          <w:sz w:val="20"/>
          <w:szCs w:val="20"/>
        </w:rPr>
        <w:t>i</w:t>
      </w:r>
      <w:r w:rsidRPr="007625F0">
        <w:rPr>
          <w:rFonts w:asciiTheme="minorHAnsi" w:hAnsiTheme="minorHAnsi"/>
          <w:color w:val="auto"/>
          <w:sz w:val="20"/>
          <w:szCs w:val="20"/>
        </w:rPr>
        <w:t>nternet, para su integración en el PIBT en el trimestre de referencia.</w:t>
      </w:r>
    </w:p>
    <w:p w14:paraId="2A9F4A0A" w14:textId="77777777" w:rsidR="00FD2C08" w:rsidRDefault="00FD2C08" w:rsidP="00A05A9D">
      <w:pPr>
        <w:pStyle w:val="Textoindependiente"/>
        <w:spacing w:before="240" w:line="220" w:lineRule="exact"/>
        <w:rPr>
          <w:rFonts w:asciiTheme="minorHAnsi" w:hAnsiTheme="minorHAnsi" w:cstheme="minorHAnsi"/>
          <w:sz w:val="20"/>
          <w:szCs w:val="20"/>
        </w:rPr>
      </w:pPr>
      <w:r w:rsidRPr="00AC52AE">
        <w:rPr>
          <w:rFonts w:asciiTheme="minorHAnsi" w:hAnsiTheme="minorHAnsi" w:cstheme="minorHAnsi"/>
          <w:sz w:val="20"/>
          <w:szCs w:val="20"/>
        </w:rPr>
        <w:t xml:space="preserve">Información más amplia sobre los resultados publicados en esta nota puede </w:t>
      </w:r>
      <w:r>
        <w:rPr>
          <w:rFonts w:asciiTheme="minorHAnsi" w:hAnsiTheme="minorHAnsi" w:cstheme="minorHAnsi"/>
          <w:sz w:val="20"/>
          <w:szCs w:val="20"/>
        </w:rPr>
        <w:t>consultarse</w:t>
      </w:r>
      <w:r w:rsidRPr="00AC52AE">
        <w:rPr>
          <w:rFonts w:asciiTheme="minorHAnsi" w:hAnsiTheme="minorHAnsi" w:cstheme="minorHAnsi"/>
          <w:sz w:val="20"/>
          <w:szCs w:val="20"/>
        </w:rPr>
        <w:t xml:space="preserve"> en el Banco de Información Económica (BIE) de la página del Instituto en Internet</w:t>
      </w:r>
      <w:r>
        <w:rPr>
          <w:rFonts w:asciiTheme="minorHAnsi" w:hAnsiTheme="minorHAnsi" w:cstheme="minorHAnsi"/>
          <w:sz w:val="20"/>
          <w:szCs w:val="20"/>
        </w:rPr>
        <w:t xml:space="preserve"> </w:t>
      </w:r>
      <w:hyperlink r:id="rId12" w:history="1">
        <w:r w:rsidRPr="00FF6FFB">
          <w:rPr>
            <w:rStyle w:val="Hipervnculo"/>
            <w:rFonts w:asciiTheme="minorHAnsi" w:hAnsiTheme="minorHAnsi" w:cstheme="minorHAnsi"/>
            <w:sz w:val="20"/>
            <w:szCs w:val="20"/>
          </w:rPr>
          <w:t>http://www.inegi.org.mx/sistemas/bie/default.aspx</w:t>
        </w:r>
      </w:hyperlink>
      <w:r>
        <w:rPr>
          <w:rFonts w:asciiTheme="minorHAnsi" w:hAnsiTheme="minorHAnsi" w:cstheme="minorHAnsi"/>
          <w:sz w:val="20"/>
          <w:szCs w:val="20"/>
        </w:rPr>
        <w:t>.</w:t>
      </w:r>
    </w:p>
    <w:p w14:paraId="5A452B69" w14:textId="77777777" w:rsidR="00FD2C08" w:rsidRPr="00A70C41" w:rsidRDefault="00FD2C08" w:rsidP="00FD2C08">
      <w:pPr>
        <w:pStyle w:val="Textoindependiente"/>
        <w:spacing w:before="120" w:line="220" w:lineRule="exact"/>
        <w:ind w:left="-142"/>
        <w:rPr>
          <w:rFonts w:asciiTheme="minorHAnsi" w:hAnsiTheme="minorHAnsi" w:cstheme="minorHAnsi"/>
          <w:sz w:val="20"/>
          <w:szCs w:val="20"/>
        </w:rPr>
      </w:pPr>
    </w:p>
    <w:sectPr w:rsidR="00FD2C08" w:rsidRPr="00A70C41" w:rsidSect="00367EC8">
      <w:headerReference w:type="even" r:id="rId13"/>
      <w:headerReference w:type="default" r:id="rId14"/>
      <w:footerReference w:type="even" r:id="rId15"/>
      <w:footerReference w:type="default" r:id="rId16"/>
      <w:headerReference w:type="first" r:id="rId17"/>
      <w:footerReference w:type="first" r:id="rId18"/>
      <w:pgSz w:w="12240" w:h="15840" w:code="1"/>
      <w:pgMar w:top="2552" w:right="1134" w:bottom="567" w:left="993" w:header="284" w:footer="284" w:gutter="0"/>
      <w:cols w:num="2" w:space="75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054F5" w14:textId="77777777" w:rsidR="008A67D8" w:rsidRDefault="008A67D8" w:rsidP="0045458E">
      <w:pPr>
        <w:spacing w:after="0" w:line="240" w:lineRule="auto"/>
      </w:pPr>
      <w:r>
        <w:separator/>
      </w:r>
    </w:p>
  </w:endnote>
  <w:endnote w:type="continuationSeparator" w:id="0">
    <w:p w14:paraId="6C6985EA" w14:textId="77777777" w:rsidR="008A67D8" w:rsidRDefault="008A67D8" w:rsidP="00454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075791743"/>
      <w:docPartObj>
        <w:docPartGallery w:val="Page Numbers (Bottom of Page)"/>
        <w:docPartUnique/>
      </w:docPartObj>
    </w:sdtPr>
    <w:sdtEndPr>
      <w:rPr>
        <w:sz w:val="22"/>
        <w:szCs w:val="22"/>
      </w:rPr>
    </w:sdtEndPr>
    <w:sdtContent>
      <w:p w14:paraId="7D855865" w14:textId="77777777" w:rsidR="00CF4FF1" w:rsidRDefault="00892250">
        <w:pPr>
          <w:pStyle w:val="Piedepgina"/>
          <w:jc w:val="center"/>
        </w:pPr>
        <w:r>
          <w:fldChar w:fldCharType="begin"/>
        </w:r>
        <w:r w:rsidR="00ED312C">
          <w:instrText xml:space="preserve"> PAGE   \* MERGEFORMAT </w:instrText>
        </w:r>
        <w:r>
          <w:fldChar w:fldCharType="separate"/>
        </w:r>
        <w:r w:rsidR="00CF4FF1">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6ECFE" w14:textId="77777777" w:rsidR="00CF4FF1" w:rsidRDefault="00CF4FF1">
    <w:pPr>
      <w:pStyle w:val="Piedepgin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2DEDF" w14:textId="77777777" w:rsidR="00CF4FF1" w:rsidRDefault="00CF4FF1">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1193E" w14:textId="77777777" w:rsidR="008A67D8" w:rsidRDefault="008A67D8" w:rsidP="0045458E">
      <w:pPr>
        <w:spacing w:after="0" w:line="240" w:lineRule="auto"/>
      </w:pPr>
      <w:r>
        <w:separator/>
      </w:r>
    </w:p>
  </w:footnote>
  <w:footnote w:type="continuationSeparator" w:id="0">
    <w:p w14:paraId="415567DC" w14:textId="77777777" w:rsidR="008A67D8" w:rsidRDefault="008A67D8" w:rsidP="0045458E">
      <w:pPr>
        <w:spacing w:after="0" w:line="240" w:lineRule="auto"/>
      </w:pPr>
      <w:r>
        <w:continuationSeparator/>
      </w:r>
    </w:p>
  </w:footnote>
  <w:footnote w:id="1">
    <w:p w14:paraId="173E87C1" w14:textId="77777777" w:rsidR="00FF578E" w:rsidRDefault="00FF578E" w:rsidP="00FF578E">
      <w:pPr>
        <w:pStyle w:val="Textonotapie"/>
        <w:ind w:left="142" w:hanging="142"/>
        <w:rPr>
          <w:sz w:val="16"/>
          <w:szCs w:val="16"/>
        </w:rPr>
      </w:pPr>
      <w:r w:rsidRPr="00B80A49">
        <w:rPr>
          <w:rStyle w:val="Refdenotaalpie"/>
          <w:sz w:val="18"/>
        </w:rPr>
        <w:footnoteRef/>
      </w:r>
      <w:r>
        <w:rPr>
          <w:rStyle w:val="Refdenotaalpie"/>
          <w:sz w:val="18"/>
        </w:rPr>
        <w:t xml:space="preserve"> </w:t>
      </w:r>
      <w:r>
        <w:rPr>
          <w:sz w:val="18"/>
        </w:rPr>
        <w:tab/>
      </w:r>
      <w:r>
        <w:rPr>
          <w:sz w:val="16"/>
          <w:szCs w:val="16"/>
        </w:rPr>
        <w:t>Año base 2013.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9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271"/>
      <w:gridCol w:w="6710"/>
    </w:tblGrid>
    <w:tr w:rsidR="00CF4FF1" w14:paraId="0915E412" w14:textId="77777777" w:rsidTr="007B0AB4">
      <w:trPr>
        <w:trHeight w:val="1871"/>
      </w:trPr>
      <w:tc>
        <w:tcPr>
          <w:tcW w:w="3345" w:type="dxa"/>
          <w:vAlign w:val="bottom"/>
        </w:tcPr>
        <w:p w14:paraId="39FCBA2F" w14:textId="77777777" w:rsidR="00CF4FF1" w:rsidRDefault="00CF4FF1" w:rsidP="007B0AB4">
          <w:pPr>
            <w:pStyle w:val="Encabezado"/>
          </w:pPr>
          <w:r>
            <w:rPr>
              <w:noProof/>
              <w:lang w:eastAsia="es-MX"/>
            </w:rPr>
            <w:drawing>
              <wp:inline distT="0" distB="0" distL="0" distR="0" wp14:anchorId="1F1B573E" wp14:editId="76EEAFA0">
                <wp:extent cx="2075815" cy="1165860"/>
                <wp:effectExtent l="19050" t="0" r="635"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srcRect b="2857"/>
                        <a:stretch>
                          <a:fillRect/>
                        </a:stretch>
                      </pic:blipFill>
                      <pic:spPr bwMode="auto">
                        <a:xfrm>
                          <a:off x="0" y="0"/>
                          <a:ext cx="2075815" cy="1165860"/>
                        </a:xfrm>
                        <a:prstGeom prst="rect">
                          <a:avLst/>
                        </a:prstGeom>
                        <a:noFill/>
                        <a:ln w="9525">
                          <a:noFill/>
                          <a:miter lim="800000"/>
                          <a:headEnd/>
                          <a:tailEnd/>
                        </a:ln>
                      </pic:spPr>
                    </pic:pic>
                  </a:graphicData>
                </a:graphic>
              </wp:inline>
            </w:drawing>
          </w:r>
        </w:p>
      </w:tc>
      <w:tc>
        <w:tcPr>
          <w:tcW w:w="6862" w:type="dxa"/>
          <w:vAlign w:val="center"/>
        </w:tcPr>
        <w:tbl>
          <w:tblPr>
            <w:tblStyle w:val="Tablaconcuadrcula"/>
            <w:tblW w:w="669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6695"/>
          </w:tblGrid>
          <w:tr w:rsidR="00CF4FF1" w14:paraId="44FF6357" w14:textId="77777777" w:rsidTr="007B0AB4">
            <w:trPr>
              <w:jc w:val="center"/>
            </w:trPr>
            <w:tc>
              <w:tcPr>
                <w:tcW w:w="6695" w:type="dxa"/>
                <w:vAlign w:val="center"/>
              </w:tcPr>
              <w:p w14:paraId="2F7F62D5" w14:textId="77777777" w:rsidR="00CF4FF1" w:rsidRPr="00954400" w:rsidRDefault="00CF4FF1" w:rsidP="007B0AB4">
                <w:pPr>
                  <w:pStyle w:val="Ttulo"/>
                  <w:widowControl w:val="0"/>
                  <w:spacing w:line="200" w:lineRule="exact"/>
                  <w:jc w:val="right"/>
                  <w:rPr>
                    <w:rFonts w:asciiTheme="minorHAnsi" w:hAnsiTheme="minorHAnsi" w:cstheme="minorHAnsi"/>
                    <w:spacing w:val="20"/>
                    <w:sz w:val="22"/>
                    <w:szCs w:val="22"/>
                  </w:rPr>
                </w:pPr>
                <w:r>
                  <w:rPr>
                    <w:rFonts w:asciiTheme="minorHAnsi" w:hAnsiTheme="minorHAnsi" w:cstheme="minorHAnsi"/>
                    <w:b w:val="0"/>
                    <w:sz w:val="20"/>
                    <w:szCs w:val="22"/>
                  </w:rPr>
                  <w:t>FEBRERO</w:t>
                </w:r>
                <w:r w:rsidRPr="00524198">
                  <w:rPr>
                    <w:rFonts w:asciiTheme="minorHAnsi" w:hAnsiTheme="minorHAnsi" w:cstheme="minorHAnsi"/>
                    <w:b w:val="0"/>
                    <w:sz w:val="20"/>
                    <w:szCs w:val="22"/>
                  </w:rPr>
                  <w:t xml:space="preserve"> 1</w:t>
                </w:r>
                <w:r>
                  <w:rPr>
                    <w:rFonts w:asciiTheme="minorHAnsi" w:hAnsiTheme="minorHAnsi" w:cstheme="minorHAnsi"/>
                    <w:b w:val="0"/>
                    <w:sz w:val="20"/>
                    <w:szCs w:val="22"/>
                  </w:rPr>
                  <w:t>4</w:t>
                </w:r>
                <w:r w:rsidRPr="00524198">
                  <w:rPr>
                    <w:rFonts w:asciiTheme="minorHAnsi" w:hAnsiTheme="minorHAnsi" w:cstheme="minorHAnsi"/>
                    <w:b w:val="0"/>
                    <w:sz w:val="20"/>
                    <w:szCs w:val="22"/>
                  </w:rPr>
                  <w:t xml:space="preserve"> DE 2012</w:t>
                </w:r>
              </w:p>
            </w:tc>
          </w:tr>
          <w:tr w:rsidR="00CF4FF1" w14:paraId="021B12DA" w14:textId="77777777" w:rsidTr="007B0AB4">
            <w:trPr>
              <w:trHeight w:val="1134"/>
              <w:jc w:val="center"/>
            </w:trPr>
            <w:tc>
              <w:tcPr>
                <w:tcW w:w="6695" w:type="dxa"/>
                <w:vAlign w:val="center"/>
              </w:tcPr>
              <w:p w14:paraId="1492D1E8" w14:textId="77777777" w:rsidR="00CF4FF1" w:rsidRPr="008828FB" w:rsidRDefault="00CF4FF1" w:rsidP="007B0AB4">
                <w:pPr>
                  <w:pStyle w:val="Ttulo"/>
                  <w:widowControl w:val="0"/>
                  <w:rPr>
                    <w:rFonts w:asciiTheme="minorHAnsi" w:hAnsiTheme="minorHAnsi" w:cstheme="minorHAnsi"/>
                    <w:spacing w:val="20"/>
                    <w:sz w:val="24"/>
                    <w:szCs w:val="24"/>
                  </w:rPr>
                </w:pPr>
                <w:r w:rsidRPr="004F6682">
                  <w:rPr>
                    <w:rFonts w:asciiTheme="minorHAnsi" w:hAnsiTheme="minorHAnsi" w:cstheme="minorHAnsi"/>
                    <w:spacing w:val="20"/>
                    <w:sz w:val="24"/>
                    <w:szCs w:val="24"/>
                  </w:rPr>
                  <w:t>ESTADÍSTICA MENSUAL SOBRE ESTABLECIMIENTOS</w:t>
                </w:r>
                <w:r>
                  <w:rPr>
                    <w:rFonts w:asciiTheme="minorHAnsi" w:hAnsiTheme="minorHAnsi" w:cstheme="minorHAnsi"/>
                    <w:spacing w:val="20"/>
                    <w:sz w:val="24"/>
                    <w:szCs w:val="24"/>
                  </w:rPr>
                  <w:br/>
                </w:r>
                <w:r w:rsidRPr="004F6682">
                  <w:rPr>
                    <w:rFonts w:asciiTheme="minorHAnsi" w:hAnsiTheme="minorHAnsi" w:cstheme="minorHAnsi"/>
                    <w:spacing w:val="20"/>
                    <w:sz w:val="24"/>
                    <w:szCs w:val="24"/>
                  </w:rPr>
                  <w:t>MANUFACTUREROS CON PROGRAMA IMMEX</w:t>
                </w:r>
              </w:p>
              <w:p w14:paraId="5F8B67D4" w14:textId="77777777" w:rsidR="00CF4FF1" w:rsidRPr="008828FB" w:rsidRDefault="00CF4FF1" w:rsidP="007B0AB4">
                <w:pPr>
                  <w:pStyle w:val="Ttulo"/>
                  <w:widowControl w:val="0"/>
                  <w:spacing w:line="280" w:lineRule="exact"/>
                  <w:rPr>
                    <w:rFonts w:cstheme="minorHAnsi"/>
                    <w:b w:val="0"/>
                    <w:sz w:val="20"/>
                    <w:szCs w:val="20"/>
                  </w:rPr>
                </w:pPr>
                <w:r w:rsidRPr="008828FB">
                  <w:rPr>
                    <w:rFonts w:asciiTheme="minorHAnsi" w:hAnsiTheme="minorHAnsi" w:cstheme="minorHAnsi"/>
                    <w:b w:val="0"/>
                    <w:sz w:val="20"/>
                    <w:szCs w:val="20"/>
                  </w:rPr>
                  <w:t xml:space="preserve">CIFRAS DURANTE </w:t>
                </w:r>
                <w:r>
                  <w:rPr>
                    <w:rFonts w:asciiTheme="minorHAnsi" w:hAnsiTheme="minorHAnsi" w:cstheme="minorHAnsi"/>
                    <w:b w:val="0"/>
                    <w:sz w:val="20"/>
                    <w:szCs w:val="20"/>
                  </w:rPr>
                  <w:t xml:space="preserve">NOVIEMBRE </w:t>
                </w:r>
                <w:r w:rsidRPr="008828FB">
                  <w:rPr>
                    <w:rFonts w:asciiTheme="minorHAnsi" w:hAnsiTheme="minorHAnsi" w:cstheme="minorHAnsi"/>
                    <w:b w:val="0"/>
                    <w:sz w:val="20"/>
                    <w:szCs w:val="20"/>
                  </w:rPr>
                  <w:t>DE 201</w:t>
                </w:r>
                <w:r>
                  <w:rPr>
                    <w:rFonts w:asciiTheme="minorHAnsi" w:hAnsiTheme="minorHAnsi" w:cstheme="minorHAnsi"/>
                    <w:b w:val="0"/>
                    <w:sz w:val="20"/>
                    <w:szCs w:val="20"/>
                  </w:rPr>
                  <w:t>1</w:t>
                </w:r>
              </w:p>
            </w:tc>
          </w:tr>
          <w:tr w:rsidR="00CF4FF1" w:rsidRPr="009F3165" w14:paraId="45BC9BB4" w14:textId="77777777" w:rsidTr="007B0AB4">
            <w:trPr>
              <w:trHeight w:val="227"/>
              <w:jc w:val="center"/>
            </w:trPr>
            <w:tc>
              <w:tcPr>
                <w:tcW w:w="6695" w:type="dxa"/>
                <w:shd w:val="clear" w:color="auto" w:fill="D9D9D9" w:themeFill="background1" w:themeFillShade="D9"/>
                <w:vAlign w:val="center"/>
              </w:tcPr>
              <w:p w14:paraId="63AED8B6" w14:textId="77777777" w:rsidR="00CF4FF1" w:rsidRPr="009F3165" w:rsidRDefault="00CF4FF1" w:rsidP="007B0AB4">
                <w:pPr>
                  <w:jc w:val="center"/>
                  <w:rPr>
                    <w:b/>
                    <w:lang w:val="es-ES"/>
                  </w:rPr>
                </w:pPr>
                <w:r w:rsidRPr="009F3165">
                  <w:rPr>
                    <w:rFonts w:cstheme="minorHAnsi"/>
                    <w:b/>
                    <w:spacing w:val="20"/>
                    <w:sz w:val="20"/>
                    <w:szCs w:val="20"/>
                  </w:rPr>
                  <w:t>INDICADORES ECONÓMICOS DE COYUNTURA</w:t>
                </w:r>
              </w:p>
            </w:tc>
          </w:tr>
        </w:tbl>
        <w:p w14:paraId="6FAE3436" w14:textId="77777777" w:rsidR="00CF4FF1" w:rsidRPr="004E148E" w:rsidRDefault="00CF4FF1" w:rsidP="007B0AB4">
          <w:pPr>
            <w:ind w:right="789"/>
            <w:jc w:val="center"/>
            <w:rPr>
              <w:spacing w:val="20"/>
            </w:rPr>
          </w:pPr>
        </w:p>
      </w:tc>
    </w:tr>
  </w:tbl>
  <w:p w14:paraId="27DB421C" w14:textId="77777777" w:rsidR="00CF4FF1" w:rsidRDefault="00CF4FF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9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271"/>
      <w:gridCol w:w="6710"/>
    </w:tblGrid>
    <w:tr w:rsidR="00CF4FF1" w14:paraId="70199031" w14:textId="77777777" w:rsidTr="007B0AB4">
      <w:trPr>
        <w:trHeight w:val="1871"/>
      </w:trPr>
      <w:tc>
        <w:tcPr>
          <w:tcW w:w="3345" w:type="dxa"/>
          <w:vAlign w:val="bottom"/>
        </w:tcPr>
        <w:p w14:paraId="5D7ABA34" w14:textId="77777777" w:rsidR="00CF4FF1" w:rsidRDefault="00647679" w:rsidP="007B0AB4">
          <w:pPr>
            <w:pStyle w:val="Encabezado"/>
          </w:pPr>
          <w:r>
            <w:rPr>
              <w:noProof/>
              <w:lang w:eastAsia="es-MX"/>
            </w:rPr>
            <w:drawing>
              <wp:anchor distT="0" distB="0" distL="114300" distR="114300" simplePos="0" relativeHeight="251659264" behindDoc="0" locked="0" layoutInCell="1" allowOverlap="1" wp14:anchorId="3DD47F9E" wp14:editId="1C3098DB">
                <wp:simplePos x="0" y="0"/>
                <wp:positionH relativeFrom="column">
                  <wp:posOffset>-90170</wp:posOffset>
                </wp:positionH>
                <wp:positionV relativeFrom="paragraph">
                  <wp:posOffset>179070</wp:posOffset>
                </wp:positionV>
                <wp:extent cx="1109345" cy="1106805"/>
                <wp:effectExtent l="0" t="0" r="0" b="0"/>
                <wp:wrapTopAndBottom/>
                <wp:docPr id="27" name="Imagen 27"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09345" cy="11068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862" w:type="dxa"/>
          <w:vAlign w:val="center"/>
        </w:tcPr>
        <w:tbl>
          <w:tblPr>
            <w:tblStyle w:val="Tablaconcuadrcula"/>
            <w:tblW w:w="669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6695"/>
          </w:tblGrid>
          <w:tr w:rsidR="00CF4FF1" w14:paraId="4D0123D1" w14:textId="77777777" w:rsidTr="007B0AB4">
            <w:trPr>
              <w:jc w:val="center"/>
            </w:trPr>
            <w:tc>
              <w:tcPr>
                <w:tcW w:w="6695" w:type="dxa"/>
                <w:vAlign w:val="center"/>
              </w:tcPr>
              <w:p w14:paraId="48465394" w14:textId="5B7B2A62" w:rsidR="00917628" w:rsidRPr="00954400" w:rsidRDefault="009A3556" w:rsidP="007318E9">
                <w:pPr>
                  <w:pStyle w:val="Ttulo"/>
                  <w:widowControl w:val="0"/>
                  <w:spacing w:line="200" w:lineRule="exact"/>
                  <w:jc w:val="right"/>
                  <w:rPr>
                    <w:rFonts w:asciiTheme="minorHAnsi" w:hAnsiTheme="minorHAnsi" w:cstheme="minorHAnsi"/>
                    <w:spacing w:val="20"/>
                    <w:sz w:val="22"/>
                    <w:szCs w:val="22"/>
                  </w:rPr>
                </w:pPr>
                <w:r>
                  <w:rPr>
                    <w:rFonts w:asciiTheme="minorHAnsi" w:hAnsiTheme="minorHAnsi" w:cstheme="minorHAnsi"/>
                    <w:b w:val="0"/>
                    <w:sz w:val="20"/>
                    <w:szCs w:val="22"/>
                  </w:rPr>
                  <w:t>AGOST</w:t>
                </w:r>
                <w:r w:rsidR="00D10F68">
                  <w:rPr>
                    <w:rFonts w:asciiTheme="minorHAnsi" w:hAnsiTheme="minorHAnsi" w:cstheme="minorHAnsi"/>
                    <w:b w:val="0"/>
                    <w:sz w:val="20"/>
                    <w:szCs w:val="22"/>
                  </w:rPr>
                  <w:t xml:space="preserve">O </w:t>
                </w:r>
                <w:r w:rsidR="00F375F3">
                  <w:rPr>
                    <w:rFonts w:asciiTheme="minorHAnsi" w:hAnsiTheme="minorHAnsi" w:cstheme="minorHAnsi"/>
                    <w:b w:val="0"/>
                    <w:sz w:val="20"/>
                    <w:szCs w:val="22"/>
                  </w:rPr>
                  <w:t>2</w:t>
                </w:r>
                <w:r>
                  <w:rPr>
                    <w:rFonts w:asciiTheme="minorHAnsi" w:hAnsiTheme="minorHAnsi" w:cstheme="minorHAnsi"/>
                    <w:b w:val="0"/>
                    <w:sz w:val="20"/>
                    <w:szCs w:val="22"/>
                  </w:rPr>
                  <w:t>5</w:t>
                </w:r>
                <w:r w:rsidR="00F375F3">
                  <w:rPr>
                    <w:rFonts w:asciiTheme="minorHAnsi" w:hAnsiTheme="minorHAnsi" w:cstheme="minorHAnsi"/>
                    <w:b w:val="0"/>
                    <w:sz w:val="20"/>
                    <w:szCs w:val="22"/>
                  </w:rPr>
                  <w:t xml:space="preserve"> DE 20</w:t>
                </w:r>
                <w:r w:rsidR="007318E9">
                  <w:rPr>
                    <w:rFonts w:asciiTheme="minorHAnsi" w:hAnsiTheme="minorHAnsi" w:cstheme="minorHAnsi"/>
                    <w:b w:val="0"/>
                    <w:sz w:val="20"/>
                    <w:szCs w:val="22"/>
                  </w:rPr>
                  <w:t>2</w:t>
                </w:r>
                <w:r w:rsidR="00905C92">
                  <w:rPr>
                    <w:rFonts w:asciiTheme="minorHAnsi" w:hAnsiTheme="minorHAnsi" w:cstheme="minorHAnsi"/>
                    <w:b w:val="0"/>
                    <w:sz w:val="20"/>
                    <w:szCs w:val="22"/>
                  </w:rPr>
                  <w:t>1</w:t>
                </w:r>
              </w:p>
            </w:tc>
          </w:tr>
          <w:tr w:rsidR="00CF4FF1" w14:paraId="16701F6F" w14:textId="77777777" w:rsidTr="007B0AB4">
            <w:trPr>
              <w:trHeight w:val="1134"/>
              <w:jc w:val="center"/>
            </w:trPr>
            <w:tc>
              <w:tcPr>
                <w:tcW w:w="6695" w:type="dxa"/>
                <w:vAlign w:val="center"/>
              </w:tcPr>
              <w:p w14:paraId="3FC7D49B" w14:textId="77777777" w:rsidR="00CF4FF1" w:rsidRPr="008828FB" w:rsidRDefault="00CF4FF1" w:rsidP="007B0AB4">
                <w:pPr>
                  <w:pStyle w:val="Ttulo"/>
                  <w:widowControl w:val="0"/>
                  <w:rPr>
                    <w:rFonts w:asciiTheme="minorHAnsi" w:hAnsiTheme="minorHAnsi" w:cstheme="minorHAnsi"/>
                    <w:spacing w:val="20"/>
                    <w:sz w:val="24"/>
                    <w:szCs w:val="24"/>
                  </w:rPr>
                </w:pPr>
                <w:r>
                  <w:rPr>
                    <w:rFonts w:asciiTheme="minorHAnsi" w:hAnsiTheme="minorHAnsi" w:cstheme="minorHAnsi"/>
                    <w:spacing w:val="20"/>
                    <w:sz w:val="24"/>
                    <w:szCs w:val="24"/>
                  </w:rPr>
                  <w:t>PRODUCTO INTERNO BRUTO A PRECIOS CORRIENTES</w:t>
                </w:r>
              </w:p>
              <w:p w14:paraId="70340351" w14:textId="08B0CD05" w:rsidR="00CF4FF1" w:rsidRPr="008828FB" w:rsidRDefault="00CF4FF1" w:rsidP="007318E9">
                <w:pPr>
                  <w:pStyle w:val="Ttulo"/>
                  <w:widowControl w:val="0"/>
                  <w:spacing w:line="280" w:lineRule="exact"/>
                  <w:rPr>
                    <w:rFonts w:cstheme="minorHAnsi"/>
                    <w:b w:val="0"/>
                    <w:sz w:val="20"/>
                    <w:szCs w:val="20"/>
                  </w:rPr>
                </w:pPr>
                <w:r w:rsidRPr="008828FB">
                  <w:rPr>
                    <w:rFonts w:asciiTheme="minorHAnsi" w:hAnsiTheme="minorHAnsi" w:cstheme="minorHAnsi"/>
                    <w:b w:val="0"/>
                    <w:sz w:val="20"/>
                    <w:szCs w:val="20"/>
                  </w:rPr>
                  <w:t xml:space="preserve">CIFRAS DURANTE </w:t>
                </w:r>
                <w:r>
                  <w:rPr>
                    <w:rFonts w:asciiTheme="minorHAnsi" w:hAnsiTheme="minorHAnsi" w:cstheme="minorHAnsi"/>
                    <w:b w:val="0"/>
                    <w:sz w:val="20"/>
                    <w:szCs w:val="20"/>
                  </w:rPr>
                  <w:t xml:space="preserve">EL </w:t>
                </w:r>
                <w:r w:rsidR="009A3556">
                  <w:rPr>
                    <w:rFonts w:asciiTheme="minorHAnsi" w:hAnsiTheme="minorHAnsi" w:cstheme="minorHAnsi"/>
                    <w:b w:val="0"/>
                    <w:sz w:val="20"/>
                    <w:szCs w:val="20"/>
                  </w:rPr>
                  <w:t xml:space="preserve">SEGUNDO </w:t>
                </w:r>
                <w:r w:rsidR="0033394E">
                  <w:rPr>
                    <w:rFonts w:asciiTheme="minorHAnsi" w:hAnsiTheme="minorHAnsi" w:cstheme="minorHAnsi"/>
                    <w:b w:val="0"/>
                    <w:sz w:val="20"/>
                    <w:szCs w:val="20"/>
                  </w:rPr>
                  <w:t>T</w:t>
                </w:r>
                <w:r>
                  <w:rPr>
                    <w:rFonts w:asciiTheme="minorHAnsi" w:hAnsiTheme="minorHAnsi" w:cstheme="minorHAnsi"/>
                    <w:b w:val="0"/>
                    <w:sz w:val="20"/>
                    <w:szCs w:val="20"/>
                  </w:rPr>
                  <w:t xml:space="preserve">RIMESTRE </w:t>
                </w:r>
                <w:r w:rsidRPr="008828FB">
                  <w:rPr>
                    <w:rFonts w:asciiTheme="minorHAnsi" w:hAnsiTheme="minorHAnsi" w:cstheme="minorHAnsi"/>
                    <w:b w:val="0"/>
                    <w:sz w:val="20"/>
                    <w:szCs w:val="20"/>
                  </w:rPr>
                  <w:t>DE 20</w:t>
                </w:r>
                <w:r w:rsidR="00E20989">
                  <w:rPr>
                    <w:rFonts w:asciiTheme="minorHAnsi" w:hAnsiTheme="minorHAnsi" w:cstheme="minorHAnsi"/>
                    <w:b w:val="0"/>
                    <w:sz w:val="20"/>
                    <w:szCs w:val="20"/>
                  </w:rPr>
                  <w:t>2</w:t>
                </w:r>
                <w:r w:rsidR="00290FA2">
                  <w:rPr>
                    <w:rFonts w:asciiTheme="minorHAnsi" w:hAnsiTheme="minorHAnsi" w:cstheme="minorHAnsi"/>
                    <w:b w:val="0"/>
                    <w:sz w:val="20"/>
                    <w:szCs w:val="20"/>
                  </w:rPr>
                  <w:t>1</w:t>
                </w:r>
              </w:p>
            </w:tc>
          </w:tr>
          <w:tr w:rsidR="00CF4FF1" w:rsidRPr="009F3165" w14:paraId="54824BF9" w14:textId="77777777" w:rsidTr="007B0AB4">
            <w:trPr>
              <w:trHeight w:val="227"/>
              <w:jc w:val="center"/>
            </w:trPr>
            <w:tc>
              <w:tcPr>
                <w:tcW w:w="6695" w:type="dxa"/>
                <w:shd w:val="clear" w:color="auto" w:fill="D9D9D9" w:themeFill="background1" w:themeFillShade="D9"/>
                <w:vAlign w:val="center"/>
              </w:tcPr>
              <w:p w14:paraId="6672931A" w14:textId="77777777" w:rsidR="00CF4FF1" w:rsidRPr="009F3165" w:rsidRDefault="00CF4FF1" w:rsidP="007B0AB4">
                <w:pPr>
                  <w:jc w:val="center"/>
                  <w:rPr>
                    <w:b/>
                    <w:lang w:val="es-ES"/>
                  </w:rPr>
                </w:pPr>
                <w:r w:rsidRPr="009F3165">
                  <w:rPr>
                    <w:rFonts w:cstheme="minorHAnsi"/>
                    <w:b/>
                    <w:spacing w:val="20"/>
                    <w:sz w:val="20"/>
                    <w:szCs w:val="20"/>
                  </w:rPr>
                  <w:t>INDICADORES ECONÓMICOS DE COYUNTURA</w:t>
                </w:r>
              </w:p>
            </w:tc>
          </w:tr>
        </w:tbl>
        <w:p w14:paraId="25A96F24" w14:textId="77777777" w:rsidR="00CF4FF1" w:rsidRPr="004E148E" w:rsidRDefault="00CF4FF1" w:rsidP="007B0AB4">
          <w:pPr>
            <w:ind w:right="789"/>
            <w:jc w:val="center"/>
            <w:rPr>
              <w:spacing w:val="20"/>
            </w:rPr>
          </w:pPr>
        </w:p>
      </w:tc>
    </w:tr>
  </w:tbl>
  <w:p w14:paraId="1FBD9905" w14:textId="77777777" w:rsidR="00CF4FF1" w:rsidRPr="00DD5C92" w:rsidRDefault="00CF4FF1" w:rsidP="004F6682">
    <w:pPr>
      <w:pStyle w:val="Encabezado"/>
      <w:spacing w:after="240"/>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9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271"/>
      <w:gridCol w:w="6710"/>
    </w:tblGrid>
    <w:tr w:rsidR="00CF4FF1" w14:paraId="01DBAA00" w14:textId="77777777" w:rsidTr="00791C38">
      <w:trPr>
        <w:trHeight w:val="1871"/>
      </w:trPr>
      <w:tc>
        <w:tcPr>
          <w:tcW w:w="3345" w:type="dxa"/>
          <w:vAlign w:val="bottom"/>
        </w:tcPr>
        <w:p w14:paraId="00D7AE20" w14:textId="77777777" w:rsidR="00CF4FF1" w:rsidRDefault="00CF4FF1" w:rsidP="00791C38">
          <w:pPr>
            <w:pStyle w:val="Encabezado"/>
          </w:pPr>
          <w:r>
            <w:rPr>
              <w:noProof/>
              <w:lang w:eastAsia="es-MX"/>
            </w:rPr>
            <w:drawing>
              <wp:inline distT="0" distB="0" distL="0" distR="0" wp14:anchorId="0F64D5D7" wp14:editId="2A6C4923">
                <wp:extent cx="2075815" cy="1165860"/>
                <wp:effectExtent l="19050" t="0" r="635" b="0"/>
                <wp:docPr id="28"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srcRect b="2857"/>
                        <a:stretch>
                          <a:fillRect/>
                        </a:stretch>
                      </pic:blipFill>
                      <pic:spPr bwMode="auto">
                        <a:xfrm>
                          <a:off x="0" y="0"/>
                          <a:ext cx="2075815" cy="1165860"/>
                        </a:xfrm>
                        <a:prstGeom prst="rect">
                          <a:avLst/>
                        </a:prstGeom>
                        <a:noFill/>
                        <a:ln w="9525">
                          <a:noFill/>
                          <a:miter lim="800000"/>
                          <a:headEnd/>
                          <a:tailEnd/>
                        </a:ln>
                      </pic:spPr>
                    </pic:pic>
                  </a:graphicData>
                </a:graphic>
              </wp:inline>
            </w:drawing>
          </w:r>
        </w:p>
      </w:tc>
      <w:tc>
        <w:tcPr>
          <w:tcW w:w="6862" w:type="dxa"/>
          <w:vAlign w:val="center"/>
        </w:tcPr>
        <w:tbl>
          <w:tblPr>
            <w:tblStyle w:val="Tablaconcuadrcula"/>
            <w:tblW w:w="669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6695"/>
          </w:tblGrid>
          <w:tr w:rsidR="00CF4FF1" w14:paraId="3DD491FC" w14:textId="77777777" w:rsidTr="00954400">
            <w:trPr>
              <w:jc w:val="center"/>
            </w:trPr>
            <w:tc>
              <w:tcPr>
                <w:tcW w:w="6695" w:type="dxa"/>
                <w:vAlign w:val="center"/>
              </w:tcPr>
              <w:p w14:paraId="6D3FA61D" w14:textId="77777777" w:rsidR="00CF4FF1" w:rsidRPr="00954400" w:rsidRDefault="00CF4FF1" w:rsidP="00896904">
                <w:pPr>
                  <w:pStyle w:val="Ttulo"/>
                  <w:widowControl w:val="0"/>
                  <w:spacing w:line="200" w:lineRule="exact"/>
                  <w:jc w:val="right"/>
                  <w:rPr>
                    <w:rFonts w:asciiTheme="minorHAnsi" w:hAnsiTheme="minorHAnsi" w:cstheme="minorHAnsi"/>
                    <w:spacing w:val="20"/>
                    <w:sz w:val="22"/>
                    <w:szCs w:val="22"/>
                  </w:rPr>
                </w:pPr>
                <w:r>
                  <w:rPr>
                    <w:rFonts w:asciiTheme="minorHAnsi" w:hAnsiTheme="minorHAnsi" w:cstheme="minorHAnsi"/>
                    <w:b w:val="0"/>
                    <w:sz w:val="20"/>
                    <w:szCs w:val="22"/>
                  </w:rPr>
                  <w:t>FEBRERO</w:t>
                </w:r>
                <w:r w:rsidRPr="00524198">
                  <w:rPr>
                    <w:rFonts w:asciiTheme="minorHAnsi" w:hAnsiTheme="minorHAnsi" w:cstheme="minorHAnsi"/>
                    <w:b w:val="0"/>
                    <w:sz w:val="20"/>
                    <w:szCs w:val="22"/>
                  </w:rPr>
                  <w:t xml:space="preserve"> 1</w:t>
                </w:r>
                <w:r>
                  <w:rPr>
                    <w:rFonts w:asciiTheme="minorHAnsi" w:hAnsiTheme="minorHAnsi" w:cstheme="minorHAnsi"/>
                    <w:b w:val="0"/>
                    <w:sz w:val="20"/>
                    <w:szCs w:val="22"/>
                  </w:rPr>
                  <w:t>4</w:t>
                </w:r>
                <w:r w:rsidRPr="00524198">
                  <w:rPr>
                    <w:rFonts w:asciiTheme="minorHAnsi" w:hAnsiTheme="minorHAnsi" w:cstheme="minorHAnsi"/>
                    <w:b w:val="0"/>
                    <w:sz w:val="20"/>
                    <w:szCs w:val="22"/>
                  </w:rPr>
                  <w:t xml:space="preserve"> DE 2012</w:t>
                </w:r>
              </w:p>
            </w:tc>
          </w:tr>
          <w:tr w:rsidR="00CF4FF1" w14:paraId="3C28104A" w14:textId="77777777" w:rsidTr="00954400">
            <w:trPr>
              <w:trHeight w:val="1134"/>
              <w:jc w:val="center"/>
            </w:trPr>
            <w:tc>
              <w:tcPr>
                <w:tcW w:w="6695" w:type="dxa"/>
                <w:vAlign w:val="center"/>
              </w:tcPr>
              <w:p w14:paraId="1EF141B2" w14:textId="77777777" w:rsidR="00CF4FF1" w:rsidRPr="008828FB" w:rsidRDefault="00CF4FF1" w:rsidP="00954400">
                <w:pPr>
                  <w:pStyle w:val="Ttulo"/>
                  <w:widowControl w:val="0"/>
                  <w:rPr>
                    <w:rFonts w:asciiTheme="minorHAnsi" w:hAnsiTheme="minorHAnsi" w:cstheme="minorHAnsi"/>
                    <w:spacing w:val="20"/>
                    <w:sz w:val="24"/>
                    <w:szCs w:val="24"/>
                  </w:rPr>
                </w:pPr>
                <w:r w:rsidRPr="004F6682">
                  <w:rPr>
                    <w:rFonts w:asciiTheme="minorHAnsi" w:hAnsiTheme="minorHAnsi" w:cstheme="minorHAnsi"/>
                    <w:spacing w:val="20"/>
                    <w:sz w:val="24"/>
                    <w:szCs w:val="24"/>
                  </w:rPr>
                  <w:t>ESTADÍSTICA MENSUAL SOBRE ESTABLECIMIENTOS</w:t>
                </w:r>
                <w:r>
                  <w:rPr>
                    <w:rFonts w:asciiTheme="minorHAnsi" w:hAnsiTheme="minorHAnsi" w:cstheme="minorHAnsi"/>
                    <w:spacing w:val="20"/>
                    <w:sz w:val="24"/>
                    <w:szCs w:val="24"/>
                  </w:rPr>
                  <w:br/>
                </w:r>
                <w:r w:rsidRPr="004F6682">
                  <w:rPr>
                    <w:rFonts w:asciiTheme="minorHAnsi" w:hAnsiTheme="minorHAnsi" w:cstheme="minorHAnsi"/>
                    <w:spacing w:val="20"/>
                    <w:sz w:val="24"/>
                    <w:szCs w:val="24"/>
                  </w:rPr>
                  <w:t>MANUFACTUREROS CON PROGRAMA IMMEX</w:t>
                </w:r>
              </w:p>
              <w:p w14:paraId="287218A4" w14:textId="77777777" w:rsidR="00CF4FF1" w:rsidRPr="008828FB" w:rsidRDefault="00CF4FF1" w:rsidP="00E469FF">
                <w:pPr>
                  <w:pStyle w:val="Ttulo"/>
                  <w:widowControl w:val="0"/>
                  <w:spacing w:line="280" w:lineRule="exact"/>
                  <w:rPr>
                    <w:rFonts w:cstheme="minorHAnsi"/>
                    <w:b w:val="0"/>
                    <w:sz w:val="20"/>
                    <w:szCs w:val="20"/>
                  </w:rPr>
                </w:pPr>
                <w:r w:rsidRPr="008828FB">
                  <w:rPr>
                    <w:rFonts w:asciiTheme="minorHAnsi" w:hAnsiTheme="minorHAnsi" w:cstheme="minorHAnsi"/>
                    <w:b w:val="0"/>
                    <w:sz w:val="20"/>
                    <w:szCs w:val="20"/>
                  </w:rPr>
                  <w:t xml:space="preserve">CIFRAS DURANTE </w:t>
                </w:r>
                <w:r>
                  <w:rPr>
                    <w:rFonts w:asciiTheme="minorHAnsi" w:hAnsiTheme="minorHAnsi" w:cstheme="minorHAnsi"/>
                    <w:b w:val="0"/>
                    <w:sz w:val="20"/>
                    <w:szCs w:val="20"/>
                  </w:rPr>
                  <w:t xml:space="preserve">NOVIEMBRE </w:t>
                </w:r>
                <w:r w:rsidRPr="008828FB">
                  <w:rPr>
                    <w:rFonts w:asciiTheme="minorHAnsi" w:hAnsiTheme="minorHAnsi" w:cstheme="minorHAnsi"/>
                    <w:b w:val="0"/>
                    <w:sz w:val="20"/>
                    <w:szCs w:val="20"/>
                  </w:rPr>
                  <w:t>DE 201</w:t>
                </w:r>
                <w:r>
                  <w:rPr>
                    <w:rFonts w:asciiTheme="minorHAnsi" w:hAnsiTheme="minorHAnsi" w:cstheme="minorHAnsi"/>
                    <w:b w:val="0"/>
                    <w:sz w:val="20"/>
                    <w:szCs w:val="20"/>
                  </w:rPr>
                  <w:t>1</w:t>
                </w:r>
              </w:p>
            </w:tc>
          </w:tr>
          <w:tr w:rsidR="00CF4FF1" w:rsidRPr="009F3165" w14:paraId="3D3E47B8" w14:textId="77777777" w:rsidTr="00954400">
            <w:trPr>
              <w:trHeight w:val="227"/>
              <w:jc w:val="center"/>
            </w:trPr>
            <w:tc>
              <w:tcPr>
                <w:tcW w:w="6695" w:type="dxa"/>
                <w:shd w:val="clear" w:color="auto" w:fill="D9D9D9" w:themeFill="background1" w:themeFillShade="D9"/>
                <w:vAlign w:val="center"/>
              </w:tcPr>
              <w:p w14:paraId="6805B003" w14:textId="77777777" w:rsidR="00CF4FF1" w:rsidRPr="009F3165" w:rsidRDefault="00CF4FF1" w:rsidP="00791C38">
                <w:pPr>
                  <w:jc w:val="center"/>
                  <w:rPr>
                    <w:b/>
                    <w:lang w:val="es-ES"/>
                  </w:rPr>
                </w:pPr>
                <w:r w:rsidRPr="009F3165">
                  <w:rPr>
                    <w:rFonts w:cstheme="minorHAnsi"/>
                    <w:b/>
                    <w:spacing w:val="20"/>
                    <w:sz w:val="20"/>
                    <w:szCs w:val="20"/>
                  </w:rPr>
                  <w:t>INDICADORES ECONÓMICOS DE COYUNTURA</w:t>
                </w:r>
              </w:p>
            </w:tc>
          </w:tr>
        </w:tbl>
        <w:p w14:paraId="19523583" w14:textId="77777777" w:rsidR="00CF4FF1" w:rsidRPr="004E148E" w:rsidRDefault="00CF4FF1" w:rsidP="00791C38">
          <w:pPr>
            <w:ind w:right="789"/>
            <w:jc w:val="center"/>
            <w:rPr>
              <w:spacing w:val="20"/>
            </w:rPr>
          </w:pPr>
        </w:p>
      </w:tc>
    </w:tr>
  </w:tbl>
  <w:p w14:paraId="63157972" w14:textId="77777777" w:rsidR="00CF4FF1" w:rsidRPr="00CF23F1" w:rsidRDefault="00CF4FF1" w:rsidP="00CF23F1">
    <w:pPr>
      <w:pStyle w:val="Encabezad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150B05"/>
    <w:multiLevelType w:val="hybridMultilevel"/>
    <w:tmpl w:val="DA72E8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58E"/>
    <w:rsid w:val="00000AD7"/>
    <w:rsid w:val="0000148B"/>
    <w:rsid w:val="00002652"/>
    <w:rsid w:val="00002E5B"/>
    <w:rsid w:val="00003357"/>
    <w:rsid w:val="00005DF8"/>
    <w:rsid w:val="00006A01"/>
    <w:rsid w:val="000078DF"/>
    <w:rsid w:val="000117CE"/>
    <w:rsid w:val="00013090"/>
    <w:rsid w:val="00013645"/>
    <w:rsid w:val="000145CC"/>
    <w:rsid w:val="0001544D"/>
    <w:rsid w:val="00015940"/>
    <w:rsid w:val="00017E01"/>
    <w:rsid w:val="000207AB"/>
    <w:rsid w:val="00020A96"/>
    <w:rsid w:val="00022CF4"/>
    <w:rsid w:val="000236A9"/>
    <w:rsid w:val="000268E6"/>
    <w:rsid w:val="00026FB0"/>
    <w:rsid w:val="00027F6B"/>
    <w:rsid w:val="00031059"/>
    <w:rsid w:val="000316BE"/>
    <w:rsid w:val="00031FA7"/>
    <w:rsid w:val="00033258"/>
    <w:rsid w:val="000355D5"/>
    <w:rsid w:val="000358A4"/>
    <w:rsid w:val="000362AE"/>
    <w:rsid w:val="00037E9B"/>
    <w:rsid w:val="000400F8"/>
    <w:rsid w:val="0004031C"/>
    <w:rsid w:val="00042761"/>
    <w:rsid w:val="00043947"/>
    <w:rsid w:val="00043E03"/>
    <w:rsid w:val="00044408"/>
    <w:rsid w:val="00044423"/>
    <w:rsid w:val="000453F1"/>
    <w:rsid w:val="00047402"/>
    <w:rsid w:val="00050A87"/>
    <w:rsid w:val="00051D19"/>
    <w:rsid w:val="00051FBF"/>
    <w:rsid w:val="00052278"/>
    <w:rsid w:val="00052C8B"/>
    <w:rsid w:val="00053BF4"/>
    <w:rsid w:val="00054CB6"/>
    <w:rsid w:val="00054D6B"/>
    <w:rsid w:val="000555B8"/>
    <w:rsid w:val="0005564E"/>
    <w:rsid w:val="000558B9"/>
    <w:rsid w:val="00055AD4"/>
    <w:rsid w:val="0005770A"/>
    <w:rsid w:val="000606F6"/>
    <w:rsid w:val="00060CE8"/>
    <w:rsid w:val="00061C84"/>
    <w:rsid w:val="0006506C"/>
    <w:rsid w:val="00065299"/>
    <w:rsid w:val="00065EB7"/>
    <w:rsid w:val="00065EC0"/>
    <w:rsid w:val="00067D40"/>
    <w:rsid w:val="00067FEC"/>
    <w:rsid w:val="00070130"/>
    <w:rsid w:val="00070980"/>
    <w:rsid w:val="00071327"/>
    <w:rsid w:val="00071B61"/>
    <w:rsid w:val="00072331"/>
    <w:rsid w:val="00076981"/>
    <w:rsid w:val="00080FAD"/>
    <w:rsid w:val="00081D0E"/>
    <w:rsid w:val="00081E24"/>
    <w:rsid w:val="00083C27"/>
    <w:rsid w:val="0008415A"/>
    <w:rsid w:val="0008537E"/>
    <w:rsid w:val="0009072B"/>
    <w:rsid w:val="00090B34"/>
    <w:rsid w:val="000911AC"/>
    <w:rsid w:val="00092C3A"/>
    <w:rsid w:val="000948EC"/>
    <w:rsid w:val="0009528F"/>
    <w:rsid w:val="00095890"/>
    <w:rsid w:val="000969EC"/>
    <w:rsid w:val="00097C3F"/>
    <w:rsid w:val="000A0034"/>
    <w:rsid w:val="000A0A5F"/>
    <w:rsid w:val="000A1035"/>
    <w:rsid w:val="000A2BD8"/>
    <w:rsid w:val="000A4FA7"/>
    <w:rsid w:val="000A675D"/>
    <w:rsid w:val="000A6C5A"/>
    <w:rsid w:val="000B10CF"/>
    <w:rsid w:val="000B18AE"/>
    <w:rsid w:val="000B1B19"/>
    <w:rsid w:val="000B32D4"/>
    <w:rsid w:val="000B3931"/>
    <w:rsid w:val="000B43CB"/>
    <w:rsid w:val="000B49B5"/>
    <w:rsid w:val="000B5012"/>
    <w:rsid w:val="000B6013"/>
    <w:rsid w:val="000C0721"/>
    <w:rsid w:val="000C16D8"/>
    <w:rsid w:val="000C1BAB"/>
    <w:rsid w:val="000C25C8"/>
    <w:rsid w:val="000C5A4A"/>
    <w:rsid w:val="000C5B1E"/>
    <w:rsid w:val="000C5F6B"/>
    <w:rsid w:val="000C6FDC"/>
    <w:rsid w:val="000D16F0"/>
    <w:rsid w:val="000D2B1C"/>
    <w:rsid w:val="000D2CA9"/>
    <w:rsid w:val="000D32CA"/>
    <w:rsid w:val="000D350B"/>
    <w:rsid w:val="000D4AED"/>
    <w:rsid w:val="000D5277"/>
    <w:rsid w:val="000D579C"/>
    <w:rsid w:val="000D5896"/>
    <w:rsid w:val="000D5EA4"/>
    <w:rsid w:val="000D6575"/>
    <w:rsid w:val="000D7CC9"/>
    <w:rsid w:val="000E0533"/>
    <w:rsid w:val="000E05BF"/>
    <w:rsid w:val="000E0A2A"/>
    <w:rsid w:val="000E0E0B"/>
    <w:rsid w:val="000E2864"/>
    <w:rsid w:val="000E2F72"/>
    <w:rsid w:val="000E37A1"/>
    <w:rsid w:val="000F4427"/>
    <w:rsid w:val="000F4767"/>
    <w:rsid w:val="000F4E3E"/>
    <w:rsid w:val="000F773F"/>
    <w:rsid w:val="000F77A6"/>
    <w:rsid w:val="00100270"/>
    <w:rsid w:val="00100717"/>
    <w:rsid w:val="00101945"/>
    <w:rsid w:val="00101D31"/>
    <w:rsid w:val="00103046"/>
    <w:rsid w:val="001038AC"/>
    <w:rsid w:val="00103A21"/>
    <w:rsid w:val="00103B51"/>
    <w:rsid w:val="00104E27"/>
    <w:rsid w:val="001053C2"/>
    <w:rsid w:val="00105F5E"/>
    <w:rsid w:val="0010796D"/>
    <w:rsid w:val="001108A3"/>
    <w:rsid w:val="00110952"/>
    <w:rsid w:val="00111B2D"/>
    <w:rsid w:val="00111C14"/>
    <w:rsid w:val="00111DFA"/>
    <w:rsid w:val="00112FC1"/>
    <w:rsid w:val="00113C4B"/>
    <w:rsid w:val="00114201"/>
    <w:rsid w:val="00115451"/>
    <w:rsid w:val="001155C5"/>
    <w:rsid w:val="001160C5"/>
    <w:rsid w:val="001162D0"/>
    <w:rsid w:val="001172E9"/>
    <w:rsid w:val="00121C9A"/>
    <w:rsid w:val="00122BD2"/>
    <w:rsid w:val="00124635"/>
    <w:rsid w:val="00124A2D"/>
    <w:rsid w:val="001267AD"/>
    <w:rsid w:val="00126D08"/>
    <w:rsid w:val="00126EEC"/>
    <w:rsid w:val="00127B37"/>
    <w:rsid w:val="00131B34"/>
    <w:rsid w:val="0013254A"/>
    <w:rsid w:val="00132EB8"/>
    <w:rsid w:val="0013333B"/>
    <w:rsid w:val="001340E7"/>
    <w:rsid w:val="00134E1A"/>
    <w:rsid w:val="00135455"/>
    <w:rsid w:val="0013635F"/>
    <w:rsid w:val="00140140"/>
    <w:rsid w:val="001407E6"/>
    <w:rsid w:val="00140B3C"/>
    <w:rsid w:val="0014391D"/>
    <w:rsid w:val="001442BA"/>
    <w:rsid w:val="0014433E"/>
    <w:rsid w:val="001458E9"/>
    <w:rsid w:val="00151A13"/>
    <w:rsid w:val="00152827"/>
    <w:rsid w:val="0015523C"/>
    <w:rsid w:val="00155B41"/>
    <w:rsid w:val="00156AD2"/>
    <w:rsid w:val="001608E5"/>
    <w:rsid w:val="001619B1"/>
    <w:rsid w:val="0016327D"/>
    <w:rsid w:val="00164826"/>
    <w:rsid w:val="0016685C"/>
    <w:rsid w:val="00180B85"/>
    <w:rsid w:val="00181384"/>
    <w:rsid w:val="00181667"/>
    <w:rsid w:val="0018473D"/>
    <w:rsid w:val="001869DF"/>
    <w:rsid w:val="00187815"/>
    <w:rsid w:val="0019091B"/>
    <w:rsid w:val="0019309A"/>
    <w:rsid w:val="0019390E"/>
    <w:rsid w:val="001963FB"/>
    <w:rsid w:val="00196B09"/>
    <w:rsid w:val="001A0F93"/>
    <w:rsid w:val="001A1CD5"/>
    <w:rsid w:val="001A2949"/>
    <w:rsid w:val="001A3325"/>
    <w:rsid w:val="001A5A74"/>
    <w:rsid w:val="001A5F5C"/>
    <w:rsid w:val="001A7C1B"/>
    <w:rsid w:val="001B04A7"/>
    <w:rsid w:val="001B0616"/>
    <w:rsid w:val="001B06C0"/>
    <w:rsid w:val="001B1949"/>
    <w:rsid w:val="001B1AF4"/>
    <w:rsid w:val="001B2369"/>
    <w:rsid w:val="001B2A97"/>
    <w:rsid w:val="001B43BE"/>
    <w:rsid w:val="001B446B"/>
    <w:rsid w:val="001B4B4C"/>
    <w:rsid w:val="001B5C6A"/>
    <w:rsid w:val="001B5D2B"/>
    <w:rsid w:val="001B68A6"/>
    <w:rsid w:val="001B695A"/>
    <w:rsid w:val="001B6ACB"/>
    <w:rsid w:val="001B7D39"/>
    <w:rsid w:val="001C0318"/>
    <w:rsid w:val="001C4935"/>
    <w:rsid w:val="001C5CE9"/>
    <w:rsid w:val="001C6418"/>
    <w:rsid w:val="001C7ECB"/>
    <w:rsid w:val="001D1313"/>
    <w:rsid w:val="001D37DD"/>
    <w:rsid w:val="001D42F6"/>
    <w:rsid w:val="001D5949"/>
    <w:rsid w:val="001D6B04"/>
    <w:rsid w:val="001E00D7"/>
    <w:rsid w:val="001E04F0"/>
    <w:rsid w:val="001E0716"/>
    <w:rsid w:val="001E1183"/>
    <w:rsid w:val="001E31E0"/>
    <w:rsid w:val="001E4125"/>
    <w:rsid w:val="001E57F1"/>
    <w:rsid w:val="001E7415"/>
    <w:rsid w:val="001F2A4A"/>
    <w:rsid w:val="001F5BD7"/>
    <w:rsid w:val="0020006C"/>
    <w:rsid w:val="00200443"/>
    <w:rsid w:val="002008A2"/>
    <w:rsid w:val="00201009"/>
    <w:rsid w:val="00202E52"/>
    <w:rsid w:val="00202EFB"/>
    <w:rsid w:val="00202F0F"/>
    <w:rsid w:val="00203027"/>
    <w:rsid w:val="00204380"/>
    <w:rsid w:val="00204D2D"/>
    <w:rsid w:val="00205D20"/>
    <w:rsid w:val="00205DB2"/>
    <w:rsid w:val="00205E03"/>
    <w:rsid w:val="002066E7"/>
    <w:rsid w:val="00207289"/>
    <w:rsid w:val="00210438"/>
    <w:rsid w:val="00210630"/>
    <w:rsid w:val="00211BEE"/>
    <w:rsid w:val="00211D1D"/>
    <w:rsid w:val="00211D49"/>
    <w:rsid w:val="00212E69"/>
    <w:rsid w:val="0021388D"/>
    <w:rsid w:val="00213EB0"/>
    <w:rsid w:val="0021427B"/>
    <w:rsid w:val="00214B0A"/>
    <w:rsid w:val="002153DE"/>
    <w:rsid w:val="0021607A"/>
    <w:rsid w:val="002172BC"/>
    <w:rsid w:val="002175A5"/>
    <w:rsid w:val="00220137"/>
    <w:rsid w:val="00222E91"/>
    <w:rsid w:val="00223A57"/>
    <w:rsid w:val="00223BEC"/>
    <w:rsid w:val="00225DC5"/>
    <w:rsid w:val="002269C3"/>
    <w:rsid w:val="00230F9A"/>
    <w:rsid w:val="0023193B"/>
    <w:rsid w:val="002323C2"/>
    <w:rsid w:val="00233070"/>
    <w:rsid w:val="002347B0"/>
    <w:rsid w:val="0023525C"/>
    <w:rsid w:val="00235B73"/>
    <w:rsid w:val="002362DB"/>
    <w:rsid w:val="002364A4"/>
    <w:rsid w:val="00236B57"/>
    <w:rsid w:val="00236CBC"/>
    <w:rsid w:val="0023714D"/>
    <w:rsid w:val="00237911"/>
    <w:rsid w:val="00240487"/>
    <w:rsid w:val="00240F13"/>
    <w:rsid w:val="00242838"/>
    <w:rsid w:val="00242965"/>
    <w:rsid w:val="00242CC2"/>
    <w:rsid w:val="002434F8"/>
    <w:rsid w:val="00247680"/>
    <w:rsid w:val="00247FB3"/>
    <w:rsid w:val="00251FEF"/>
    <w:rsid w:val="00253CB4"/>
    <w:rsid w:val="00255E9B"/>
    <w:rsid w:val="00257663"/>
    <w:rsid w:val="002603B7"/>
    <w:rsid w:val="00260A98"/>
    <w:rsid w:val="00260C5D"/>
    <w:rsid w:val="00261632"/>
    <w:rsid w:val="00263010"/>
    <w:rsid w:val="00263694"/>
    <w:rsid w:val="002637BB"/>
    <w:rsid w:val="00264761"/>
    <w:rsid w:val="002647FE"/>
    <w:rsid w:val="00264B4B"/>
    <w:rsid w:val="0026569B"/>
    <w:rsid w:val="00265D27"/>
    <w:rsid w:val="00265E80"/>
    <w:rsid w:val="00266061"/>
    <w:rsid w:val="00266ACD"/>
    <w:rsid w:val="002678B0"/>
    <w:rsid w:val="00270874"/>
    <w:rsid w:val="00271058"/>
    <w:rsid w:val="0027160F"/>
    <w:rsid w:val="002719FB"/>
    <w:rsid w:val="00272D92"/>
    <w:rsid w:val="00273E99"/>
    <w:rsid w:val="00274010"/>
    <w:rsid w:val="00275CE5"/>
    <w:rsid w:val="0027707A"/>
    <w:rsid w:val="00280192"/>
    <w:rsid w:val="00280486"/>
    <w:rsid w:val="00281D1F"/>
    <w:rsid w:val="002851AB"/>
    <w:rsid w:val="0028535F"/>
    <w:rsid w:val="002853F0"/>
    <w:rsid w:val="00285E4A"/>
    <w:rsid w:val="00290604"/>
    <w:rsid w:val="00290FA2"/>
    <w:rsid w:val="002926C3"/>
    <w:rsid w:val="002943EB"/>
    <w:rsid w:val="00294440"/>
    <w:rsid w:val="00294A4E"/>
    <w:rsid w:val="00296681"/>
    <w:rsid w:val="00296789"/>
    <w:rsid w:val="00297029"/>
    <w:rsid w:val="002A053C"/>
    <w:rsid w:val="002A3E77"/>
    <w:rsid w:val="002A5620"/>
    <w:rsid w:val="002A5C27"/>
    <w:rsid w:val="002B0318"/>
    <w:rsid w:val="002B0BE7"/>
    <w:rsid w:val="002B0D6A"/>
    <w:rsid w:val="002B1ACC"/>
    <w:rsid w:val="002B2FAF"/>
    <w:rsid w:val="002B38C5"/>
    <w:rsid w:val="002B38D0"/>
    <w:rsid w:val="002B4608"/>
    <w:rsid w:val="002B6FDB"/>
    <w:rsid w:val="002C05ED"/>
    <w:rsid w:val="002C094A"/>
    <w:rsid w:val="002C0BFB"/>
    <w:rsid w:val="002C0CBD"/>
    <w:rsid w:val="002C0DE7"/>
    <w:rsid w:val="002C110A"/>
    <w:rsid w:val="002C14FD"/>
    <w:rsid w:val="002C164E"/>
    <w:rsid w:val="002C2290"/>
    <w:rsid w:val="002C5BD5"/>
    <w:rsid w:val="002C679C"/>
    <w:rsid w:val="002C7E7E"/>
    <w:rsid w:val="002D02A6"/>
    <w:rsid w:val="002D0BE9"/>
    <w:rsid w:val="002D2010"/>
    <w:rsid w:val="002D20C8"/>
    <w:rsid w:val="002D2427"/>
    <w:rsid w:val="002D2C95"/>
    <w:rsid w:val="002D2D27"/>
    <w:rsid w:val="002D30EE"/>
    <w:rsid w:val="002D3D6B"/>
    <w:rsid w:val="002D49D6"/>
    <w:rsid w:val="002D4D9E"/>
    <w:rsid w:val="002D5DC7"/>
    <w:rsid w:val="002D6AB4"/>
    <w:rsid w:val="002D77A0"/>
    <w:rsid w:val="002E2215"/>
    <w:rsid w:val="002E2567"/>
    <w:rsid w:val="002E4A62"/>
    <w:rsid w:val="002E57FC"/>
    <w:rsid w:val="002E58E3"/>
    <w:rsid w:val="002E7F82"/>
    <w:rsid w:val="002F06F7"/>
    <w:rsid w:val="002F0837"/>
    <w:rsid w:val="002F122D"/>
    <w:rsid w:val="002F1B26"/>
    <w:rsid w:val="002F41F6"/>
    <w:rsid w:val="002F4295"/>
    <w:rsid w:val="002F43CD"/>
    <w:rsid w:val="002F4581"/>
    <w:rsid w:val="002F4B45"/>
    <w:rsid w:val="002F553E"/>
    <w:rsid w:val="002F5BBF"/>
    <w:rsid w:val="002F61E3"/>
    <w:rsid w:val="002F61EF"/>
    <w:rsid w:val="002F6B71"/>
    <w:rsid w:val="002F71C2"/>
    <w:rsid w:val="00300049"/>
    <w:rsid w:val="003031DE"/>
    <w:rsid w:val="00303758"/>
    <w:rsid w:val="00305AB5"/>
    <w:rsid w:val="00305ADF"/>
    <w:rsid w:val="00305C60"/>
    <w:rsid w:val="00307423"/>
    <w:rsid w:val="00311F1F"/>
    <w:rsid w:val="003130DA"/>
    <w:rsid w:val="00314AEB"/>
    <w:rsid w:val="003152C0"/>
    <w:rsid w:val="0031681A"/>
    <w:rsid w:val="003208CA"/>
    <w:rsid w:val="003227F4"/>
    <w:rsid w:val="00323185"/>
    <w:rsid w:val="00323312"/>
    <w:rsid w:val="0033016D"/>
    <w:rsid w:val="003313C8"/>
    <w:rsid w:val="00332AA4"/>
    <w:rsid w:val="00332C57"/>
    <w:rsid w:val="00333125"/>
    <w:rsid w:val="003334D6"/>
    <w:rsid w:val="0033394E"/>
    <w:rsid w:val="003349D0"/>
    <w:rsid w:val="00334A26"/>
    <w:rsid w:val="00334D92"/>
    <w:rsid w:val="00335487"/>
    <w:rsid w:val="003357ED"/>
    <w:rsid w:val="00340610"/>
    <w:rsid w:val="003408CF"/>
    <w:rsid w:val="003414F2"/>
    <w:rsid w:val="00341640"/>
    <w:rsid w:val="00341A4F"/>
    <w:rsid w:val="00341E50"/>
    <w:rsid w:val="00342AB6"/>
    <w:rsid w:val="00343311"/>
    <w:rsid w:val="003433B2"/>
    <w:rsid w:val="00343557"/>
    <w:rsid w:val="00346918"/>
    <w:rsid w:val="00346E78"/>
    <w:rsid w:val="003476D5"/>
    <w:rsid w:val="00347A12"/>
    <w:rsid w:val="00350C9A"/>
    <w:rsid w:val="00352815"/>
    <w:rsid w:val="00353AFC"/>
    <w:rsid w:val="00353FC3"/>
    <w:rsid w:val="00354B8C"/>
    <w:rsid w:val="0035593C"/>
    <w:rsid w:val="00357687"/>
    <w:rsid w:val="00357DA0"/>
    <w:rsid w:val="00360588"/>
    <w:rsid w:val="003607C0"/>
    <w:rsid w:val="003622A7"/>
    <w:rsid w:val="0036387A"/>
    <w:rsid w:val="0036398C"/>
    <w:rsid w:val="00366112"/>
    <w:rsid w:val="003664E7"/>
    <w:rsid w:val="00367EC8"/>
    <w:rsid w:val="003727A3"/>
    <w:rsid w:val="00373153"/>
    <w:rsid w:val="0037361F"/>
    <w:rsid w:val="003761D7"/>
    <w:rsid w:val="00376737"/>
    <w:rsid w:val="003771A6"/>
    <w:rsid w:val="00377684"/>
    <w:rsid w:val="003776AB"/>
    <w:rsid w:val="00380ED2"/>
    <w:rsid w:val="00380F08"/>
    <w:rsid w:val="00381617"/>
    <w:rsid w:val="00381BBA"/>
    <w:rsid w:val="00381D6B"/>
    <w:rsid w:val="00382162"/>
    <w:rsid w:val="00382A54"/>
    <w:rsid w:val="00383185"/>
    <w:rsid w:val="003860ED"/>
    <w:rsid w:val="0038755A"/>
    <w:rsid w:val="00390F97"/>
    <w:rsid w:val="00391581"/>
    <w:rsid w:val="003916C2"/>
    <w:rsid w:val="0039219B"/>
    <w:rsid w:val="00392278"/>
    <w:rsid w:val="00392FDC"/>
    <w:rsid w:val="00393419"/>
    <w:rsid w:val="0039574E"/>
    <w:rsid w:val="003957B3"/>
    <w:rsid w:val="003968F9"/>
    <w:rsid w:val="00397679"/>
    <w:rsid w:val="003A02DF"/>
    <w:rsid w:val="003A0B20"/>
    <w:rsid w:val="003A189E"/>
    <w:rsid w:val="003A21DB"/>
    <w:rsid w:val="003A36BB"/>
    <w:rsid w:val="003A4CE3"/>
    <w:rsid w:val="003A73CE"/>
    <w:rsid w:val="003A798E"/>
    <w:rsid w:val="003B070B"/>
    <w:rsid w:val="003B0B93"/>
    <w:rsid w:val="003B1187"/>
    <w:rsid w:val="003B1D2B"/>
    <w:rsid w:val="003B29B2"/>
    <w:rsid w:val="003B5570"/>
    <w:rsid w:val="003B5675"/>
    <w:rsid w:val="003B6C0F"/>
    <w:rsid w:val="003B72DC"/>
    <w:rsid w:val="003B7920"/>
    <w:rsid w:val="003C0059"/>
    <w:rsid w:val="003C2538"/>
    <w:rsid w:val="003C5A45"/>
    <w:rsid w:val="003C6246"/>
    <w:rsid w:val="003C63EF"/>
    <w:rsid w:val="003C716B"/>
    <w:rsid w:val="003D017A"/>
    <w:rsid w:val="003D084B"/>
    <w:rsid w:val="003D1111"/>
    <w:rsid w:val="003D1C17"/>
    <w:rsid w:val="003D289F"/>
    <w:rsid w:val="003D3F9B"/>
    <w:rsid w:val="003D411C"/>
    <w:rsid w:val="003D4269"/>
    <w:rsid w:val="003D45F8"/>
    <w:rsid w:val="003D7B35"/>
    <w:rsid w:val="003E0070"/>
    <w:rsid w:val="003E0549"/>
    <w:rsid w:val="003E146B"/>
    <w:rsid w:val="003E1C03"/>
    <w:rsid w:val="003E22FB"/>
    <w:rsid w:val="003E3102"/>
    <w:rsid w:val="003E3AF5"/>
    <w:rsid w:val="003E5664"/>
    <w:rsid w:val="003E5807"/>
    <w:rsid w:val="003E6470"/>
    <w:rsid w:val="003E7BBF"/>
    <w:rsid w:val="003F199C"/>
    <w:rsid w:val="003F2389"/>
    <w:rsid w:val="003F2780"/>
    <w:rsid w:val="003F2F6F"/>
    <w:rsid w:val="003F313E"/>
    <w:rsid w:val="003F36D6"/>
    <w:rsid w:val="003F3FF5"/>
    <w:rsid w:val="003F50E5"/>
    <w:rsid w:val="003F6615"/>
    <w:rsid w:val="00400BAD"/>
    <w:rsid w:val="004016CE"/>
    <w:rsid w:val="00402967"/>
    <w:rsid w:val="00404075"/>
    <w:rsid w:val="0040449C"/>
    <w:rsid w:val="00406186"/>
    <w:rsid w:val="0040647C"/>
    <w:rsid w:val="004067B3"/>
    <w:rsid w:val="00406C12"/>
    <w:rsid w:val="00407E95"/>
    <w:rsid w:val="0041193A"/>
    <w:rsid w:val="0041324F"/>
    <w:rsid w:val="00414A41"/>
    <w:rsid w:val="00416161"/>
    <w:rsid w:val="00416744"/>
    <w:rsid w:val="00421ECE"/>
    <w:rsid w:val="0042207E"/>
    <w:rsid w:val="0042226C"/>
    <w:rsid w:val="00423AB4"/>
    <w:rsid w:val="00423C7F"/>
    <w:rsid w:val="0042496F"/>
    <w:rsid w:val="004250A3"/>
    <w:rsid w:val="0042564F"/>
    <w:rsid w:val="00426A71"/>
    <w:rsid w:val="004312F4"/>
    <w:rsid w:val="0043167A"/>
    <w:rsid w:val="0043247A"/>
    <w:rsid w:val="00432664"/>
    <w:rsid w:val="00433801"/>
    <w:rsid w:val="004342DA"/>
    <w:rsid w:val="0043464C"/>
    <w:rsid w:val="00434DEA"/>
    <w:rsid w:val="00435C4A"/>
    <w:rsid w:val="00435D42"/>
    <w:rsid w:val="00436392"/>
    <w:rsid w:val="00436422"/>
    <w:rsid w:val="00441064"/>
    <w:rsid w:val="004410D9"/>
    <w:rsid w:val="00441B7A"/>
    <w:rsid w:val="0044244A"/>
    <w:rsid w:val="00442A6F"/>
    <w:rsid w:val="004434C1"/>
    <w:rsid w:val="004439EA"/>
    <w:rsid w:val="00443FC9"/>
    <w:rsid w:val="00445482"/>
    <w:rsid w:val="00445995"/>
    <w:rsid w:val="00445BB1"/>
    <w:rsid w:val="00450972"/>
    <w:rsid w:val="004527E2"/>
    <w:rsid w:val="00453F60"/>
    <w:rsid w:val="0045458E"/>
    <w:rsid w:val="00457FC3"/>
    <w:rsid w:val="004608B9"/>
    <w:rsid w:val="0046105E"/>
    <w:rsid w:val="00461D82"/>
    <w:rsid w:val="00462CDF"/>
    <w:rsid w:val="00463C57"/>
    <w:rsid w:val="0046687A"/>
    <w:rsid w:val="004678E8"/>
    <w:rsid w:val="0047095B"/>
    <w:rsid w:val="004710C7"/>
    <w:rsid w:val="00472E4A"/>
    <w:rsid w:val="00473079"/>
    <w:rsid w:val="0047420D"/>
    <w:rsid w:val="00475FDB"/>
    <w:rsid w:val="004763FB"/>
    <w:rsid w:val="004768E1"/>
    <w:rsid w:val="00477C54"/>
    <w:rsid w:val="00481E04"/>
    <w:rsid w:val="00482C64"/>
    <w:rsid w:val="00483413"/>
    <w:rsid w:val="00484235"/>
    <w:rsid w:val="00484AD0"/>
    <w:rsid w:val="00484DBB"/>
    <w:rsid w:val="00485F54"/>
    <w:rsid w:val="00485FD1"/>
    <w:rsid w:val="0048610E"/>
    <w:rsid w:val="00486BFE"/>
    <w:rsid w:val="00486EF6"/>
    <w:rsid w:val="00487C24"/>
    <w:rsid w:val="0049003A"/>
    <w:rsid w:val="0049009C"/>
    <w:rsid w:val="00492744"/>
    <w:rsid w:val="00492E92"/>
    <w:rsid w:val="00492F59"/>
    <w:rsid w:val="00497B46"/>
    <w:rsid w:val="004A08C6"/>
    <w:rsid w:val="004A0D67"/>
    <w:rsid w:val="004A112A"/>
    <w:rsid w:val="004A16E4"/>
    <w:rsid w:val="004A288E"/>
    <w:rsid w:val="004A28B2"/>
    <w:rsid w:val="004A478F"/>
    <w:rsid w:val="004A5607"/>
    <w:rsid w:val="004A5DA0"/>
    <w:rsid w:val="004B3CA6"/>
    <w:rsid w:val="004B41AC"/>
    <w:rsid w:val="004B6394"/>
    <w:rsid w:val="004B6D2E"/>
    <w:rsid w:val="004B7854"/>
    <w:rsid w:val="004C071F"/>
    <w:rsid w:val="004C0C5D"/>
    <w:rsid w:val="004C0CEC"/>
    <w:rsid w:val="004C108E"/>
    <w:rsid w:val="004C2893"/>
    <w:rsid w:val="004C29AC"/>
    <w:rsid w:val="004C37CA"/>
    <w:rsid w:val="004C3B60"/>
    <w:rsid w:val="004C4427"/>
    <w:rsid w:val="004C6274"/>
    <w:rsid w:val="004C62AA"/>
    <w:rsid w:val="004D0D90"/>
    <w:rsid w:val="004D0F6D"/>
    <w:rsid w:val="004D1087"/>
    <w:rsid w:val="004D1AE4"/>
    <w:rsid w:val="004D1B4D"/>
    <w:rsid w:val="004D27D0"/>
    <w:rsid w:val="004D3192"/>
    <w:rsid w:val="004D53C2"/>
    <w:rsid w:val="004D5464"/>
    <w:rsid w:val="004D5E5D"/>
    <w:rsid w:val="004D60D9"/>
    <w:rsid w:val="004D7635"/>
    <w:rsid w:val="004D7A5D"/>
    <w:rsid w:val="004E0B7F"/>
    <w:rsid w:val="004E15F6"/>
    <w:rsid w:val="004E18FA"/>
    <w:rsid w:val="004E1C4B"/>
    <w:rsid w:val="004E2158"/>
    <w:rsid w:val="004E2164"/>
    <w:rsid w:val="004E254D"/>
    <w:rsid w:val="004E3B04"/>
    <w:rsid w:val="004E4607"/>
    <w:rsid w:val="004E4EE4"/>
    <w:rsid w:val="004E5941"/>
    <w:rsid w:val="004E668F"/>
    <w:rsid w:val="004E7511"/>
    <w:rsid w:val="004F0EDA"/>
    <w:rsid w:val="004F122F"/>
    <w:rsid w:val="004F1394"/>
    <w:rsid w:val="004F21E1"/>
    <w:rsid w:val="004F34EF"/>
    <w:rsid w:val="004F3F88"/>
    <w:rsid w:val="004F45F6"/>
    <w:rsid w:val="004F47D1"/>
    <w:rsid w:val="004F4E05"/>
    <w:rsid w:val="004F590C"/>
    <w:rsid w:val="004F6466"/>
    <w:rsid w:val="004F6682"/>
    <w:rsid w:val="004F6F93"/>
    <w:rsid w:val="005001D9"/>
    <w:rsid w:val="0050055C"/>
    <w:rsid w:val="00501140"/>
    <w:rsid w:val="00503493"/>
    <w:rsid w:val="00503926"/>
    <w:rsid w:val="0050514C"/>
    <w:rsid w:val="00505AC7"/>
    <w:rsid w:val="00506D5D"/>
    <w:rsid w:val="0050740A"/>
    <w:rsid w:val="0051119D"/>
    <w:rsid w:val="00512064"/>
    <w:rsid w:val="0051273E"/>
    <w:rsid w:val="00512BB6"/>
    <w:rsid w:val="00513C4F"/>
    <w:rsid w:val="00514437"/>
    <w:rsid w:val="00514A8B"/>
    <w:rsid w:val="00515655"/>
    <w:rsid w:val="00515F25"/>
    <w:rsid w:val="00516C84"/>
    <w:rsid w:val="00517685"/>
    <w:rsid w:val="00520576"/>
    <w:rsid w:val="00520940"/>
    <w:rsid w:val="00521274"/>
    <w:rsid w:val="00521329"/>
    <w:rsid w:val="005239C7"/>
    <w:rsid w:val="00524198"/>
    <w:rsid w:val="005241B3"/>
    <w:rsid w:val="00524875"/>
    <w:rsid w:val="00524952"/>
    <w:rsid w:val="005255FE"/>
    <w:rsid w:val="005270F0"/>
    <w:rsid w:val="00527824"/>
    <w:rsid w:val="005313DD"/>
    <w:rsid w:val="00531B40"/>
    <w:rsid w:val="00531CB4"/>
    <w:rsid w:val="00532909"/>
    <w:rsid w:val="00533CBD"/>
    <w:rsid w:val="005348E9"/>
    <w:rsid w:val="00535E21"/>
    <w:rsid w:val="00536D99"/>
    <w:rsid w:val="00537036"/>
    <w:rsid w:val="00537627"/>
    <w:rsid w:val="00537845"/>
    <w:rsid w:val="00540980"/>
    <w:rsid w:val="00540B84"/>
    <w:rsid w:val="00543B96"/>
    <w:rsid w:val="00543EBF"/>
    <w:rsid w:val="0054694B"/>
    <w:rsid w:val="00554AB8"/>
    <w:rsid w:val="00554B75"/>
    <w:rsid w:val="00555174"/>
    <w:rsid w:val="00555C1F"/>
    <w:rsid w:val="005568B3"/>
    <w:rsid w:val="005577E2"/>
    <w:rsid w:val="00557FB8"/>
    <w:rsid w:val="00560A5E"/>
    <w:rsid w:val="00561099"/>
    <w:rsid w:val="0056157A"/>
    <w:rsid w:val="00562056"/>
    <w:rsid w:val="00564BDB"/>
    <w:rsid w:val="00567836"/>
    <w:rsid w:val="00567F5E"/>
    <w:rsid w:val="00570A4A"/>
    <w:rsid w:val="00571DCC"/>
    <w:rsid w:val="00573315"/>
    <w:rsid w:val="00573504"/>
    <w:rsid w:val="00574B6A"/>
    <w:rsid w:val="00574D12"/>
    <w:rsid w:val="00575771"/>
    <w:rsid w:val="005759CB"/>
    <w:rsid w:val="00575EF0"/>
    <w:rsid w:val="00576752"/>
    <w:rsid w:val="005767B1"/>
    <w:rsid w:val="00576E7E"/>
    <w:rsid w:val="0057797D"/>
    <w:rsid w:val="00580C56"/>
    <w:rsid w:val="0058231B"/>
    <w:rsid w:val="00582356"/>
    <w:rsid w:val="005828AB"/>
    <w:rsid w:val="005836F9"/>
    <w:rsid w:val="00583C1E"/>
    <w:rsid w:val="00584EA6"/>
    <w:rsid w:val="005856D4"/>
    <w:rsid w:val="00585F3D"/>
    <w:rsid w:val="00585F8E"/>
    <w:rsid w:val="00586179"/>
    <w:rsid w:val="00586B31"/>
    <w:rsid w:val="00593051"/>
    <w:rsid w:val="00595108"/>
    <w:rsid w:val="00595C74"/>
    <w:rsid w:val="00596ACC"/>
    <w:rsid w:val="00597331"/>
    <w:rsid w:val="005A0E10"/>
    <w:rsid w:val="005A1A21"/>
    <w:rsid w:val="005A2E90"/>
    <w:rsid w:val="005A34BB"/>
    <w:rsid w:val="005A34C5"/>
    <w:rsid w:val="005A352D"/>
    <w:rsid w:val="005A36C2"/>
    <w:rsid w:val="005A39EB"/>
    <w:rsid w:val="005A4D39"/>
    <w:rsid w:val="005A5151"/>
    <w:rsid w:val="005A597C"/>
    <w:rsid w:val="005A6205"/>
    <w:rsid w:val="005A66D5"/>
    <w:rsid w:val="005A782B"/>
    <w:rsid w:val="005B269F"/>
    <w:rsid w:val="005B4D73"/>
    <w:rsid w:val="005B4E85"/>
    <w:rsid w:val="005B5C91"/>
    <w:rsid w:val="005B60E1"/>
    <w:rsid w:val="005B71B5"/>
    <w:rsid w:val="005C0A29"/>
    <w:rsid w:val="005C1E12"/>
    <w:rsid w:val="005C24D7"/>
    <w:rsid w:val="005C2C6B"/>
    <w:rsid w:val="005C3706"/>
    <w:rsid w:val="005C3A77"/>
    <w:rsid w:val="005C400E"/>
    <w:rsid w:val="005C5287"/>
    <w:rsid w:val="005C6518"/>
    <w:rsid w:val="005C7ED5"/>
    <w:rsid w:val="005D1327"/>
    <w:rsid w:val="005D1D71"/>
    <w:rsid w:val="005D29BB"/>
    <w:rsid w:val="005D312B"/>
    <w:rsid w:val="005D5413"/>
    <w:rsid w:val="005E06E6"/>
    <w:rsid w:val="005E1E99"/>
    <w:rsid w:val="005E3449"/>
    <w:rsid w:val="005E50AA"/>
    <w:rsid w:val="005E55A8"/>
    <w:rsid w:val="005E5626"/>
    <w:rsid w:val="005E5E70"/>
    <w:rsid w:val="005E6900"/>
    <w:rsid w:val="005E6DA7"/>
    <w:rsid w:val="005E72B5"/>
    <w:rsid w:val="005E78F8"/>
    <w:rsid w:val="005F0B27"/>
    <w:rsid w:val="005F0B95"/>
    <w:rsid w:val="005F1646"/>
    <w:rsid w:val="005F2C85"/>
    <w:rsid w:val="005F3892"/>
    <w:rsid w:val="005F511A"/>
    <w:rsid w:val="005F76C2"/>
    <w:rsid w:val="00602B55"/>
    <w:rsid w:val="00602D96"/>
    <w:rsid w:val="00602F39"/>
    <w:rsid w:val="00603282"/>
    <w:rsid w:val="00603C27"/>
    <w:rsid w:val="0060492E"/>
    <w:rsid w:val="0060537A"/>
    <w:rsid w:val="0060607A"/>
    <w:rsid w:val="0060646D"/>
    <w:rsid w:val="00611BD2"/>
    <w:rsid w:val="00611DE8"/>
    <w:rsid w:val="00612ED9"/>
    <w:rsid w:val="0061356E"/>
    <w:rsid w:val="00614FA2"/>
    <w:rsid w:val="006151DA"/>
    <w:rsid w:val="00616AFB"/>
    <w:rsid w:val="00616E52"/>
    <w:rsid w:val="00617C90"/>
    <w:rsid w:val="00617C9A"/>
    <w:rsid w:val="00617F22"/>
    <w:rsid w:val="00617F5B"/>
    <w:rsid w:val="006212A0"/>
    <w:rsid w:val="006213E1"/>
    <w:rsid w:val="0062152C"/>
    <w:rsid w:val="006216DF"/>
    <w:rsid w:val="006217A6"/>
    <w:rsid w:val="0062189F"/>
    <w:rsid w:val="00621FEB"/>
    <w:rsid w:val="0062362B"/>
    <w:rsid w:val="006240D9"/>
    <w:rsid w:val="006245CF"/>
    <w:rsid w:val="00627985"/>
    <w:rsid w:val="006305ED"/>
    <w:rsid w:val="00632A33"/>
    <w:rsid w:val="00632F3A"/>
    <w:rsid w:val="00633507"/>
    <w:rsid w:val="00633DB7"/>
    <w:rsid w:val="006355C0"/>
    <w:rsid w:val="00635F9B"/>
    <w:rsid w:val="00637701"/>
    <w:rsid w:val="006379B1"/>
    <w:rsid w:val="00640BB3"/>
    <w:rsid w:val="00642732"/>
    <w:rsid w:val="006433F5"/>
    <w:rsid w:val="00646202"/>
    <w:rsid w:val="00647679"/>
    <w:rsid w:val="00647D8E"/>
    <w:rsid w:val="0065003B"/>
    <w:rsid w:val="0065008A"/>
    <w:rsid w:val="00650A67"/>
    <w:rsid w:val="00650B00"/>
    <w:rsid w:val="0065140A"/>
    <w:rsid w:val="0065287E"/>
    <w:rsid w:val="006544B3"/>
    <w:rsid w:val="00655F40"/>
    <w:rsid w:val="00660799"/>
    <w:rsid w:val="0066115A"/>
    <w:rsid w:val="0066248E"/>
    <w:rsid w:val="0066252B"/>
    <w:rsid w:val="00663366"/>
    <w:rsid w:val="00664E02"/>
    <w:rsid w:val="00665270"/>
    <w:rsid w:val="0066738F"/>
    <w:rsid w:val="00667ABB"/>
    <w:rsid w:val="00670412"/>
    <w:rsid w:val="006711E0"/>
    <w:rsid w:val="00672524"/>
    <w:rsid w:val="00672C57"/>
    <w:rsid w:val="00672EF3"/>
    <w:rsid w:val="006732D5"/>
    <w:rsid w:val="00673570"/>
    <w:rsid w:val="00673A22"/>
    <w:rsid w:val="00674084"/>
    <w:rsid w:val="0067424C"/>
    <w:rsid w:val="00674C5D"/>
    <w:rsid w:val="006752D1"/>
    <w:rsid w:val="00675DB9"/>
    <w:rsid w:val="0067614F"/>
    <w:rsid w:val="00676ECD"/>
    <w:rsid w:val="00677539"/>
    <w:rsid w:val="00681211"/>
    <w:rsid w:val="00683812"/>
    <w:rsid w:val="006848B9"/>
    <w:rsid w:val="00685BE1"/>
    <w:rsid w:val="00685DFA"/>
    <w:rsid w:val="0068617F"/>
    <w:rsid w:val="006861D8"/>
    <w:rsid w:val="006902C9"/>
    <w:rsid w:val="00690D89"/>
    <w:rsid w:val="00693714"/>
    <w:rsid w:val="006948ED"/>
    <w:rsid w:val="00694A06"/>
    <w:rsid w:val="00696229"/>
    <w:rsid w:val="006A0337"/>
    <w:rsid w:val="006A0606"/>
    <w:rsid w:val="006A0F42"/>
    <w:rsid w:val="006A48D9"/>
    <w:rsid w:val="006A642D"/>
    <w:rsid w:val="006B243B"/>
    <w:rsid w:val="006B32AA"/>
    <w:rsid w:val="006B384B"/>
    <w:rsid w:val="006B6032"/>
    <w:rsid w:val="006B67D0"/>
    <w:rsid w:val="006B7174"/>
    <w:rsid w:val="006B73AF"/>
    <w:rsid w:val="006C1B3B"/>
    <w:rsid w:val="006C2A10"/>
    <w:rsid w:val="006C379D"/>
    <w:rsid w:val="006C4EDF"/>
    <w:rsid w:val="006C685D"/>
    <w:rsid w:val="006C74BC"/>
    <w:rsid w:val="006D0531"/>
    <w:rsid w:val="006D05AC"/>
    <w:rsid w:val="006D05BE"/>
    <w:rsid w:val="006D4653"/>
    <w:rsid w:val="006D7256"/>
    <w:rsid w:val="006E0522"/>
    <w:rsid w:val="006E0588"/>
    <w:rsid w:val="006E0780"/>
    <w:rsid w:val="006E1673"/>
    <w:rsid w:val="006E19F0"/>
    <w:rsid w:val="006E22A0"/>
    <w:rsid w:val="006E3345"/>
    <w:rsid w:val="006E3B8E"/>
    <w:rsid w:val="006E3EE8"/>
    <w:rsid w:val="006E4331"/>
    <w:rsid w:val="006E4CAD"/>
    <w:rsid w:val="006E5148"/>
    <w:rsid w:val="006E51BC"/>
    <w:rsid w:val="006E6083"/>
    <w:rsid w:val="006E632C"/>
    <w:rsid w:val="006E6E2E"/>
    <w:rsid w:val="006F0A78"/>
    <w:rsid w:val="006F0C50"/>
    <w:rsid w:val="006F1E31"/>
    <w:rsid w:val="006F2366"/>
    <w:rsid w:val="006F242E"/>
    <w:rsid w:val="006F283E"/>
    <w:rsid w:val="006F2DB2"/>
    <w:rsid w:val="006F30F8"/>
    <w:rsid w:val="006F3718"/>
    <w:rsid w:val="006F4E61"/>
    <w:rsid w:val="006F5352"/>
    <w:rsid w:val="006F5A1E"/>
    <w:rsid w:val="006F5D90"/>
    <w:rsid w:val="006F5E2D"/>
    <w:rsid w:val="0070096A"/>
    <w:rsid w:val="00700F26"/>
    <w:rsid w:val="0070129D"/>
    <w:rsid w:val="00701EE2"/>
    <w:rsid w:val="007024F1"/>
    <w:rsid w:val="00703371"/>
    <w:rsid w:val="007037F9"/>
    <w:rsid w:val="00703A09"/>
    <w:rsid w:val="00703D2C"/>
    <w:rsid w:val="00703E04"/>
    <w:rsid w:val="00704613"/>
    <w:rsid w:val="007048E7"/>
    <w:rsid w:val="00705172"/>
    <w:rsid w:val="00705188"/>
    <w:rsid w:val="00705C95"/>
    <w:rsid w:val="007076E6"/>
    <w:rsid w:val="00707B3E"/>
    <w:rsid w:val="00710A21"/>
    <w:rsid w:val="00711F8D"/>
    <w:rsid w:val="007133F7"/>
    <w:rsid w:val="007136BA"/>
    <w:rsid w:val="00714A8B"/>
    <w:rsid w:val="00714AEE"/>
    <w:rsid w:val="007150E9"/>
    <w:rsid w:val="00715460"/>
    <w:rsid w:val="0071673D"/>
    <w:rsid w:val="007167F7"/>
    <w:rsid w:val="007218BD"/>
    <w:rsid w:val="00721A4F"/>
    <w:rsid w:val="00721C41"/>
    <w:rsid w:val="00723C8B"/>
    <w:rsid w:val="007243B8"/>
    <w:rsid w:val="007250CD"/>
    <w:rsid w:val="007257DD"/>
    <w:rsid w:val="00726255"/>
    <w:rsid w:val="007273B8"/>
    <w:rsid w:val="007318E9"/>
    <w:rsid w:val="0073390D"/>
    <w:rsid w:val="00733E5C"/>
    <w:rsid w:val="007346AC"/>
    <w:rsid w:val="00734C45"/>
    <w:rsid w:val="00737AC7"/>
    <w:rsid w:val="007406D6"/>
    <w:rsid w:val="00741A13"/>
    <w:rsid w:val="00742352"/>
    <w:rsid w:val="00742D6C"/>
    <w:rsid w:val="00744CC2"/>
    <w:rsid w:val="007451FB"/>
    <w:rsid w:val="00745372"/>
    <w:rsid w:val="00745D69"/>
    <w:rsid w:val="007461EC"/>
    <w:rsid w:val="007470D8"/>
    <w:rsid w:val="007474BC"/>
    <w:rsid w:val="00747A12"/>
    <w:rsid w:val="0075016D"/>
    <w:rsid w:val="00750948"/>
    <w:rsid w:val="007518FC"/>
    <w:rsid w:val="00752F72"/>
    <w:rsid w:val="00754F8F"/>
    <w:rsid w:val="00755BF5"/>
    <w:rsid w:val="00756213"/>
    <w:rsid w:val="00757098"/>
    <w:rsid w:val="00757B7A"/>
    <w:rsid w:val="0076011F"/>
    <w:rsid w:val="007602F7"/>
    <w:rsid w:val="007603A1"/>
    <w:rsid w:val="00761569"/>
    <w:rsid w:val="00761B42"/>
    <w:rsid w:val="007621B3"/>
    <w:rsid w:val="00762719"/>
    <w:rsid w:val="0076310D"/>
    <w:rsid w:val="007638B0"/>
    <w:rsid w:val="007647EC"/>
    <w:rsid w:val="00764E15"/>
    <w:rsid w:val="0076569D"/>
    <w:rsid w:val="00765B24"/>
    <w:rsid w:val="007660E7"/>
    <w:rsid w:val="0076691C"/>
    <w:rsid w:val="007707E1"/>
    <w:rsid w:val="0077212F"/>
    <w:rsid w:val="00772305"/>
    <w:rsid w:val="007728A4"/>
    <w:rsid w:val="007751EE"/>
    <w:rsid w:val="007759DF"/>
    <w:rsid w:val="007801DB"/>
    <w:rsid w:val="00781576"/>
    <w:rsid w:val="00781894"/>
    <w:rsid w:val="00781E15"/>
    <w:rsid w:val="00783A77"/>
    <w:rsid w:val="00783EE7"/>
    <w:rsid w:val="00784814"/>
    <w:rsid w:val="00785423"/>
    <w:rsid w:val="00785860"/>
    <w:rsid w:val="00785CA4"/>
    <w:rsid w:val="0078790B"/>
    <w:rsid w:val="00790D37"/>
    <w:rsid w:val="00791C38"/>
    <w:rsid w:val="0079213B"/>
    <w:rsid w:val="00792B4E"/>
    <w:rsid w:val="00792DA2"/>
    <w:rsid w:val="00793330"/>
    <w:rsid w:val="00793509"/>
    <w:rsid w:val="007937E0"/>
    <w:rsid w:val="00794773"/>
    <w:rsid w:val="007951DB"/>
    <w:rsid w:val="00796329"/>
    <w:rsid w:val="007965AE"/>
    <w:rsid w:val="007A0FEE"/>
    <w:rsid w:val="007A1005"/>
    <w:rsid w:val="007A1D81"/>
    <w:rsid w:val="007A2C21"/>
    <w:rsid w:val="007A319F"/>
    <w:rsid w:val="007A391A"/>
    <w:rsid w:val="007A5B97"/>
    <w:rsid w:val="007A5CA9"/>
    <w:rsid w:val="007A68A1"/>
    <w:rsid w:val="007A6FF5"/>
    <w:rsid w:val="007B0AB4"/>
    <w:rsid w:val="007B143A"/>
    <w:rsid w:val="007B14E4"/>
    <w:rsid w:val="007B33CD"/>
    <w:rsid w:val="007B4B79"/>
    <w:rsid w:val="007B5F79"/>
    <w:rsid w:val="007B7E3E"/>
    <w:rsid w:val="007C0314"/>
    <w:rsid w:val="007C3824"/>
    <w:rsid w:val="007C3BC7"/>
    <w:rsid w:val="007C45EE"/>
    <w:rsid w:val="007C573B"/>
    <w:rsid w:val="007C5F32"/>
    <w:rsid w:val="007C66A5"/>
    <w:rsid w:val="007C7F7E"/>
    <w:rsid w:val="007D0194"/>
    <w:rsid w:val="007D0CE0"/>
    <w:rsid w:val="007D103C"/>
    <w:rsid w:val="007D1599"/>
    <w:rsid w:val="007D26A1"/>
    <w:rsid w:val="007D29B3"/>
    <w:rsid w:val="007D36F1"/>
    <w:rsid w:val="007D3E48"/>
    <w:rsid w:val="007D4CC9"/>
    <w:rsid w:val="007D6113"/>
    <w:rsid w:val="007E0BB8"/>
    <w:rsid w:val="007E17DC"/>
    <w:rsid w:val="007E2EAF"/>
    <w:rsid w:val="007E465A"/>
    <w:rsid w:val="007E4DBD"/>
    <w:rsid w:val="007E5865"/>
    <w:rsid w:val="007E696E"/>
    <w:rsid w:val="007E784E"/>
    <w:rsid w:val="007F0810"/>
    <w:rsid w:val="007F145C"/>
    <w:rsid w:val="007F29BA"/>
    <w:rsid w:val="007F3C31"/>
    <w:rsid w:val="00801314"/>
    <w:rsid w:val="00802477"/>
    <w:rsid w:val="0080319C"/>
    <w:rsid w:val="008042C3"/>
    <w:rsid w:val="00804C19"/>
    <w:rsid w:val="00805B58"/>
    <w:rsid w:val="008070ED"/>
    <w:rsid w:val="0080790D"/>
    <w:rsid w:val="008111E3"/>
    <w:rsid w:val="00812FE1"/>
    <w:rsid w:val="00813F85"/>
    <w:rsid w:val="00814571"/>
    <w:rsid w:val="00814E11"/>
    <w:rsid w:val="00815C63"/>
    <w:rsid w:val="00816733"/>
    <w:rsid w:val="00820760"/>
    <w:rsid w:val="00821A70"/>
    <w:rsid w:val="00821B44"/>
    <w:rsid w:val="00821F86"/>
    <w:rsid w:val="00822145"/>
    <w:rsid w:val="008230F8"/>
    <w:rsid w:val="0082337F"/>
    <w:rsid w:val="008234F4"/>
    <w:rsid w:val="00824091"/>
    <w:rsid w:val="00824165"/>
    <w:rsid w:val="00824196"/>
    <w:rsid w:val="008256AE"/>
    <w:rsid w:val="008263B5"/>
    <w:rsid w:val="00827AC3"/>
    <w:rsid w:val="0083033A"/>
    <w:rsid w:val="008314EE"/>
    <w:rsid w:val="00831912"/>
    <w:rsid w:val="00833E50"/>
    <w:rsid w:val="00834243"/>
    <w:rsid w:val="008349CA"/>
    <w:rsid w:val="00835B35"/>
    <w:rsid w:val="00835E68"/>
    <w:rsid w:val="00836B17"/>
    <w:rsid w:val="0083716F"/>
    <w:rsid w:val="008371D3"/>
    <w:rsid w:val="00837967"/>
    <w:rsid w:val="008401C4"/>
    <w:rsid w:val="008417D8"/>
    <w:rsid w:val="00844239"/>
    <w:rsid w:val="00844672"/>
    <w:rsid w:val="00845219"/>
    <w:rsid w:val="00845AF8"/>
    <w:rsid w:val="00846246"/>
    <w:rsid w:val="00847594"/>
    <w:rsid w:val="008477FC"/>
    <w:rsid w:val="0085135F"/>
    <w:rsid w:val="00852FA5"/>
    <w:rsid w:val="00853EE6"/>
    <w:rsid w:val="00854D8D"/>
    <w:rsid w:val="00855CE3"/>
    <w:rsid w:val="008560FF"/>
    <w:rsid w:val="00856904"/>
    <w:rsid w:val="00856F45"/>
    <w:rsid w:val="00860A91"/>
    <w:rsid w:val="00861131"/>
    <w:rsid w:val="00861B5E"/>
    <w:rsid w:val="00861BAB"/>
    <w:rsid w:val="00861E62"/>
    <w:rsid w:val="00861EC1"/>
    <w:rsid w:val="0086249B"/>
    <w:rsid w:val="008633F9"/>
    <w:rsid w:val="008639A7"/>
    <w:rsid w:val="00863E91"/>
    <w:rsid w:val="008642E6"/>
    <w:rsid w:val="008644C8"/>
    <w:rsid w:val="00865EA6"/>
    <w:rsid w:val="00866A8E"/>
    <w:rsid w:val="00867F17"/>
    <w:rsid w:val="008710EF"/>
    <w:rsid w:val="008713C3"/>
    <w:rsid w:val="00871ABD"/>
    <w:rsid w:val="00873A34"/>
    <w:rsid w:val="00873A38"/>
    <w:rsid w:val="00874850"/>
    <w:rsid w:val="00875982"/>
    <w:rsid w:val="0087623A"/>
    <w:rsid w:val="0087773E"/>
    <w:rsid w:val="00877749"/>
    <w:rsid w:val="00881EB4"/>
    <w:rsid w:val="00882626"/>
    <w:rsid w:val="00882F7F"/>
    <w:rsid w:val="008831C1"/>
    <w:rsid w:val="008835C1"/>
    <w:rsid w:val="008847D1"/>
    <w:rsid w:val="008849A1"/>
    <w:rsid w:val="0088509E"/>
    <w:rsid w:val="00885FC1"/>
    <w:rsid w:val="008869E7"/>
    <w:rsid w:val="0088711F"/>
    <w:rsid w:val="00892250"/>
    <w:rsid w:val="00893C3F"/>
    <w:rsid w:val="00896904"/>
    <w:rsid w:val="00896AEA"/>
    <w:rsid w:val="00896C78"/>
    <w:rsid w:val="00896FF0"/>
    <w:rsid w:val="008974B5"/>
    <w:rsid w:val="00897EFB"/>
    <w:rsid w:val="008A055E"/>
    <w:rsid w:val="008A0A8B"/>
    <w:rsid w:val="008A2485"/>
    <w:rsid w:val="008A60B4"/>
    <w:rsid w:val="008A67D8"/>
    <w:rsid w:val="008A6845"/>
    <w:rsid w:val="008A70F9"/>
    <w:rsid w:val="008A7B6F"/>
    <w:rsid w:val="008B252F"/>
    <w:rsid w:val="008B2DAC"/>
    <w:rsid w:val="008B355F"/>
    <w:rsid w:val="008B5281"/>
    <w:rsid w:val="008B5D99"/>
    <w:rsid w:val="008B6577"/>
    <w:rsid w:val="008C0CB7"/>
    <w:rsid w:val="008C10F6"/>
    <w:rsid w:val="008C1214"/>
    <w:rsid w:val="008C3DCC"/>
    <w:rsid w:val="008C4791"/>
    <w:rsid w:val="008C5A3A"/>
    <w:rsid w:val="008C5A3F"/>
    <w:rsid w:val="008C5E01"/>
    <w:rsid w:val="008C5EAC"/>
    <w:rsid w:val="008C600C"/>
    <w:rsid w:val="008C65E1"/>
    <w:rsid w:val="008C7D5C"/>
    <w:rsid w:val="008D0D0C"/>
    <w:rsid w:val="008D16E0"/>
    <w:rsid w:val="008D4186"/>
    <w:rsid w:val="008D5763"/>
    <w:rsid w:val="008E0184"/>
    <w:rsid w:val="008E1923"/>
    <w:rsid w:val="008E1C90"/>
    <w:rsid w:val="008E4BD5"/>
    <w:rsid w:val="008E6658"/>
    <w:rsid w:val="008E668E"/>
    <w:rsid w:val="008E6897"/>
    <w:rsid w:val="008E6BAB"/>
    <w:rsid w:val="008E715E"/>
    <w:rsid w:val="008E71DB"/>
    <w:rsid w:val="008E74A0"/>
    <w:rsid w:val="008E778C"/>
    <w:rsid w:val="008E7A07"/>
    <w:rsid w:val="008F1120"/>
    <w:rsid w:val="008F2C7E"/>
    <w:rsid w:val="008F4C7B"/>
    <w:rsid w:val="008F4E3E"/>
    <w:rsid w:val="008F50A3"/>
    <w:rsid w:val="008F6330"/>
    <w:rsid w:val="008F68D8"/>
    <w:rsid w:val="008F7842"/>
    <w:rsid w:val="008F78ED"/>
    <w:rsid w:val="008F7E5A"/>
    <w:rsid w:val="009005C7"/>
    <w:rsid w:val="00901B37"/>
    <w:rsid w:val="00902065"/>
    <w:rsid w:val="00902928"/>
    <w:rsid w:val="00903321"/>
    <w:rsid w:val="00905351"/>
    <w:rsid w:val="00905C92"/>
    <w:rsid w:val="009063E4"/>
    <w:rsid w:val="00906B84"/>
    <w:rsid w:val="009072E5"/>
    <w:rsid w:val="00907C48"/>
    <w:rsid w:val="00910051"/>
    <w:rsid w:val="0091090A"/>
    <w:rsid w:val="00910F7B"/>
    <w:rsid w:val="00912026"/>
    <w:rsid w:val="009129E3"/>
    <w:rsid w:val="009146AF"/>
    <w:rsid w:val="00914C26"/>
    <w:rsid w:val="00915457"/>
    <w:rsid w:val="00915978"/>
    <w:rsid w:val="00915BFC"/>
    <w:rsid w:val="00916232"/>
    <w:rsid w:val="00916EC0"/>
    <w:rsid w:val="009174F3"/>
    <w:rsid w:val="00917628"/>
    <w:rsid w:val="00917A45"/>
    <w:rsid w:val="00917A64"/>
    <w:rsid w:val="009203B1"/>
    <w:rsid w:val="009277B0"/>
    <w:rsid w:val="00931AC9"/>
    <w:rsid w:val="009322C8"/>
    <w:rsid w:val="00932901"/>
    <w:rsid w:val="00933436"/>
    <w:rsid w:val="009339B3"/>
    <w:rsid w:val="00933DA2"/>
    <w:rsid w:val="009347FD"/>
    <w:rsid w:val="00934AF0"/>
    <w:rsid w:val="00937112"/>
    <w:rsid w:val="00937197"/>
    <w:rsid w:val="0093738E"/>
    <w:rsid w:val="00940156"/>
    <w:rsid w:val="009407E6"/>
    <w:rsid w:val="00943F1F"/>
    <w:rsid w:val="0094565D"/>
    <w:rsid w:val="0094599E"/>
    <w:rsid w:val="00946FA7"/>
    <w:rsid w:val="00947205"/>
    <w:rsid w:val="00947A34"/>
    <w:rsid w:val="00947BDC"/>
    <w:rsid w:val="00950DC6"/>
    <w:rsid w:val="00952309"/>
    <w:rsid w:val="00953893"/>
    <w:rsid w:val="00953906"/>
    <w:rsid w:val="009542CD"/>
    <w:rsid w:val="00954400"/>
    <w:rsid w:val="00955011"/>
    <w:rsid w:val="009568D6"/>
    <w:rsid w:val="00956A7E"/>
    <w:rsid w:val="0096122D"/>
    <w:rsid w:val="0096164A"/>
    <w:rsid w:val="0096245E"/>
    <w:rsid w:val="00962D8D"/>
    <w:rsid w:val="00964359"/>
    <w:rsid w:val="00964796"/>
    <w:rsid w:val="009653FA"/>
    <w:rsid w:val="0096633A"/>
    <w:rsid w:val="0096708C"/>
    <w:rsid w:val="009671E5"/>
    <w:rsid w:val="009674A7"/>
    <w:rsid w:val="00967F31"/>
    <w:rsid w:val="00970212"/>
    <w:rsid w:val="009716E9"/>
    <w:rsid w:val="009723D3"/>
    <w:rsid w:val="0097348F"/>
    <w:rsid w:val="00973CC3"/>
    <w:rsid w:val="00977FA1"/>
    <w:rsid w:val="00983B71"/>
    <w:rsid w:val="00984051"/>
    <w:rsid w:val="00985151"/>
    <w:rsid w:val="00985C05"/>
    <w:rsid w:val="0098658D"/>
    <w:rsid w:val="00987874"/>
    <w:rsid w:val="00987C76"/>
    <w:rsid w:val="0099041E"/>
    <w:rsid w:val="0099066F"/>
    <w:rsid w:val="00990AD5"/>
    <w:rsid w:val="00992B7B"/>
    <w:rsid w:val="009946E5"/>
    <w:rsid w:val="009954B4"/>
    <w:rsid w:val="00995F0F"/>
    <w:rsid w:val="00995FD6"/>
    <w:rsid w:val="00997186"/>
    <w:rsid w:val="009974CB"/>
    <w:rsid w:val="009A1063"/>
    <w:rsid w:val="009A1BFA"/>
    <w:rsid w:val="009A3556"/>
    <w:rsid w:val="009A730E"/>
    <w:rsid w:val="009A7917"/>
    <w:rsid w:val="009A7F92"/>
    <w:rsid w:val="009B045A"/>
    <w:rsid w:val="009B11E9"/>
    <w:rsid w:val="009B24AB"/>
    <w:rsid w:val="009B7E32"/>
    <w:rsid w:val="009C19D5"/>
    <w:rsid w:val="009C1D4D"/>
    <w:rsid w:val="009C2C9C"/>
    <w:rsid w:val="009C4285"/>
    <w:rsid w:val="009C5702"/>
    <w:rsid w:val="009C6E9F"/>
    <w:rsid w:val="009C7982"/>
    <w:rsid w:val="009C7F84"/>
    <w:rsid w:val="009D2DDC"/>
    <w:rsid w:val="009D3DFF"/>
    <w:rsid w:val="009D457E"/>
    <w:rsid w:val="009D4698"/>
    <w:rsid w:val="009D68CC"/>
    <w:rsid w:val="009D6E2D"/>
    <w:rsid w:val="009E01D8"/>
    <w:rsid w:val="009E2353"/>
    <w:rsid w:val="009E277C"/>
    <w:rsid w:val="009E2F7A"/>
    <w:rsid w:val="009E35B8"/>
    <w:rsid w:val="009E3CE8"/>
    <w:rsid w:val="009E4B0C"/>
    <w:rsid w:val="009F16B3"/>
    <w:rsid w:val="009F232E"/>
    <w:rsid w:val="009F2D71"/>
    <w:rsid w:val="009F4D0F"/>
    <w:rsid w:val="009F5467"/>
    <w:rsid w:val="009F6960"/>
    <w:rsid w:val="009F7F51"/>
    <w:rsid w:val="00A00290"/>
    <w:rsid w:val="00A00377"/>
    <w:rsid w:val="00A04494"/>
    <w:rsid w:val="00A05A9D"/>
    <w:rsid w:val="00A06271"/>
    <w:rsid w:val="00A0775A"/>
    <w:rsid w:val="00A11741"/>
    <w:rsid w:val="00A1189D"/>
    <w:rsid w:val="00A12B37"/>
    <w:rsid w:val="00A140C5"/>
    <w:rsid w:val="00A1478A"/>
    <w:rsid w:val="00A15FCD"/>
    <w:rsid w:val="00A170FD"/>
    <w:rsid w:val="00A208B5"/>
    <w:rsid w:val="00A21BFF"/>
    <w:rsid w:val="00A22271"/>
    <w:rsid w:val="00A231AB"/>
    <w:rsid w:val="00A238BC"/>
    <w:rsid w:val="00A25888"/>
    <w:rsid w:val="00A27605"/>
    <w:rsid w:val="00A27C42"/>
    <w:rsid w:val="00A3032D"/>
    <w:rsid w:val="00A30352"/>
    <w:rsid w:val="00A30CCF"/>
    <w:rsid w:val="00A32778"/>
    <w:rsid w:val="00A32F08"/>
    <w:rsid w:val="00A32F7D"/>
    <w:rsid w:val="00A334E0"/>
    <w:rsid w:val="00A33BEC"/>
    <w:rsid w:val="00A34805"/>
    <w:rsid w:val="00A34D2C"/>
    <w:rsid w:val="00A37A4C"/>
    <w:rsid w:val="00A40111"/>
    <w:rsid w:val="00A40200"/>
    <w:rsid w:val="00A40223"/>
    <w:rsid w:val="00A4105A"/>
    <w:rsid w:val="00A4110F"/>
    <w:rsid w:val="00A41219"/>
    <w:rsid w:val="00A412F0"/>
    <w:rsid w:val="00A45033"/>
    <w:rsid w:val="00A45534"/>
    <w:rsid w:val="00A46420"/>
    <w:rsid w:val="00A4671E"/>
    <w:rsid w:val="00A47127"/>
    <w:rsid w:val="00A50A9F"/>
    <w:rsid w:val="00A50AF7"/>
    <w:rsid w:val="00A520AC"/>
    <w:rsid w:val="00A5285E"/>
    <w:rsid w:val="00A529F4"/>
    <w:rsid w:val="00A52D7C"/>
    <w:rsid w:val="00A53DBF"/>
    <w:rsid w:val="00A557B4"/>
    <w:rsid w:val="00A55BD2"/>
    <w:rsid w:val="00A57C22"/>
    <w:rsid w:val="00A62122"/>
    <w:rsid w:val="00A621C1"/>
    <w:rsid w:val="00A629CD"/>
    <w:rsid w:val="00A6305A"/>
    <w:rsid w:val="00A63AF5"/>
    <w:rsid w:val="00A64708"/>
    <w:rsid w:val="00A648E6"/>
    <w:rsid w:val="00A64D6D"/>
    <w:rsid w:val="00A64FB6"/>
    <w:rsid w:val="00A659F9"/>
    <w:rsid w:val="00A65B12"/>
    <w:rsid w:val="00A670AE"/>
    <w:rsid w:val="00A70C41"/>
    <w:rsid w:val="00A72166"/>
    <w:rsid w:val="00A72374"/>
    <w:rsid w:val="00A7408A"/>
    <w:rsid w:val="00A74594"/>
    <w:rsid w:val="00A757AD"/>
    <w:rsid w:val="00A76E60"/>
    <w:rsid w:val="00A823A8"/>
    <w:rsid w:val="00A82748"/>
    <w:rsid w:val="00A83E87"/>
    <w:rsid w:val="00A84052"/>
    <w:rsid w:val="00A84A85"/>
    <w:rsid w:val="00A85A08"/>
    <w:rsid w:val="00A867FD"/>
    <w:rsid w:val="00A868B1"/>
    <w:rsid w:val="00A86DEB"/>
    <w:rsid w:val="00A915FC"/>
    <w:rsid w:val="00A927DC"/>
    <w:rsid w:val="00A93602"/>
    <w:rsid w:val="00A94237"/>
    <w:rsid w:val="00A9423C"/>
    <w:rsid w:val="00A944D5"/>
    <w:rsid w:val="00A955F2"/>
    <w:rsid w:val="00A96075"/>
    <w:rsid w:val="00A96BAD"/>
    <w:rsid w:val="00A97D17"/>
    <w:rsid w:val="00A97FFE"/>
    <w:rsid w:val="00AA1FE5"/>
    <w:rsid w:val="00AA310E"/>
    <w:rsid w:val="00AA72F5"/>
    <w:rsid w:val="00AA7AB4"/>
    <w:rsid w:val="00AB06EC"/>
    <w:rsid w:val="00AB0A41"/>
    <w:rsid w:val="00AB10A4"/>
    <w:rsid w:val="00AB1482"/>
    <w:rsid w:val="00AB2428"/>
    <w:rsid w:val="00AB2624"/>
    <w:rsid w:val="00AB2B84"/>
    <w:rsid w:val="00AB50EF"/>
    <w:rsid w:val="00AB558C"/>
    <w:rsid w:val="00AB6542"/>
    <w:rsid w:val="00AB6D67"/>
    <w:rsid w:val="00AC0371"/>
    <w:rsid w:val="00AC16B8"/>
    <w:rsid w:val="00AC1B48"/>
    <w:rsid w:val="00AC23A3"/>
    <w:rsid w:val="00AC25DC"/>
    <w:rsid w:val="00AC394A"/>
    <w:rsid w:val="00AC4C3B"/>
    <w:rsid w:val="00AC4EC6"/>
    <w:rsid w:val="00AC52AE"/>
    <w:rsid w:val="00AC5675"/>
    <w:rsid w:val="00AC6640"/>
    <w:rsid w:val="00AC68BC"/>
    <w:rsid w:val="00AC7729"/>
    <w:rsid w:val="00AC7D45"/>
    <w:rsid w:val="00AD0B01"/>
    <w:rsid w:val="00AD1EB7"/>
    <w:rsid w:val="00AD2A0B"/>
    <w:rsid w:val="00AD3883"/>
    <w:rsid w:val="00AD536C"/>
    <w:rsid w:val="00AD6644"/>
    <w:rsid w:val="00AD78FB"/>
    <w:rsid w:val="00AE0210"/>
    <w:rsid w:val="00AE072F"/>
    <w:rsid w:val="00AE0C1F"/>
    <w:rsid w:val="00AE0DAA"/>
    <w:rsid w:val="00AE1312"/>
    <w:rsid w:val="00AE13A3"/>
    <w:rsid w:val="00AE1D2B"/>
    <w:rsid w:val="00AE202E"/>
    <w:rsid w:val="00AE23D4"/>
    <w:rsid w:val="00AE325D"/>
    <w:rsid w:val="00AE4278"/>
    <w:rsid w:val="00AE47E5"/>
    <w:rsid w:val="00AE75E3"/>
    <w:rsid w:val="00AF083C"/>
    <w:rsid w:val="00AF2BF2"/>
    <w:rsid w:val="00AF346D"/>
    <w:rsid w:val="00AF463F"/>
    <w:rsid w:val="00AF477A"/>
    <w:rsid w:val="00AF54E0"/>
    <w:rsid w:val="00AF6730"/>
    <w:rsid w:val="00AF7051"/>
    <w:rsid w:val="00AF7326"/>
    <w:rsid w:val="00B01620"/>
    <w:rsid w:val="00B03287"/>
    <w:rsid w:val="00B05E38"/>
    <w:rsid w:val="00B077ED"/>
    <w:rsid w:val="00B07BF8"/>
    <w:rsid w:val="00B103E0"/>
    <w:rsid w:val="00B10E33"/>
    <w:rsid w:val="00B117B8"/>
    <w:rsid w:val="00B139B3"/>
    <w:rsid w:val="00B17E06"/>
    <w:rsid w:val="00B20AD4"/>
    <w:rsid w:val="00B23E0B"/>
    <w:rsid w:val="00B23E16"/>
    <w:rsid w:val="00B24182"/>
    <w:rsid w:val="00B24599"/>
    <w:rsid w:val="00B2570D"/>
    <w:rsid w:val="00B3174F"/>
    <w:rsid w:val="00B3289B"/>
    <w:rsid w:val="00B32C87"/>
    <w:rsid w:val="00B33891"/>
    <w:rsid w:val="00B34133"/>
    <w:rsid w:val="00B35104"/>
    <w:rsid w:val="00B3563D"/>
    <w:rsid w:val="00B36B28"/>
    <w:rsid w:val="00B3749F"/>
    <w:rsid w:val="00B40EFB"/>
    <w:rsid w:val="00B41F8B"/>
    <w:rsid w:val="00B43473"/>
    <w:rsid w:val="00B4594A"/>
    <w:rsid w:val="00B46450"/>
    <w:rsid w:val="00B4646E"/>
    <w:rsid w:val="00B5033D"/>
    <w:rsid w:val="00B52BD1"/>
    <w:rsid w:val="00B5600D"/>
    <w:rsid w:val="00B57B52"/>
    <w:rsid w:val="00B57C27"/>
    <w:rsid w:val="00B613CA"/>
    <w:rsid w:val="00B61D08"/>
    <w:rsid w:val="00B62396"/>
    <w:rsid w:val="00B6253A"/>
    <w:rsid w:val="00B6311F"/>
    <w:rsid w:val="00B63968"/>
    <w:rsid w:val="00B64F75"/>
    <w:rsid w:val="00B66292"/>
    <w:rsid w:val="00B67523"/>
    <w:rsid w:val="00B67610"/>
    <w:rsid w:val="00B7079E"/>
    <w:rsid w:val="00B71856"/>
    <w:rsid w:val="00B72050"/>
    <w:rsid w:val="00B730A1"/>
    <w:rsid w:val="00B74AE9"/>
    <w:rsid w:val="00B74C43"/>
    <w:rsid w:val="00B7506D"/>
    <w:rsid w:val="00B75B9A"/>
    <w:rsid w:val="00B76395"/>
    <w:rsid w:val="00B76EC8"/>
    <w:rsid w:val="00B77663"/>
    <w:rsid w:val="00B77D83"/>
    <w:rsid w:val="00B81DC1"/>
    <w:rsid w:val="00B81F6A"/>
    <w:rsid w:val="00B82B3E"/>
    <w:rsid w:val="00B82E5C"/>
    <w:rsid w:val="00B837FE"/>
    <w:rsid w:val="00B83863"/>
    <w:rsid w:val="00B84C84"/>
    <w:rsid w:val="00B856B9"/>
    <w:rsid w:val="00B87BAD"/>
    <w:rsid w:val="00B93669"/>
    <w:rsid w:val="00B94198"/>
    <w:rsid w:val="00B946B1"/>
    <w:rsid w:val="00B958BC"/>
    <w:rsid w:val="00B966B2"/>
    <w:rsid w:val="00B96B7F"/>
    <w:rsid w:val="00B974DD"/>
    <w:rsid w:val="00BA04B7"/>
    <w:rsid w:val="00BA162C"/>
    <w:rsid w:val="00BA1C9E"/>
    <w:rsid w:val="00BA1D62"/>
    <w:rsid w:val="00BA34B2"/>
    <w:rsid w:val="00BA5EB1"/>
    <w:rsid w:val="00BA7371"/>
    <w:rsid w:val="00BB0593"/>
    <w:rsid w:val="00BB102A"/>
    <w:rsid w:val="00BB250F"/>
    <w:rsid w:val="00BB3093"/>
    <w:rsid w:val="00BB3984"/>
    <w:rsid w:val="00BB4072"/>
    <w:rsid w:val="00BB49A4"/>
    <w:rsid w:val="00BB4B97"/>
    <w:rsid w:val="00BB6EF1"/>
    <w:rsid w:val="00BB6EF7"/>
    <w:rsid w:val="00BB6F7D"/>
    <w:rsid w:val="00BB711B"/>
    <w:rsid w:val="00BB77C4"/>
    <w:rsid w:val="00BC0D22"/>
    <w:rsid w:val="00BC18C1"/>
    <w:rsid w:val="00BC2582"/>
    <w:rsid w:val="00BC366A"/>
    <w:rsid w:val="00BC3FB0"/>
    <w:rsid w:val="00BC41A0"/>
    <w:rsid w:val="00BC4639"/>
    <w:rsid w:val="00BC6CC5"/>
    <w:rsid w:val="00BC743F"/>
    <w:rsid w:val="00BC7C69"/>
    <w:rsid w:val="00BD1A4D"/>
    <w:rsid w:val="00BD1B43"/>
    <w:rsid w:val="00BD284A"/>
    <w:rsid w:val="00BD7D6C"/>
    <w:rsid w:val="00BE02FC"/>
    <w:rsid w:val="00BE0FBB"/>
    <w:rsid w:val="00BE1256"/>
    <w:rsid w:val="00BE15B6"/>
    <w:rsid w:val="00BE1680"/>
    <w:rsid w:val="00BE1693"/>
    <w:rsid w:val="00BE193E"/>
    <w:rsid w:val="00BE23D0"/>
    <w:rsid w:val="00BE2D0E"/>
    <w:rsid w:val="00BE3311"/>
    <w:rsid w:val="00BE3402"/>
    <w:rsid w:val="00BE3407"/>
    <w:rsid w:val="00BE537B"/>
    <w:rsid w:val="00BE5528"/>
    <w:rsid w:val="00BE609D"/>
    <w:rsid w:val="00BE6DD7"/>
    <w:rsid w:val="00BE6F52"/>
    <w:rsid w:val="00BE7117"/>
    <w:rsid w:val="00BE77E9"/>
    <w:rsid w:val="00BF020B"/>
    <w:rsid w:val="00BF0310"/>
    <w:rsid w:val="00BF0E15"/>
    <w:rsid w:val="00BF0F2D"/>
    <w:rsid w:val="00BF0FA3"/>
    <w:rsid w:val="00BF10F8"/>
    <w:rsid w:val="00BF11EA"/>
    <w:rsid w:val="00BF19F1"/>
    <w:rsid w:val="00BF1C60"/>
    <w:rsid w:val="00BF336E"/>
    <w:rsid w:val="00BF4853"/>
    <w:rsid w:val="00BF4EFC"/>
    <w:rsid w:val="00BF6267"/>
    <w:rsid w:val="00BF6B5A"/>
    <w:rsid w:val="00C00D52"/>
    <w:rsid w:val="00C03FD3"/>
    <w:rsid w:val="00C04976"/>
    <w:rsid w:val="00C057A2"/>
    <w:rsid w:val="00C07657"/>
    <w:rsid w:val="00C07FC8"/>
    <w:rsid w:val="00C10D46"/>
    <w:rsid w:val="00C11533"/>
    <w:rsid w:val="00C11958"/>
    <w:rsid w:val="00C11E7B"/>
    <w:rsid w:val="00C129C8"/>
    <w:rsid w:val="00C13D38"/>
    <w:rsid w:val="00C14034"/>
    <w:rsid w:val="00C1413D"/>
    <w:rsid w:val="00C14321"/>
    <w:rsid w:val="00C1439A"/>
    <w:rsid w:val="00C147B4"/>
    <w:rsid w:val="00C14BF4"/>
    <w:rsid w:val="00C15019"/>
    <w:rsid w:val="00C15D3C"/>
    <w:rsid w:val="00C16302"/>
    <w:rsid w:val="00C166CC"/>
    <w:rsid w:val="00C16858"/>
    <w:rsid w:val="00C173FC"/>
    <w:rsid w:val="00C17EA0"/>
    <w:rsid w:val="00C20BBA"/>
    <w:rsid w:val="00C21152"/>
    <w:rsid w:val="00C23BB8"/>
    <w:rsid w:val="00C24DF7"/>
    <w:rsid w:val="00C26C6A"/>
    <w:rsid w:val="00C31897"/>
    <w:rsid w:val="00C333D9"/>
    <w:rsid w:val="00C34CC5"/>
    <w:rsid w:val="00C34EAF"/>
    <w:rsid w:val="00C37000"/>
    <w:rsid w:val="00C37087"/>
    <w:rsid w:val="00C37C96"/>
    <w:rsid w:val="00C40B47"/>
    <w:rsid w:val="00C40F24"/>
    <w:rsid w:val="00C420DA"/>
    <w:rsid w:val="00C42DB0"/>
    <w:rsid w:val="00C4409F"/>
    <w:rsid w:val="00C44D1C"/>
    <w:rsid w:val="00C46880"/>
    <w:rsid w:val="00C46E4C"/>
    <w:rsid w:val="00C46E90"/>
    <w:rsid w:val="00C5156A"/>
    <w:rsid w:val="00C52446"/>
    <w:rsid w:val="00C53CF3"/>
    <w:rsid w:val="00C542BB"/>
    <w:rsid w:val="00C55199"/>
    <w:rsid w:val="00C55E5E"/>
    <w:rsid w:val="00C55F88"/>
    <w:rsid w:val="00C60248"/>
    <w:rsid w:val="00C60923"/>
    <w:rsid w:val="00C61F1A"/>
    <w:rsid w:val="00C625C6"/>
    <w:rsid w:val="00C63250"/>
    <w:rsid w:val="00C65063"/>
    <w:rsid w:val="00C65174"/>
    <w:rsid w:val="00C66405"/>
    <w:rsid w:val="00C6785D"/>
    <w:rsid w:val="00C7001F"/>
    <w:rsid w:val="00C70402"/>
    <w:rsid w:val="00C70AAA"/>
    <w:rsid w:val="00C71713"/>
    <w:rsid w:val="00C71940"/>
    <w:rsid w:val="00C71D82"/>
    <w:rsid w:val="00C7407B"/>
    <w:rsid w:val="00C74128"/>
    <w:rsid w:val="00C75A03"/>
    <w:rsid w:val="00C7696E"/>
    <w:rsid w:val="00C7737C"/>
    <w:rsid w:val="00C8098A"/>
    <w:rsid w:val="00C80AAB"/>
    <w:rsid w:val="00C826B6"/>
    <w:rsid w:val="00C82AA3"/>
    <w:rsid w:val="00C8328D"/>
    <w:rsid w:val="00C84F1D"/>
    <w:rsid w:val="00C9143E"/>
    <w:rsid w:val="00C91BAA"/>
    <w:rsid w:val="00C94488"/>
    <w:rsid w:val="00C94921"/>
    <w:rsid w:val="00C9520E"/>
    <w:rsid w:val="00C9589E"/>
    <w:rsid w:val="00CA11E8"/>
    <w:rsid w:val="00CA20C1"/>
    <w:rsid w:val="00CA3AD2"/>
    <w:rsid w:val="00CA4A3A"/>
    <w:rsid w:val="00CA4CE0"/>
    <w:rsid w:val="00CA69E3"/>
    <w:rsid w:val="00CA6BC9"/>
    <w:rsid w:val="00CB0ED1"/>
    <w:rsid w:val="00CB1440"/>
    <w:rsid w:val="00CB24A7"/>
    <w:rsid w:val="00CB3BE8"/>
    <w:rsid w:val="00CB5425"/>
    <w:rsid w:val="00CB55B1"/>
    <w:rsid w:val="00CB71B5"/>
    <w:rsid w:val="00CB73AE"/>
    <w:rsid w:val="00CB7D8C"/>
    <w:rsid w:val="00CB7D8F"/>
    <w:rsid w:val="00CC1D82"/>
    <w:rsid w:val="00CC2C51"/>
    <w:rsid w:val="00CC2CA2"/>
    <w:rsid w:val="00CC3221"/>
    <w:rsid w:val="00CC4747"/>
    <w:rsid w:val="00CC6552"/>
    <w:rsid w:val="00CC6EA4"/>
    <w:rsid w:val="00CC6FB9"/>
    <w:rsid w:val="00CC73BF"/>
    <w:rsid w:val="00CC7804"/>
    <w:rsid w:val="00CD03B1"/>
    <w:rsid w:val="00CD340D"/>
    <w:rsid w:val="00CD4227"/>
    <w:rsid w:val="00CD463F"/>
    <w:rsid w:val="00CD55A2"/>
    <w:rsid w:val="00CE1D82"/>
    <w:rsid w:val="00CE2864"/>
    <w:rsid w:val="00CE2940"/>
    <w:rsid w:val="00CE4B23"/>
    <w:rsid w:val="00CE66BB"/>
    <w:rsid w:val="00CE66C4"/>
    <w:rsid w:val="00CF0032"/>
    <w:rsid w:val="00CF23F1"/>
    <w:rsid w:val="00CF246A"/>
    <w:rsid w:val="00CF432C"/>
    <w:rsid w:val="00CF4FF1"/>
    <w:rsid w:val="00CF6EB7"/>
    <w:rsid w:val="00D01A70"/>
    <w:rsid w:val="00D034C9"/>
    <w:rsid w:val="00D040B2"/>
    <w:rsid w:val="00D0477C"/>
    <w:rsid w:val="00D055FE"/>
    <w:rsid w:val="00D066C7"/>
    <w:rsid w:val="00D108A6"/>
    <w:rsid w:val="00D10F68"/>
    <w:rsid w:val="00D129A9"/>
    <w:rsid w:val="00D12C46"/>
    <w:rsid w:val="00D13141"/>
    <w:rsid w:val="00D1353E"/>
    <w:rsid w:val="00D142E1"/>
    <w:rsid w:val="00D1507C"/>
    <w:rsid w:val="00D16AFC"/>
    <w:rsid w:val="00D17486"/>
    <w:rsid w:val="00D229D2"/>
    <w:rsid w:val="00D24D51"/>
    <w:rsid w:val="00D25284"/>
    <w:rsid w:val="00D263CA"/>
    <w:rsid w:val="00D27797"/>
    <w:rsid w:val="00D30071"/>
    <w:rsid w:val="00D31F7A"/>
    <w:rsid w:val="00D34050"/>
    <w:rsid w:val="00D34306"/>
    <w:rsid w:val="00D359C7"/>
    <w:rsid w:val="00D3618D"/>
    <w:rsid w:val="00D3634C"/>
    <w:rsid w:val="00D3645A"/>
    <w:rsid w:val="00D37D1C"/>
    <w:rsid w:val="00D40A10"/>
    <w:rsid w:val="00D42019"/>
    <w:rsid w:val="00D4231A"/>
    <w:rsid w:val="00D424EE"/>
    <w:rsid w:val="00D46BEA"/>
    <w:rsid w:val="00D47D59"/>
    <w:rsid w:val="00D47EAA"/>
    <w:rsid w:val="00D51BEC"/>
    <w:rsid w:val="00D52AA0"/>
    <w:rsid w:val="00D52FD6"/>
    <w:rsid w:val="00D5395D"/>
    <w:rsid w:val="00D53988"/>
    <w:rsid w:val="00D54718"/>
    <w:rsid w:val="00D56EBE"/>
    <w:rsid w:val="00D603B3"/>
    <w:rsid w:val="00D61A90"/>
    <w:rsid w:val="00D62C54"/>
    <w:rsid w:val="00D62DBC"/>
    <w:rsid w:val="00D63149"/>
    <w:rsid w:val="00D63D28"/>
    <w:rsid w:val="00D645C6"/>
    <w:rsid w:val="00D6532A"/>
    <w:rsid w:val="00D6585D"/>
    <w:rsid w:val="00D65E56"/>
    <w:rsid w:val="00D65F6F"/>
    <w:rsid w:val="00D70167"/>
    <w:rsid w:val="00D708FF"/>
    <w:rsid w:val="00D70D3F"/>
    <w:rsid w:val="00D70D5A"/>
    <w:rsid w:val="00D7138B"/>
    <w:rsid w:val="00D7199A"/>
    <w:rsid w:val="00D723FE"/>
    <w:rsid w:val="00D73817"/>
    <w:rsid w:val="00D73EF4"/>
    <w:rsid w:val="00D746A0"/>
    <w:rsid w:val="00D76C44"/>
    <w:rsid w:val="00D76D0A"/>
    <w:rsid w:val="00D80983"/>
    <w:rsid w:val="00D847FE"/>
    <w:rsid w:val="00D85640"/>
    <w:rsid w:val="00D85B98"/>
    <w:rsid w:val="00D85E6F"/>
    <w:rsid w:val="00D864AC"/>
    <w:rsid w:val="00D864EC"/>
    <w:rsid w:val="00D879E6"/>
    <w:rsid w:val="00D87A82"/>
    <w:rsid w:val="00D90882"/>
    <w:rsid w:val="00D91325"/>
    <w:rsid w:val="00D921A4"/>
    <w:rsid w:val="00D944CE"/>
    <w:rsid w:val="00D94C6F"/>
    <w:rsid w:val="00D9512F"/>
    <w:rsid w:val="00D959EC"/>
    <w:rsid w:val="00D96D5A"/>
    <w:rsid w:val="00D96E04"/>
    <w:rsid w:val="00D96E8A"/>
    <w:rsid w:val="00D97251"/>
    <w:rsid w:val="00D978E3"/>
    <w:rsid w:val="00DA0522"/>
    <w:rsid w:val="00DA2736"/>
    <w:rsid w:val="00DA3AE4"/>
    <w:rsid w:val="00DA4B1E"/>
    <w:rsid w:val="00DA5BDA"/>
    <w:rsid w:val="00DA6619"/>
    <w:rsid w:val="00DA678C"/>
    <w:rsid w:val="00DA7569"/>
    <w:rsid w:val="00DB1227"/>
    <w:rsid w:val="00DB1BB9"/>
    <w:rsid w:val="00DB3F99"/>
    <w:rsid w:val="00DB6434"/>
    <w:rsid w:val="00DB726B"/>
    <w:rsid w:val="00DC0339"/>
    <w:rsid w:val="00DC0462"/>
    <w:rsid w:val="00DC24DD"/>
    <w:rsid w:val="00DC2AD6"/>
    <w:rsid w:val="00DC2DEB"/>
    <w:rsid w:val="00DC57AA"/>
    <w:rsid w:val="00DC72CF"/>
    <w:rsid w:val="00DC741D"/>
    <w:rsid w:val="00DD06C4"/>
    <w:rsid w:val="00DD0B7D"/>
    <w:rsid w:val="00DD132A"/>
    <w:rsid w:val="00DD132D"/>
    <w:rsid w:val="00DD158C"/>
    <w:rsid w:val="00DD1B62"/>
    <w:rsid w:val="00DD2228"/>
    <w:rsid w:val="00DD225E"/>
    <w:rsid w:val="00DD3425"/>
    <w:rsid w:val="00DD3A6A"/>
    <w:rsid w:val="00DD3BE3"/>
    <w:rsid w:val="00DD492F"/>
    <w:rsid w:val="00DD5C92"/>
    <w:rsid w:val="00DD704C"/>
    <w:rsid w:val="00DE0FB8"/>
    <w:rsid w:val="00DE1D55"/>
    <w:rsid w:val="00DE1F0A"/>
    <w:rsid w:val="00DE2344"/>
    <w:rsid w:val="00DE279F"/>
    <w:rsid w:val="00DE2FB8"/>
    <w:rsid w:val="00DE30AD"/>
    <w:rsid w:val="00DE3ADC"/>
    <w:rsid w:val="00DE4177"/>
    <w:rsid w:val="00DE46D2"/>
    <w:rsid w:val="00DE511E"/>
    <w:rsid w:val="00DE5AF9"/>
    <w:rsid w:val="00DE672E"/>
    <w:rsid w:val="00DE7E86"/>
    <w:rsid w:val="00DF24DB"/>
    <w:rsid w:val="00DF2E81"/>
    <w:rsid w:val="00DF30CD"/>
    <w:rsid w:val="00DF3233"/>
    <w:rsid w:val="00DF383D"/>
    <w:rsid w:val="00DF3D5E"/>
    <w:rsid w:val="00DF41B7"/>
    <w:rsid w:val="00DF4D0C"/>
    <w:rsid w:val="00DF5814"/>
    <w:rsid w:val="00DF7F8C"/>
    <w:rsid w:val="00DF7F98"/>
    <w:rsid w:val="00DF7FDB"/>
    <w:rsid w:val="00E0022F"/>
    <w:rsid w:val="00E01CD9"/>
    <w:rsid w:val="00E01E6D"/>
    <w:rsid w:val="00E03955"/>
    <w:rsid w:val="00E05FA8"/>
    <w:rsid w:val="00E067BF"/>
    <w:rsid w:val="00E06C66"/>
    <w:rsid w:val="00E11DB5"/>
    <w:rsid w:val="00E14097"/>
    <w:rsid w:val="00E14D99"/>
    <w:rsid w:val="00E15795"/>
    <w:rsid w:val="00E16C48"/>
    <w:rsid w:val="00E16DBB"/>
    <w:rsid w:val="00E2068A"/>
    <w:rsid w:val="00E20989"/>
    <w:rsid w:val="00E22956"/>
    <w:rsid w:val="00E24AC5"/>
    <w:rsid w:val="00E24BA6"/>
    <w:rsid w:val="00E25A68"/>
    <w:rsid w:val="00E261F6"/>
    <w:rsid w:val="00E2680C"/>
    <w:rsid w:val="00E26B16"/>
    <w:rsid w:val="00E27040"/>
    <w:rsid w:val="00E27D60"/>
    <w:rsid w:val="00E3047A"/>
    <w:rsid w:val="00E329C7"/>
    <w:rsid w:val="00E32F89"/>
    <w:rsid w:val="00E34627"/>
    <w:rsid w:val="00E35428"/>
    <w:rsid w:val="00E3575D"/>
    <w:rsid w:val="00E3580A"/>
    <w:rsid w:val="00E36A7F"/>
    <w:rsid w:val="00E375E1"/>
    <w:rsid w:val="00E40B46"/>
    <w:rsid w:val="00E40DD5"/>
    <w:rsid w:val="00E41899"/>
    <w:rsid w:val="00E427C1"/>
    <w:rsid w:val="00E4346B"/>
    <w:rsid w:val="00E441B8"/>
    <w:rsid w:val="00E44669"/>
    <w:rsid w:val="00E44812"/>
    <w:rsid w:val="00E4541E"/>
    <w:rsid w:val="00E456D0"/>
    <w:rsid w:val="00E469FF"/>
    <w:rsid w:val="00E46CEA"/>
    <w:rsid w:val="00E504AE"/>
    <w:rsid w:val="00E507BD"/>
    <w:rsid w:val="00E530A2"/>
    <w:rsid w:val="00E54456"/>
    <w:rsid w:val="00E60474"/>
    <w:rsid w:val="00E60E2F"/>
    <w:rsid w:val="00E621F2"/>
    <w:rsid w:val="00E62A89"/>
    <w:rsid w:val="00E64FBD"/>
    <w:rsid w:val="00E66A3E"/>
    <w:rsid w:val="00E66B13"/>
    <w:rsid w:val="00E66FEC"/>
    <w:rsid w:val="00E67AB0"/>
    <w:rsid w:val="00E70232"/>
    <w:rsid w:val="00E70528"/>
    <w:rsid w:val="00E7078A"/>
    <w:rsid w:val="00E714BE"/>
    <w:rsid w:val="00E7219D"/>
    <w:rsid w:val="00E729EB"/>
    <w:rsid w:val="00E73640"/>
    <w:rsid w:val="00E73C46"/>
    <w:rsid w:val="00E74818"/>
    <w:rsid w:val="00E74B6C"/>
    <w:rsid w:val="00E74F28"/>
    <w:rsid w:val="00E76361"/>
    <w:rsid w:val="00E8218D"/>
    <w:rsid w:val="00E839B4"/>
    <w:rsid w:val="00E859B5"/>
    <w:rsid w:val="00E86608"/>
    <w:rsid w:val="00E87A27"/>
    <w:rsid w:val="00E909AD"/>
    <w:rsid w:val="00E91B02"/>
    <w:rsid w:val="00E93774"/>
    <w:rsid w:val="00E93C4B"/>
    <w:rsid w:val="00E94316"/>
    <w:rsid w:val="00E956A6"/>
    <w:rsid w:val="00E96180"/>
    <w:rsid w:val="00E9658A"/>
    <w:rsid w:val="00E9780D"/>
    <w:rsid w:val="00EA0041"/>
    <w:rsid w:val="00EA20C6"/>
    <w:rsid w:val="00EA2F05"/>
    <w:rsid w:val="00EA318F"/>
    <w:rsid w:val="00EA42A3"/>
    <w:rsid w:val="00EA433F"/>
    <w:rsid w:val="00EA43F3"/>
    <w:rsid w:val="00EA4704"/>
    <w:rsid w:val="00EA6CC7"/>
    <w:rsid w:val="00EA708A"/>
    <w:rsid w:val="00EA7C81"/>
    <w:rsid w:val="00EB0C57"/>
    <w:rsid w:val="00EB1996"/>
    <w:rsid w:val="00EB29B8"/>
    <w:rsid w:val="00EB3B60"/>
    <w:rsid w:val="00EB3FA9"/>
    <w:rsid w:val="00EB46FA"/>
    <w:rsid w:val="00EB4DCF"/>
    <w:rsid w:val="00EB5469"/>
    <w:rsid w:val="00EB60C4"/>
    <w:rsid w:val="00EB6711"/>
    <w:rsid w:val="00EB703B"/>
    <w:rsid w:val="00EC1757"/>
    <w:rsid w:val="00EC1C66"/>
    <w:rsid w:val="00EC216B"/>
    <w:rsid w:val="00EC3439"/>
    <w:rsid w:val="00EC35F4"/>
    <w:rsid w:val="00EC458F"/>
    <w:rsid w:val="00EC5C3F"/>
    <w:rsid w:val="00EC7349"/>
    <w:rsid w:val="00ED08D7"/>
    <w:rsid w:val="00ED0DA1"/>
    <w:rsid w:val="00ED0DF6"/>
    <w:rsid w:val="00ED18D5"/>
    <w:rsid w:val="00ED1B5C"/>
    <w:rsid w:val="00ED312C"/>
    <w:rsid w:val="00ED36E5"/>
    <w:rsid w:val="00ED40C6"/>
    <w:rsid w:val="00ED4141"/>
    <w:rsid w:val="00ED6842"/>
    <w:rsid w:val="00EE0B37"/>
    <w:rsid w:val="00EE1263"/>
    <w:rsid w:val="00EE51B1"/>
    <w:rsid w:val="00EE5697"/>
    <w:rsid w:val="00EE5B70"/>
    <w:rsid w:val="00EF05DE"/>
    <w:rsid w:val="00EF0CF3"/>
    <w:rsid w:val="00EF32B2"/>
    <w:rsid w:val="00EF3940"/>
    <w:rsid w:val="00EF575A"/>
    <w:rsid w:val="00EF68E7"/>
    <w:rsid w:val="00F003F0"/>
    <w:rsid w:val="00F018D7"/>
    <w:rsid w:val="00F01E36"/>
    <w:rsid w:val="00F03628"/>
    <w:rsid w:val="00F05518"/>
    <w:rsid w:val="00F0572D"/>
    <w:rsid w:val="00F0599E"/>
    <w:rsid w:val="00F07236"/>
    <w:rsid w:val="00F0738E"/>
    <w:rsid w:val="00F07726"/>
    <w:rsid w:val="00F0785E"/>
    <w:rsid w:val="00F10DDC"/>
    <w:rsid w:val="00F11899"/>
    <w:rsid w:val="00F118C2"/>
    <w:rsid w:val="00F11DA3"/>
    <w:rsid w:val="00F13559"/>
    <w:rsid w:val="00F13713"/>
    <w:rsid w:val="00F13ED5"/>
    <w:rsid w:val="00F13F42"/>
    <w:rsid w:val="00F15504"/>
    <w:rsid w:val="00F16E83"/>
    <w:rsid w:val="00F176B1"/>
    <w:rsid w:val="00F24900"/>
    <w:rsid w:val="00F254B5"/>
    <w:rsid w:val="00F266D2"/>
    <w:rsid w:val="00F26BFD"/>
    <w:rsid w:val="00F27509"/>
    <w:rsid w:val="00F30452"/>
    <w:rsid w:val="00F304C5"/>
    <w:rsid w:val="00F3139B"/>
    <w:rsid w:val="00F3169A"/>
    <w:rsid w:val="00F31A8D"/>
    <w:rsid w:val="00F3259C"/>
    <w:rsid w:val="00F33D1C"/>
    <w:rsid w:val="00F34729"/>
    <w:rsid w:val="00F34C34"/>
    <w:rsid w:val="00F359D3"/>
    <w:rsid w:val="00F375F3"/>
    <w:rsid w:val="00F376A1"/>
    <w:rsid w:val="00F401C8"/>
    <w:rsid w:val="00F40CD3"/>
    <w:rsid w:val="00F41754"/>
    <w:rsid w:val="00F41967"/>
    <w:rsid w:val="00F41D09"/>
    <w:rsid w:val="00F42879"/>
    <w:rsid w:val="00F4307F"/>
    <w:rsid w:val="00F43C96"/>
    <w:rsid w:val="00F43CB4"/>
    <w:rsid w:val="00F440BB"/>
    <w:rsid w:val="00F4503D"/>
    <w:rsid w:val="00F456D1"/>
    <w:rsid w:val="00F45AB4"/>
    <w:rsid w:val="00F45F62"/>
    <w:rsid w:val="00F47DE9"/>
    <w:rsid w:val="00F5062A"/>
    <w:rsid w:val="00F50C2F"/>
    <w:rsid w:val="00F517F5"/>
    <w:rsid w:val="00F521CB"/>
    <w:rsid w:val="00F53326"/>
    <w:rsid w:val="00F573BC"/>
    <w:rsid w:val="00F576D8"/>
    <w:rsid w:val="00F57A33"/>
    <w:rsid w:val="00F57C6C"/>
    <w:rsid w:val="00F603C3"/>
    <w:rsid w:val="00F6479A"/>
    <w:rsid w:val="00F706F1"/>
    <w:rsid w:val="00F712C0"/>
    <w:rsid w:val="00F71F81"/>
    <w:rsid w:val="00F72E50"/>
    <w:rsid w:val="00F72FDA"/>
    <w:rsid w:val="00F730B0"/>
    <w:rsid w:val="00F73966"/>
    <w:rsid w:val="00F755F6"/>
    <w:rsid w:val="00F76CF6"/>
    <w:rsid w:val="00F76D7F"/>
    <w:rsid w:val="00F77360"/>
    <w:rsid w:val="00F777CC"/>
    <w:rsid w:val="00F805BF"/>
    <w:rsid w:val="00F81F54"/>
    <w:rsid w:val="00F82FBA"/>
    <w:rsid w:val="00F83CC2"/>
    <w:rsid w:val="00F85556"/>
    <w:rsid w:val="00F860FB"/>
    <w:rsid w:val="00F87467"/>
    <w:rsid w:val="00F87650"/>
    <w:rsid w:val="00F877F6"/>
    <w:rsid w:val="00F90067"/>
    <w:rsid w:val="00F92882"/>
    <w:rsid w:val="00F92C3D"/>
    <w:rsid w:val="00F93F59"/>
    <w:rsid w:val="00F93F92"/>
    <w:rsid w:val="00F94F14"/>
    <w:rsid w:val="00F956F7"/>
    <w:rsid w:val="00FA1D58"/>
    <w:rsid w:val="00FA35A3"/>
    <w:rsid w:val="00FA3664"/>
    <w:rsid w:val="00FA3D3F"/>
    <w:rsid w:val="00FA5B9F"/>
    <w:rsid w:val="00FA66B7"/>
    <w:rsid w:val="00FA6B5A"/>
    <w:rsid w:val="00FB03B4"/>
    <w:rsid w:val="00FB08F4"/>
    <w:rsid w:val="00FB301D"/>
    <w:rsid w:val="00FB5227"/>
    <w:rsid w:val="00FB5407"/>
    <w:rsid w:val="00FB6D33"/>
    <w:rsid w:val="00FB740D"/>
    <w:rsid w:val="00FC2FC7"/>
    <w:rsid w:val="00FC3608"/>
    <w:rsid w:val="00FC563F"/>
    <w:rsid w:val="00FC5FF5"/>
    <w:rsid w:val="00FC6D8F"/>
    <w:rsid w:val="00FC7AB2"/>
    <w:rsid w:val="00FC7DAD"/>
    <w:rsid w:val="00FD2C08"/>
    <w:rsid w:val="00FD35A5"/>
    <w:rsid w:val="00FD39E5"/>
    <w:rsid w:val="00FD3CEE"/>
    <w:rsid w:val="00FD46BA"/>
    <w:rsid w:val="00FD4B1D"/>
    <w:rsid w:val="00FD5022"/>
    <w:rsid w:val="00FE125D"/>
    <w:rsid w:val="00FE1291"/>
    <w:rsid w:val="00FE1C77"/>
    <w:rsid w:val="00FE6997"/>
    <w:rsid w:val="00FE6D4E"/>
    <w:rsid w:val="00FE746C"/>
    <w:rsid w:val="00FE7707"/>
    <w:rsid w:val="00FE78C8"/>
    <w:rsid w:val="00FF0084"/>
    <w:rsid w:val="00FF0DE8"/>
    <w:rsid w:val="00FF1C2E"/>
    <w:rsid w:val="00FF2785"/>
    <w:rsid w:val="00FF2C6C"/>
    <w:rsid w:val="00FF4193"/>
    <w:rsid w:val="00FF451F"/>
    <w:rsid w:val="00FF578E"/>
    <w:rsid w:val="00FF586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79BF14"/>
  <w15:docId w15:val="{D696DA27-3C01-4240-9D85-990F32530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58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basedOn w:val="Fuentedeprrafopredeter"/>
    <w:rsid w:val="0045458E"/>
    <w:rPr>
      <w:vertAlign w:val="superscript"/>
    </w:rPr>
  </w:style>
  <w:style w:type="paragraph" w:styleId="Textonotapie">
    <w:name w:val="footnote text"/>
    <w:basedOn w:val="Normal"/>
    <w:link w:val="TextonotapieCar"/>
    <w:unhideWhenUsed/>
    <w:rsid w:val="0045458E"/>
    <w:pPr>
      <w:spacing w:after="0" w:line="240" w:lineRule="auto"/>
    </w:pPr>
    <w:rPr>
      <w:sz w:val="20"/>
      <w:szCs w:val="20"/>
    </w:rPr>
  </w:style>
  <w:style w:type="character" w:customStyle="1" w:styleId="TextonotapieCar">
    <w:name w:val="Texto nota pie Car"/>
    <w:basedOn w:val="Fuentedeprrafopredeter"/>
    <w:link w:val="Textonotapie"/>
    <w:rsid w:val="0045458E"/>
    <w:rPr>
      <w:sz w:val="20"/>
      <w:szCs w:val="20"/>
    </w:rPr>
  </w:style>
  <w:style w:type="paragraph" w:styleId="Prrafodelista">
    <w:name w:val="List Paragraph"/>
    <w:basedOn w:val="Normal"/>
    <w:uiPriority w:val="34"/>
    <w:qFormat/>
    <w:rsid w:val="0045458E"/>
    <w:pPr>
      <w:ind w:left="720"/>
      <w:contextualSpacing/>
    </w:pPr>
  </w:style>
  <w:style w:type="paragraph" w:styleId="Textoindependiente">
    <w:name w:val="Body Text"/>
    <w:basedOn w:val="Normal"/>
    <w:link w:val="TextoindependienteCar"/>
    <w:rsid w:val="0045458E"/>
    <w:pPr>
      <w:spacing w:after="0" w:line="240" w:lineRule="auto"/>
      <w:jc w:val="both"/>
    </w:pPr>
    <w:rPr>
      <w:rFonts w:ascii="Arial" w:eastAsia="Times New Roman" w:hAnsi="Arial" w:cs="Arial"/>
      <w:sz w:val="24"/>
      <w:szCs w:val="24"/>
      <w:lang w:eastAsia="es-MX"/>
    </w:rPr>
  </w:style>
  <w:style w:type="character" w:customStyle="1" w:styleId="TextoindependienteCar">
    <w:name w:val="Texto independiente Car"/>
    <w:basedOn w:val="Fuentedeprrafopredeter"/>
    <w:link w:val="Textoindependiente"/>
    <w:rsid w:val="0045458E"/>
    <w:rPr>
      <w:rFonts w:ascii="Arial" w:eastAsia="Times New Roman" w:hAnsi="Arial" w:cs="Arial"/>
      <w:sz w:val="24"/>
      <w:szCs w:val="24"/>
      <w:lang w:eastAsia="es-MX"/>
    </w:rPr>
  </w:style>
  <w:style w:type="table" w:styleId="Tablaconcuadrcula">
    <w:name w:val="Table Grid"/>
    <w:basedOn w:val="Tablanormal"/>
    <w:rsid w:val="004545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45458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5458E"/>
    <w:rPr>
      <w:rFonts w:ascii="Tahoma" w:hAnsi="Tahoma" w:cs="Tahoma"/>
      <w:sz w:val="16"/>
      <w:szCs w:val="16"/>
    </w:rPr>
  </w:style>
  <w:style w:type="paragraph" w:styleId="Ttulo">
    <w:name w:val="Title"/>
    <w:basedOn w:val="Normal"/>
    <w:link w:val="TtuloCar"/>
    <w:qFormat/>
    <w:rsid w:val="0045458E"/>
    <w:pPr>
      <w:spacing w:after="0" w:line="240" w:lineRule="auto"/>
      <w:jc w:val="center"/>
    </w:pPr>
    <w:rPr>
      <w:rFonts w:ascii="Arial" w:eastAsia="Times New Roman" w:hAnsi="Arial" w:cs="Arial"/>
      <w:b/>
      <w:sz w:val="32"/>
      <w:szCs w:val="32"/>
      <w:lang w:val="es-ES" w:eastAsia="es-MX"/>
    </w:rPr>
  </w:style>
  <w:style w:type="character" w:customStyle="1" w:styleId="TtuloCar">
    <w:name w:val="Título Car"/>
    <w:basedOn w:val="Fuentedeprrafopredeter"/>
    <w:link w:val="Ttulo"/>
    <w:rsid w:val="0045458E"/>
    <w:rPr>
      <w:rFonts w:ascii="Arial" w:eastAsia="Times New Roman" w:hAnsi="Arial" w:cs="Arial"/>
      <w:b/>
      <w:sz w:val="32"/>
      <w:szCs w:val="32"/>
      <w:lang w:val="es-ES" w:eastAsia="es-MX"/>
    </w:rPr>
  </w:style>
  <w:style w:type="character" w:styleId="Hipervnculo">
    <w:name w:val="Hyperlink"/>
    <w:basedOn w:val="Fuentedeprrafopredeter"/>
    <w:uiPriority w:val="99"/>
    <w:unhideWhenUsed/>
    <w:rsid w:val="008E6658"/>
    <w:rPr>
      <w:color w:val="0000FF" w:themeColor="hyperlink"/>
      <w:u w:val="single"/>
    </w:rPr>
  </w:style>
  <w:style w:type="paragraph" w:styleId="Encabezado">
    <w:name w:val="header"/>
    <w:basedOn w:val="Normal"/>
    <w:link w:val="EncabezadoCar"/>
    <w:unhideWhenUsed/>
    <w:rsid w:val="00755BF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5BF5"/>
  </w:style>
  <w:style w:type="paragraph" w:styleId="Piedepgina">
    <w:name w:val="footer"/>
    <w:basedOn w:val="Normal"/>
    <w:link w:val="PiedepginaCar"/>
    <w:uiPriority w:val="99"/>
    <w:unhideWhenUsed/>
    <w:rsid w:val="00755BF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5BF5"/>
  </w:style>
  <w:style w:type="paragraph" w:styleId="TDC6">
    <w:name w:val="toc 6"/>
    <w:basedOn w:val="Normal"/>
    <w:next w:val="Normal"/>
    <w:autoRedefine/>
    <w:semiHidden/>
    <w:rsid w:val="009005C7"/>
    <w:pPr>
      <w:keepLines/>
      <w:widowControl w:val="0"/>
      <w:tabs>
        <w:tab w:val="left" w:leader="dot" w:pos="8079"/>
        <w:tab w:val="right" w:pos="8505"/>
      </w:tabs>
      <w:spacing w:after="0" w:line="240" w:lineRule="auto"/>
      <w:ind w:left="3544" w:right="850"/>
      <w:jc w:val="both"/>
    </w:pPr>
    <w:rPr>
      <w:rFonts w:ascii="Arial" w:eastAsia="Times New Roman" w:hAnsi="Arial" w:cs="Times New Roman"/>
      <w:snapToGrid w:val="0"/>
      <w:sz w:val="24"/>
      <w:szCs w:val="20"/>
      <w:lang w:eastAsia="es-ES"/>
    </w:rPr>
  </w:style>
  <w:style w:type="paragraph" w:customStyle="1" w:styleId="p0">
    <w:name w:val="p0"/>
    <w:basedOn w:val="Normal"/>
    <w:rsid w:val="009005C7"/>
    <w:pPr>
      <w:keepLines/>
      <w:widowControl w:val="0"/>
      <w:spacing w:before="360" w:after="0" w:line="240" w:lineRule="auto"/>
      <w:jc w:val="both"/>
    </w:pPr>
    <w:rPr>
      <w:rFonts w:ascii="Arial" w:eastAsia="Times New Roman" w:hAnsi="Arial" w:cs="Times New Roman"/>
      <w:snapToGrid w:val="0"/>
      <w:color w:val="0000FF"/>
      <w:sz w:val="24"/>
      <w:szCs w:val="20"/>
      <w:lang w:eastAsia="es-ES"/>
    </w:rPr>
  </w:style>
  <w:style w:type="paragraph" w:customStyle="1" w:styleId="parr2">
    <w:name w:val="parr2"/>
    <w:basedOn w:val="Normal"/>
    <w:rsid w:val="0043247A"/>
    <w:pPr>
      <w:spacing w:before="600" w:after="0" w:line="240" w:lineRule="auto"/>
      <w:ind w:left="567" w:right="15"/>
      <w:jc w:val="both"/>
    </w:pPr>
    <w:rPr>
      <w:rFonts w:ascii="Arial" w:eastAsia="Times New Roman" w:hAnsi="Arial" w:cs="Times New Roman"/>
      <w:sz w:val="24"/>
      <w:szCs w:val="20"/>
      <w:lang w:val="es-ES_tradnl" w:eastAsia="es-ES"/>
    </w:rPr>
  </w:style>
  <w:style w:type="character" w:styleId="Hipervnculovisitado">
    <w:name w:val="FollowedHyperlink"/>
    <w:basedOn w:val="Fuentedeprrafopredeter"/>
    <w:uiPriority w:val="99"/>
    <w:semiHidden/>
    <w:unhideWhenUsed/>
    <w:rsid w:val="00492F59"/>
    <w:rPr>
      <w:color w:val="800080" w:themeColor="followedHyperlink"/>
      <w:u w:val="single"/>
    </w:rPr>
  </w:style>
  <w:style w:type="paragraph" w:customStyle="1" w:styleId="parrafo1">
    <w:name w:val="parrafo1"/>
    <w:basedOn w:val="p0"/>
    <w:rsid w:val="00BE1693"/>
    <w:pPr>
      <w:keepLines w:val="0"/>
      <w:widowControl/>
      <w:spacing w:before="480"/>
      <w:ind w:left="426" w:right="443"/>
    </w:pPr>
    <w:rPr>
      <w:snapToGrid/>
      <w:color w:val="auto"/>
      <w:lang w:val="es-ES_tradnl"/>
    </w:rPr>
  </w:style>
  <w:style w:type="paragraph" w:customStyle="1" w:styleId="Default">
    <w:name w:val="Default"/>
    <w:basedOn w:val="Normal"/>
    <w:rsid w:val="00635F9B"/>
    <w:pPr>
      <w:autoSpaceDE w:val="0"/>
      <w:autoSpaceDN w:val="0"/>
      <w:spacing w:after="0" w:line="240" w:lineRule="auto"/>
    </w:pPr>
    <w:rPr>
      <w:rFonts w:ascii="Arial" w:hAnsi="Arial" w:cs="Arial"/>
      <w:color w:val="000000"/>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679996">
      <w:bodyDiv w:val="1"/>
      <w:marLeft w:val="0"/>
      <w:marRight w:val="0"/>
      <w:marTop w:val="0"/>
      <w:marBottom w:val="0"/>
      <w:divBdr>
        <w:top w:val="none" w:sz="0" w:space="0" w:color="auto"/>
        <w:left w:val="none" w:sz="0" w:space="0" w:color="auto"/>
        <w:bottom w:val="none" w:sz="0" w:space="0" w:color="auto"/>
        <w:right w:val="none" w:sz="0" w:space="0" w:color="auto"/>
      </w:divBdr>
    </w:div>
    <w:div w:id="570458065">
      <w:bodyDiv w:val="1"/>
      <w:marLeft w:val="0"/>
      <w:marRight w:val="0"/>
      <w:marTop w:val="0"/>
      <w:marBottom w:val="0"/>
      <w:divBdr>
        <w:top w:val="none" w:sz="0" w:space="0" w:color="auto"/>
        <w:left w:val="none" w:sz="0" w:space="0" w:color="auto"/>
        <w:bottom w:val="none" w:sz="0" w:space="0" w:color="auto"/>
        <w:right w:val="none" w:sz="0" w:space="0" w:color="auto"/>
      </w:divBdr>
    </w:div>
    <w:div w:id="596325345">
      <w:bodyDiv w:val="1"/>
      <w:marLeft w:val="0"/>
      <w:marRight w:val="0"/>
      <w:marTop w:val="0"/>
      <w:marBottom w:val="0"/>
      <w:divBdr>
        <w:top w:val="none" w:sz="0" w:space="0" w:color="auto"/>
        <w:left w:val="none" w:sz="0" w:space="0" w:color="auto"/>
        <w:bottom w:val="none" w:sz="0" w:space="0" w:color="auto"/>
        <w:right w:val="none" w:sz="0" w:space="0" w:color="auto"/>
      </w:divBdr>
    </w:div>
    <w:div w:id="625627804">
      <w:bodyDiv w:val="1"/>
      <w:marLeft w:val="0"/>
      <w:marRight w:val="0"/>
      <w:marTop w:val="0"/>
      <w:marBottom w:val="0"/>
      <w:divBdr>
        <w:top w:val="none" w:sz="0" w:space="0" w:color="auto"/>
        <w:left w:val="none" w:sz="0" w:space="0" w:color="auto"/>
        <w:bottom w:val="none" w:sz="0" w:space="0" w:color="auto"/>
        <w:right w:val="none" w:sz="0" w:space="0" w:color="auto"/>
      </w:divBdr>
    </w:div>
    <w:div w:id="833958738">
      <w:bodyDiv w:val="1"/>
      <w:marLeft w:val="0"/>
      <w:marRight w:val="0"/>
      <w:marTop w:val="0"/>
      <w:marBottom w:val="0"/>
      <w:divBdr>
        <w:top w:val="none" w:sz="0" w:space="0" w:color="auto"/>
        <w:left w:val="none" w:sz="0" w:space="0" w:color="auto"/>
        <w:bottom w:val="none" w:sz="0" w:space="0" w:color="auto"/>
        <w:right w:val="none" w:sz="0" w:space="0" w:color="auto"/>
      </w:divBdr>
    </w:div>
    <w:div w:id="864975808">
      <w:bodyDiv w:val="1"/>
      <w:marLeft w:val="0"/>
      <w:marRight w:val="0"/>
      <w:marTop w:val="0"/>
      <w:marBottom w:val="0"/>
      <w:divBdr>
        <w:top w:val="none" w:sz="0" w:space="0" w:color="auto"/>
        <w:left w:val="none" w:sz="0" w:space="0" w:color="auto"/>
        <w:bottom w:val="none" w:sz="0" w:space="0" w:color="auto"/>
        <w:right w:val="none" w:sz="0" w:space="0" w:color="auto"/>
      </w:divBdr>
    </w:div>
    <w:div w:id="873543864">
      <w:bodyDiv w:val="1"/>
      <w:marLeft w:val="0"/>
      <w:marRight w:val="0"/>
      <w:marTop w:val="0"/>
      <w:marBottom w:val="0"/>
      <w:divBdr>
        <w:top w:val="none" w:sz="0" w:space="0" w:color="auto"/>
        <w:left w:val="none" w:sz="0" w:space="0" w:color="auto"/>
        <w:bottom w:val="none" w:sz="0" w:space="0" w:color="auto"/>
        <w:right w:val="none" w:sz="0" w:space="0" w:color="auto"/>
      </w:divBdr>
    </w:div>
    <w:div w:id="925530226">
      <w:bodyDiv w:val="1"/>
      <w:marLeft w:val="0"/>
      <w:marRight w:val="0"/>
      <w:marTop w:val="0"/>
      <w:marBottom w:val="0"/>
      <w:divBdr>
        <w:top w:val="none" w:sz="0" w:space="0" w:color="auto"/>
        <w:left w:val="none" w:sz="0" w:space="0" w:color="auto"/>
        <w:bottom w:val="none" w:sz="0" w:space="0" w:color="auto"/>
        <w:right w:val="none" w:sz="0" w:space="0" w:color="auto"/>
      </w:divBdr>
    </w:div>
    <w:div w:id="1130438022">
      <w:bodyDiv w:val="1"/>
      <w:marLeft w:val="0"/>
      <w:marRight w:val="0"/>
      <w:marTop w:val="0"/>
      <w:marBottom w:val="0"/>
      <w:divBdr>
        <w:top w:val="none" w:sz="0" w:space="0" w:color="auto"/>
        <w:left w:val="none" w:sz="0" w:space="0" w:color="auto"/>
        <w:bottom w:val="none" w:sz="0" w:space="0" w:color="auto"/>
        <w:right w:val="none" w:sz="0" w:space="0" w:color="auto"/>
      </w:divBdr>
    </w:div>
    <w:div w:id="1418332925">
      <w:bodyDiv w:val="1"/>
      <w:marLeft w:val="0"/>
      <w:marRight w:val="0"/>
      <w:marTop w:val="0"/>
      <w:marBottom w:val="0"/>
      <w:divBdr>
        <w:top w:val="none" w:sz="0" w:space="0" w:color="auto"/>
        <w:left w:val="none" w:sz="0" w:space="0" w:color="auto"/>
        <w:bottom w:val="none" w:sz="0" w:space="0" w:color="auto"/>
        <w:right w:val="none" w:sz="0" w:space="0" w:color="auto"/>
      </w:divBdr>
    </w:div>
    <w:div w:id="1541279322">
      <w:bodyDiv w:val="1"/>
      <w:marLeft w:val="0"/>
      <w:marRight w:val="0"/>
      <w:marTop w:val="0"/>
      <w:marBottom w:val="0"/>
      <w:divBdr>
        <w:top w:val="none" w:sz="0" w:space="0" w:color="auto"/>
        <w:left w:val="none" w:sz="0" w:space="0" w:color="auto"/>
        <w:bottom w:val="none" w:sz="0" w:space="0" w:color="auto"/>
        <w:right w:val="none" w:sz="0" w:space="0" w:color="auto"/>
      </w:divBdr>
    </w:div>
    <w:div w:id="1628000777">
      <w:bodyDiv w:val="1"/>
      <w:marLeft w:val="0"/>
      <w:marRight w:val="0"/>
      <w:marTop w:val="0"/>
      <w:marBottom w:val="0"/>
      <w:divBdr>
        <w:top w:val="none" w:sz="0" w:space="0" w:color="auto"/>
        <w:left w:val="none" w:sz="0" w:space="0" w:color="auto"/>
        <w:bottom w:val="none" w:sz="0" w:space="0" w:color="auto"/>
        <w:right w:val="none" w:sz="0" w:space="0" w:color="auto"/>
      </w:divBdr>
    </w:div>
    <w:div w:id="1633246451">
      <w:bodyDiv w:val="1"/>
      <w:marLeft w:val="0"/>
      <w:marRight w:val="0"/>
      <w:marTop w:val="0"/>
      <w:marBottom w:val="0"/>
      <w:divBdr>
        <w:top w:val="none" w:sz="0" w:space="0" w:color="auto"/>
        <w:left w:val="none" w:sz="0" w:space="0" w:color="auto"/>
        <w:bottom w:val="none" w:sz="0" w:space="0" w:color="auto"/>
        <w:right w:val="none" w:sz="0" w:space="0" w:color="auto"/>
      </w:divBdr>
    </w:div>
    <w:div w:id="1693337329">
      <w:bodyDiv w:val="1"/>
      <w:marLeft w:val="0"/>
      <w:marRight w:val="0"/>
      <w:marTop w:val="0"/>
      <w:marBottom w:val="0"/>
      <w:divBdr>
        <w:top w:val="none" w:sz="0" w:space="0" w:color="auto"/>
        <w:left w:val="none" w:sz="0" w:space="0" w:color="auto"/>
        <w:bottom w:val="none" w:sz="0" w:space="0" w:color="auto"/>
        <w:right w:val="none" w:sz="0" w:space="0" w:color="auto"/>
      </w:divBdr>
    </w:div>
    <w:div w:id="1724021331">
      <w:bodyDiv w:val="1"/>
      <w:marLeft w:val="0"/>
      <w:marRight w:val="0"/>
      <w:marTop w:val="0"/>
      <w:marBottom w:val="0"/>
      <w:divBdr>
        <w:top w:val="none" w:sz="0" w:space="0" w:color="auto"/>
        <w:left w:val="none" w:sz="0" w:space="0" w:color="auto"/>
        <w:bottom w:val="none" w:sz="0" w:space="0" w:color="auto"/>
        <w:right w:val="none" w:sz="0" w:space="0" w:color="auto"/>
      </w:divBdr>
    </w:div>
    <w:div w:id="1827282697">
      <w:bodyDiv w:val="1"/>
      <w:marLeft w:val="0"/>
      <w:marRight w:val="0"/>
      <w:marTop w:val="0"/>
      <w:marBottom w:val="0"/>
      <w:divBdr>
        <w:top w:val="none" w:sz="0" w:space="0" w:color="auto"/>
        <w:left w:val="none" w:sz="0" w:space="0" w:color="auto"/>
        <w:bottom w:val="none" w:sz="0" w:space="0" w:color="auto"/>
        <w:right w:val="none" w:sz="0" w:space="0" w:color="auto"/>
      </w:divBdr>
    </w:div>
    <w:div w:id="210201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egi.org.mx/sistemas/bie/default.aspx"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file:///E:\DGIAI\PIB%20Corriente\2021\2do._T_21\Graficas%20nota%20PIB%20a%20precios%20corriente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DGIAI\PIB%20Corriente\2021\2do._T_21\Graficas%20nota%20PIB%20a%20precios%20corriente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DGIAI\PIB%20Corriente\2021\2do._T_21\Graficas%20nota%20PIB%20a%20precios%20corriente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DGIAI\PIB%20Corriente\2021\2do._T_21\Graficas%20nota%20PIB%20a%20precios%20corrient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2504813821349282"/>
          <c:y val="2.8685241878804543E-2"/>
          <c:w val="0.62319514472455662"/>
          <c:h val="0.88027429441690153"/>
        </c:manualLayout>
      </c:layout>
      <c:barChart>
        <c:barDir val="bar"/>
        <c:grouping val="clustered"/>
        <c:varyColors val="0"/>
        <c:ser>
          <c:idx val="0"/>
          <c:order val="0"/>
          <c:spPr>
            <a:gradFill>
              <a:gsLst>
                <a:gs pos="5000">
                  <a:srgbClr val="17375E"/>
                </a:gs>
                <a:gs pos="50000">
                  <a:srgbClr val="97E4FF"/>
                </a:gs>
                <a:gs pos="95000">
                  <a:srgbClr val="17375E"/>
                </a:gs>
              </a:gsLst>
              <a:lin ang="16200000" scaled="1"/>
            </a:gradFill>
            <a:ln w="12700">
              <a:solidFill>
                <a:schemeClr val="tx1"/>
              </a:solidFill>
            </a:ln>
          </c:spPr>
          <c:invertIfNegative val="0"/>
          <c:dLbls>
            <c:dLbl>
              <c:idx val="0"/>
              <c:layout>
                <c:manualLayout>
                  <c:x val="-8.3104305719146707E-3"/>
                  <c:y val="-1.0725568622345201E-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32C-4AB0-A2FA-F5C991CB2013}"/>
                </c:ext>
              </c:extLst>
            </c:dLbl>
            <c:dLbl>
              <c:idx val="1"/>
              <c:layout>
                <c:manualLayout>
                  <c:x val="-1.2465645857872083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32C-4AB0-A2FA-F5C991CB2013}"/>
                </c:ext>
              </c:extLst>
            </c:dLbl>
            <c:dLbl>
              <c:idx val="2"/>
              <c:layout>
                <c:manualLayout>
                  <c:x val="-8.3104305719146707E-3"/>
                  <c:y val="-5.850377740925058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32C-4AB0-A2FA-F5C991CB2013}"/>
                </c:ext>
              </c:extLst>
            </c:dLbl>
            <c:dLbl>
              <c:idx val="3"/>
              <c:layout>
                <c:manualLayout>
                  <c:x val="-8.3104305719146707E-3"/>
                  <c:y val="-5.850554891363287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32C-4AB0-A2FA-F5C991CB2013}"/>
                </c:ext>
              </c:extLst>
            </c:dLbl>
            <c:dLbl>
              <c:idx val="4"/>
              <c:layout>
                <c:manualLayout>
                  <c:x val="-8.3104305719146707E-3"/>
                  <c:y val="5.830812769388141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32C-4AB0-A2FA-F5C991CB2013}"/>
                </c:ext>
              </c:extLst>
            </c:dLbl>
            <c:numFmt formatCode="#,##0" sourceLinked="0"/>
            <c:spPr>
              <a:noFill/>
              <a:ln>
                <a:noFill/>
              </a:ln>
              <a:effectLst/>
            </c:spPr>
            <c:txPr>
              <a:bodyPr/>
              <a:lstStyle/>
              <a:p>
                <a:pPr>
                  <a:defRPr lang="es-MX" sz="700">
                    <a:latin typeface="Arial" pitchFamily="34" charset="0"/>
                    <a:cs typeface="Arial"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'Datos(1)'!$B$5:$B$9</c:f>
              <c:strCache>
                <c:ptCount val="5"/>
                <c:pt idx="0">
                  <c:v>Servicios relacionados con las actividades agropecuarias y forestales </c:v>
                </c:pt>
                <c:pt idx="1">
                  <c:v>Pesca, caza y captura </c:v>
                </c:pt>
                <c:pt idx="2">
                  <c:v>Aprovechamiento forestal </c:v>
                </c:pt>
                <c:pt idx="3">
                  <c:v>Cría y explotación de animales</c:v>
                </c:pt>
                <c:pt idx="4">
                  <c:v>Agricultura</c:v>
                </c:pt>
              </c:strCache>
            </c:strRef>
          </c:cat>
          <c:val>
            <c:numRef>
              <c:f>'Datos(1)'!$C$5:$C$9</c:f>
              <c:numCache>
                <c:formatCode>#,##0</c:formatCode>
                <c:ptCount val="5"/>
                <c:pt idx="0">
                  <c:v>2000.5920000000001</c:v>
                </c:pt>
                <c:pt idx="1">
                  <c:v>20746.149000000001</c:v>
                </c:pt>
                <c:pt idx="2">
                  <c:v>25570.063999999998</c:v>
                </c:pt>
                <c:pt idx="3">
                  <c:v>277763.75</c:v>
                </c:pt>
                <c:pt idx="4">
                  <c:v>696332.43700000003</c:v>
                </c:pt>
              </c:numCache>
            </c:numRef>
          </c:val>
          <c:extLst>
            <c:ext xmlns:c16="http://schemas.microsoft.com/office/drawing/2014/chart" uri="{C3380CC4-5D6E-409C-BE32-E72D297353CC}">
              <c16:uniqueId val="{00000005-032C-4AB0-A2FA-F5C991CB2013}"/>
            </c:ext>
          </c:extLst>
        </c:ser>
        <c:dLbls>
          <c:showLegendKey val="0"/>
          <c:showVal val="1"/>
          <c:showCatName val="0"/>
          <c:showSerName val="0"/>
          <c:showPercent val="0"/>
          <c:showBubbleSize val="0"/>
        </c:dLbls>
        <c:gapWidth val="50"/>
        <c:axId val="208519816"/>
        <c:axId val="208517072"/>
      </c:barChart>
      <c:catAx>
        <c:axId val="208519816"/>
        <c:scaling>
          <c:orientation val="minMax"/>
        </c:scaling>
        <c:delete val="0"/>
        <c:axPos val="l"/>
        <c:numFmt formatCode="General" sourceLinked="1"/>
        <c:majorTickMark val="cross"/>
        <c:minorTickMark val="none"/>
        <c:tickLblPos val="low"/>
        <c:spPr>
          <a:solidFill>
            <a:schemeClr val="bg1"/>
          </a:solidFill>
          <a:ln w="12700">
            <a:solidFill>
              <a:sysClr val="windowText" lastClr="000000"/>
            </a:solidFill>
          </a:ln>
        </c:spPr>
        <c:txPr>
          <a:bodyPr anchor="ctr" anchorCtr="0"/>
          <a:lstStyle/>
          <a:p>
            <a:pPr>
              <a:defRPr lang="es-MX" sz="700">
                <a:solidFill>
                  <a:schemeClr val="tx1"/>
                </a:solidFill>
                <a:latin typeface="Arial" pitchFamily="34" charset="0"/>
                <a:cs typeface="Arial" pitchFamily="34" charset="0"/>
              </a:defRPr>
            </a:pPr>
            <a:endParaRPr lang="es-MX"/>
          </a:p>
        </c:txPr>
        <c:crossAx val="208517072"/>
        <c:crosses val="autoZero"/>
        <c:auto val="0"/>
        <c:lblAlgn val="ctr"/>
        <c:lblOffset val="1"/>
        <c:tickLblSkip val="1"/>
        <c:noMultiLvlLbl val="0"/>
      </c:catAx>
      <c:valAx>
        <c:axId val="208517072"/>
        <c:scaling>
          <c:orientation val="minMax"/>
          <c:max val="1000000"/>
          <c:min val="0"/>
        </c:scaling>
        <c:delete val="0"/>
        <c:axPos val="b"/>
        <c:numFmt formatCode="#,##0" sourceLinked="1"/>
        <c:majorTickMark val="out"/>
        <c:minorTickMark val="none"/>
        <c:tickLblPos val="low"/>
        <c:spPr>
          <a:ln w="12700">
            <a:solidFill>
              <a:schemeClr val="tx1"/>
            </a:solidFill>
          </a:ln>
        </c:spPr>
        <c:txPr>
          <a:bodyPr/>
          <a:lstStyle/>
          <a:p>
            <a:pPr>
              <a:defRPr lang="es-MX" sz="600">
                <a:latin typeface="Arial" pitchFamily="34" charset="0"/>
                <a:cs typeface="Arial" pitchFamily="34" charset="0"/>
              </a:defRPr>
            </a:pPr>
            <a:endParaRPr lang="es-MX"/>
          </a:p>
        </c:txPr>
        <c:crossAx val="208519816"/>
        <c:crossesAt val="1"/>
        <c:crossBetween val="between"/>
        <c:majorUnit val="250000"/>
        <c:minorUnit val="50000"/>
      </c:valAx>
      <c:spPr>
        <a:ln w="12700">
          <a:noFill/>
        </a:ln>
      </c:spPr>
    </c:plotArea>
    <c:plotVisOnly val="1"/>
    <c:dispBlanksAs val="gap"/>
    <c:showDLblsOverMax val="0"/>
  </c:chart>
  <c:spPr>
    <a:ln w="12700">
      <a:solidFill>
        <a:sysClr val="windowText" lastClr="000000"/>
      </a:solidFill>
    </a:ln>
    <a:effectLst>
      <a:outerShdw dist="12700" dir="2700000" algn="tl" rotWithShape="0">
        <a:prstClr val="black"/>
      </a:outerShdw>
    </a:effec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4252649393091072"/>
          <c:y val="2.2633744855967659E-2"/>
          <c:w val="0.59582633053221257"/>
          <c:h val="0.88027429441690153"/>
        </c:manualLayout>
      </c:layout>
      <c:barChart>
        <c:barDir val="bar"/>
        <c:grouping val="clustered"/>
        <c:varyColors val="0"/>
        <c:ser>
          <c:idx val="0"/>
          <c:order val="0"/>
          <c:spPr>
            <a:gradFill>
              <a:gsLst>
                <a:gs pos="5000">
                  <a:srgbClr val="17375E"/>
                </a:gs>
                <a:gs pos="50000">
                  <a:srgbClr val="97E4FF"/>
                </a:gs>
                <a:gs pos="95000">
                  <a:srgbClr val="17375E"/>
                </a:gs>
              </a:gsLst>
              <a:lin ang="16200000" scaled="1"/>
            </a:gradFill>
            <a:ln w="12700">
              <a:solidFill>
                <a:schemeClr val="tx1"/>
              </a:solidFill>
            </a:ln>
          </c:spPr>
          <c:invertIfNegative val="0"/>
          <c:dLbls>
            <c:dLbl>
              <c:idx val="0"/>
              <c:layout>
                <c:manualLayout>
                  <c:x val="-1.6620861143829341E-2"/>
                  <c:y val="-5.850377740925004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04D-4E87-AA8B-030FB14F9FE6}"/>
                </c:ext>
              </c:extLst>
            </c:dLbl>
            <c:dLbl>
              <c:idx val="1"/>
              <c:layout>
                <c:manualLayout>
                  <c:x val="-1.2465645857872007E-2"/>
                  <c:y val="-1.0725568622345201E-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04D-4E87-AA8B-030FB14F9FE6}"/>
                </c:ext>
              </c:extLst>
            </c:dLbl>
            <c:dLbl>
              <c:idx val="2"/>
              <c:layout>
                <c:manualLayout>
                  <c:x val="-1.2465645857872007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04D-4E87-AA8B-030FB14F9FE6}"/>
                </c:ext>
              </c:extLst>
            </c:dLbl>
            <c:dLbl>
              <c:idx val="3"/>
              <c:layout>
                <c:manualLayout>
                  <c:x val="-1.1909435937706013E-3"/>
                  <c:y val="5.8500957722475216E-3"/>
                </c:manualLayout>
              </c:layout>
              <c:numFmt formatCode="#,##0" sourceLinked="0"/>
              <c:spPr>
                <a:noFill/>
                <a:ln>
                  <a:noFill/>
                </a:ln>
                <a:effectLst/>
              </c:spPr>
              <c:txPr>
                <a:bodyPr/>
                <a:lstStyle/>
                <a:p>
                  <a:pPr>
                    <a:defRPr lang="es-MX" sz="680">
                      <a:latin typeface="Arial" pitchFamily="34" charset="0"/>
                      <a:cs typeface="Arial" pitchFamily="34" charset="0"/>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04D-4E87-AA8B-030FB14F9FE6}"/>
                </c:ext>
              </c:extLst>
            </c:dLbl>
            <c:numFmt formatCode="#,##0" sourceLinked="0"/>
            <c:spPr>
              <a:noFill/>
              <a:ln>
                <a:noFill/>
              </a:ln>
              <a:effectLst/>
            </c:spPr>
            <c:txPr>
              <a:bodyPr/>
              <a:lstStyle/>
              <a:p>
                <a:pPr>
                  <a:defRPr lang="es-MX" sz="700">
                    <a:latin typeface="Arial" pitchFamily="34" charset="0"/>
                    <a:cs typeface="Arial"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'Datos(1)'!$B$11:$B$14</c:f>
              <c:strCache>
                <c:ptCount val="4"/>
                <c:pt idx="0">
                  <c:v>Generación, transmisión y distribución de energía eléctrica, suministro de agua y de gas por ductos al consumidor final</c:v>
                </c:pt>
                <c:pt idx="1">
                  <c:v>Minería </c:v>
                </c:pt>
                <c:pt idx="2">
                  <c:v>Construcción </c:v>
                </c:pt>
                <c:pt idx="3">
                  <c:v>Industrias manufactureras </c:v>
                </c:pt>
              </c:strCache>
            </c:strRef>
          </c:cat>
          <c:val>
            <c:numRef>
              <c:f>'Datos(1)'!$C$11:$C$14</c:f>
              <c:numCache>
                <c:formatCode>#,##0</c:formatCode>
                <c:ptCount val="4"/>
                <c:pt idx="0">
                  <c:v>516519.80599999998</c:v>
                </c:pt>
                <c:pt idx="1">
                  <c:v>1289789.477</c:v>
                </c:pt>
                <c:pt idx="2">
                  <c:v>1713363.487</c:v>
                </c:pt>
                <c:pt idx="3">
                  <c:v>4589432.676</c:v>
                </c:pt>
              </c:numCache>
            </c:numRef>
          </c:val>
          <c:extLst>
            <c:ext xmlns:c16="http://schemas.microsoft.com/office/drawing/2014/chart" uri="{C3380CC4-5D6E-409C-BE32-E72D297353CC}">
              <c16:uniqueId val="{00000004-D04D-4E87-AA8B-030FB14F9FE6}"/>
            </c:ext>
          </c:extLst>
        </c:ser>
        <c:dLbls>
          <c:showLegendKey val="0"/>
          <c:showVal val="1"/>
          <c:showCatName val="0"/>
          <c:showSerName val="0"/>
          <c:showPercent val="0"/>
          <c:showBubbleSize val="0"/>
        </c:dLbls>
        <c:gapWidth val="40"/>
        <c:axId val="208517464"/>
        <c:axId val="208513152"/>
      </c:barChart>
      <c:catAx>
        <c:axId val="208517464"/>
        <c:scaling>
          <c:orientation val="minMax"/>
        </c:scaling>
        <c:delete val="0"/>
        <c:axPos val="l"/>
        <c:numFmt formatCode="General" sourceLinked="1"/>
        <c:majorTickMark val="cross"/>
        <c:minorTickMark val="none"/>
        <c:tickLblPos val="low"/>
        <c:spPr>
          <a:ln w="12700">
            <a:solidFill>
              <a:sysClr val="windowText" lastClr="000000"/>
            </a:solidFill>
          </a:ln>
        </c:spPr>
        <c:txPr>
          <a:bodyPr/>
          <a:lstStyle/>
          <a:p>
            <a:pPr>
              <a:defRPr lang="es-MX" sz="700">
                <a:latin typeface="Arial" pitchFamily="34" charset="0"/>
                <a:cs typeface="Arial" pitchFamily="34" charset="0"/>
              </a:defRPr>
            </a:pPr>
            <a:endParaRPr lang="es-MX"/>
          </a:p>
        </c:txPr>
        <c:crossAx val="208513152"/>
        <c:crosses val="autoZero"/>
        <c:auto val="0"/>
        <c:lblAlgn val="ctr"/>
        <c:lblOffset val="1"/>
        <c:tickLblSkip val="1"/>
        <c:noMultiLvlLbl val="0"/>
      </c:catAx>
      <c:valAx>
        <c:axId val="208513152"/>
        <c:scaling>
          <c:orientation val="minMax"/>
          <c:max val="5500000"/>
          <c:min val="0"/>
        </c:scaling>
        <c:delete val="0"/>
        <c:axPos val="b"/>
        <c:numFmt formatCode="#,##0" sourceLinked="0"/>
        <c:majorTickMark val="out"/>
        <c:minorTickMark val="none"/>
        <c:tickLblPos val="low"/>
        <c:spPr>
          <a:ln w="12700">
            <a:solidFill>
              <a:schemeClr val="tx1"/>
            </a:solidFill>
          </a:ln>
        </c:spPr>
        <c:txPr>
          <a:bodyPr/>
          <a:lstStyle/>
          <a:p>
            <a:pPr>
              <a:defRPr lang="es-MX" sz="500">
                <a:latin typeface="Arial" pitchFamily="34" charset="0"/>
                <a:cs typeface="Arial" pitchFamily="34" charset="0"/>
              </a:defRPr>
            </a:pPr>
            <a:endParaRPr lang="es-MX"/>
          </a:p>
        </c:txPr>
        <c:crossAx val="208517464"/>
        <c:crossesAt val="1"/>
        <c:crossBetween val="between"/>
        <c:majorUnit val="1700000.0000000002"/>
        <c:minorUnit val="1600000"/>
      </c:valAx>
      <c:spPr>
        <a:ln w="12700">
          <a:noFill/>
        </a:ln>
      </c:spPr>
    </c:plotArea>
    <c:plotVisOnly val="1"/>
    <c:dispBlanksAs val="gap"/>
    <c:showDLblsOverMax val="0"/>
  </c:chart>
  <c:spPr>
    <a:ln w="12700">
      <a:solidFill>
        <a:sysClr val="windowText" lastClr="000000"/>
      </a:solidFill>
    </a:ln>
    <a:effectLst>
      <a:outerShdw dist="12700" dir="2700000" algn="tl" rotWithShape="0">
        <a:prstClr val="black"/>
      </a:outerShdw>
    </a:effectLst>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46520446060632903"/>
          <c:y val="2.2633744855967662E-2"/>
          <c:w val="0.47314834267040151"/>
          <c:h val="0.89953933847141943"/>
        </c:manualLayout>
      </c:layout>
      <c:barChart>
        <c:barDir val="bar"/>
        <c:grouping val="clustered"/>
        <c:varyColors val="0"/>
        <c:ser>
          <c:idx val="0"/>
          <c:order val="0"/>
          <c:spPr>
            <a:gradFill>
              <a:gsLst>
                <a:gs pos="5000">
                  <a:srgbClr val="17375E"/>
                </a:gs>
                <a:gs pos="50000">
                  <a:srgbClr val="97E4FF"/>
                </a:gs>
                <a:gs pos="95000">
                  <a:srgbClr val="17375E"/>
                </a:gs>
              </a:gsLst>
              <a:lin ang="16200000" scaled="1"/>
            </a:gradFill>
            <a:ln w="12700">
              <a:solidFill>
                <a:schemeClr val="tx1"/>
              </a:solidFill>
            </a:ln>
          </c:spPr>
          <c:invertIfNegative val="0"/>
          <c:dPt>
            <c:idx val="0"/>
            <c:invertIfNegative val="0"/>
            <c:bubble3D val="0"/>
            <c:spPr>
              <a:gradFill>
                <a:gsLst>
                  <a:gs pos="5000">
                    <a:schemeClr val="accent1">
                      <a:lumMod val="75000"/>
                    </a:schemeClr>
                  </a:gs>
                  <a:gs pos="50000">
                    <a:srgbClr val="97E4FF"/>
                  </a:gs>
                  <a:gs pos="95000">
                    <a:srgbClr val="17375E"/>
                  </a:gs>
                </a:gsLst>
                <a:lin ang="16200000" scaled="1"/>
              </a:gradFill>
              <a:ln w="12700">
                <a:solidFill>
                  <a:schemeClr val="tx1"/>
                </a:solidFill>
              </a:ln>
            </c:spPr>
            <c:extLst>
              <c:ext xmlns:c16="http://schemas.microsoft.com/office/drawing/2014/chart" uri="{C3380CC4-5D6E-409C-BE32-E72D297353CC}">
                <c16:uniqueId val="{00000001-5D19-453F-9E2D-57B04C89826C}"/>
              </c:ext>
            </c:extLst>
          </c:dPt>
          <c:dLbls>
            <c:dLbl>
              <c:idx val="0"/>
              <c:layout>
                <c:manualLayout>
                  <c:x val="-1.1275029446407538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D19-453F-9E2D-57B04C89826C}"/>
                </c:ext>
              </c:extLst>
            </c:dLbl>
            <c:dLbl>
              <c:idx val="1"/>
              <c:layout>
                <c:manualLayout>
                  <c:x val="-1.1275029446407538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D19-453F-9E2D-57B04C89826C}"/>
                </c:ext>
              </c:extLst>
            </c:dLbl>
            <c:dLbl>
              <c:idx val="2"/>
              <c:layout>
                <c:manualLayout>
                  <c:x val="-1.2465645857872007E-2"/>
                  <c:y val="-1.0689699922219236E-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D19-453F-9E2D-57B04C89826C}"/>
                </c:ext>
              </c:extLst>
            </c:dLbl>
            <c:dLbl>
              <c:idx val="3"/>
              <c:layout>
                <c:manualLayout>
                  <c:x val="-1.2174126423243031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D19-453F-9E2D-57B04C89826C}"/>
                </c:ext>
              </c:extLst>
            </c:dLbl>
            <c:dLbl>
              <c:idx val="4"/>
              <c:layout>
                <c:manualLayout>
                  <c:x val="-1.2465645857872083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D19-453F-9E2D-57B04C89826C}"/>
                </c:ext>
              </c:extLst>
            </c:dLbl>
            <c:dLbl>
              <c:idx val="5"/>
              <c:layout>
                <c:manualLayout>
                  <c:x val="-1.2465645857872083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D19-453F-9E2D-57B04C89826C}"/>
                </c:ext>
              </c:extLst>
            </c:dLbl>
            <c:dLbl>
              <c:idx val="6"/>
              <c:layout>
                <c:manualLayout>
                  <c:x val="-1.2465645857872083E-2"/>
                  <c:y val="-5.3448499611096181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D19-453F-9E2D-57B04C89826C}"/>
                </c:ext>
              </c:extLst>
            </c:dLbl>
            <c:dLbl>
              <c:idx val="7"/>
              <c:layout>
                <c:manualLayout>
                  <c:x val="-1.0691990577149587E-2"/>
                  <c:y val="2.8694944731235506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5D19-453F-9E2D-57B04C89826C}"/>
                </c:ext>
              </c:extLst>
            </c:dLbl>
            <c:dLbl>
              <c:idx val="8"/>
              <c:layout>
                <c:manualLayout>
                  <c:x val="-9.5010469833792157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5D19-453F-9E2D-57B04C89826C}"/>
                </c:ext>
              </c:extLst>
            </c:dLbl>
            <c:dLbl>
              <c:idx val="9"/>
              <c:layout>
                <c:manualLayout>
                  <c:x val="-1.2465645857872007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5D19-453F-9E2D-57B04C89826C}"/>
                </c:ext>
              </c:extLst>
            </c:dLbl>
            <c:dLbl>
              <c:idx val="10"/>
              <c:layout>
                <c:manualLayout>
                  <c:x val="-1.2465645857872007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5D19-453F-9E2D-57B04C89826C}"/>
                </c:ext>
              </c:extLst>
            </c:dLbl>
            <c:dLbl>
              <c:idx val="11"/>
              <c:layout>
                <c:manualLayout>
                  <c:x val="-8.3333333333333332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5D19-453F-9E2D-57B04C89826C}"/>
                </c:ext>
              </c:extLst>
            </c:dLbl>
            <c:numFmt formatCode="#,##0.0" sourceLinked="0"/>
            <c:spPr>
              <a:noFill/>
              <a:ln>
                <a:noFill/>
              </a:ln>
              <a:effectLst/>
            </c:spPr>
            <c:txPr>
              <a:bodyPr/>
              <a:lstStyle/>
              <a:p>
                <a:pPr>
                  <a:defRPr lang="es-MX" sz="700">
                    <a:latin typeface="Arial" pitchFamily="34" charset="0"/>
                    <a:cs typeface="Arial"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'Datos(1)'!$J$17:$J$28</c:f>
              <c:strCache>
                <c:ptCount val="12"/>
                <c:pt idx="0">
                  <c:v>Resto de Actividades</c:v>
                </c:pt>
                <c:pt idx="1">
                  <c:v>Industria del plástico y del hule </c:v>
                </c:pt>
                <c:pt idx="2">
                  <c:v>Productos derivados del petróleo y carbón </c:v>
                </c:pt>
                <c:pt idx="3">
                  <c:v>Accesorios, aparatos eléctricos y equipo de generación de energía eléctrica</c:v>
                </c:pt>
                <c:pt idx="4">
                  <c:v>Maquinaria y equipo </c:v>
                </c:pt>
                <c:pt idx="5">
                  <c:v>Productos metálicos </c:v>
                </c:pt>
                <c:pt idx="6">
                  <c:v>Industria química </c:v>
                </c:pt>
                <c:pt idx="7">
                  <c:v>Industria de las bebidas y del tabaco </c:v>
                </c:pt>
                <c:pt idx="8">
                  <c:v>Industrias metálicas básicas </c:v>
                </c:pt>
                <c:pt idx="9">
                  <c:v>Equipo de computación, comunicación, medición*</c:v>
                </c:pt>
                <c:pt idx="10">
                  <c:v>Equipo de transporte </c:v>
                </c:pt>
                <c:pt idx="11">
                  <c:v>Industria alimentaria </c:v>
                </c:pt>
              </c:strCache>
            </c:strRef>
          </c:cat>
          <c:val>
            <c:numRef>
              <c:f>'Datos(1)'!$K$17:$K$28</c:f>
              <c:numCache>
                <c:formatCode>0.0</c:formatCode>
                <c:ptCount val="12"/>
                <c:pt idx="0">
                  <c:v>12.196242597197214</c:v>
                </c:pt>
                <c:pt idx="1">
                  <c:v>3.2582064180169708</c:v>
                </c:pt>
                <c:pt idx="2">
                  <c:v>3.4692058962452901</c:v>
                </c:pt>
                <c:pt idx="3">
                  <c:v>3.6617150062754296</c:v>
                </c:pt>
                <c:pt idx="4">
                  <c:v>3.800229577656844</c:v>
                </c:pt>
                <c:pt idx="5">
                  <c:v>3.8999735617867031</c:v>
                </c:pt>
                <c:pt idx="6">
                  <c:v>5.5034670041208376</c:v>
                </c:pt>
                <c:pt idx="7">
                  <c:v>6.522353722832996</c:v>
                </c:pt>
                <c:pt idx="8">
                  <c:v>7.0298254223699175</c:v>
                </c:pt>
                <c:pt idx="9">
                  <c:v>9.2062130295426527</c:v>
                </c:pt>
                <c:pt idx="10">
                  <c:v>19.834879870019037</c:v>
                </c:pt>
                <c:pt idx="11">
                  <c:v>21.617687872146924</c:v>
                </c:pt>
              </c:numCache>
            </c:numRef>
          </c:val>
          <c:extLst>
            <c:ext xmlns:c16="http://schemas.microsoft.com/office/drawing/2014/chart" uri="{C3380CC4-5D6E-409C-BE32-E72D297353CC}">
              <c16:uniqueId val="{0000000D-5D19-453F-9E2D-57B04C89826C}"/>
            </c:ext>
          </c:extLst>
        </c:ser>
        <c:dLbls>
          <c:showLegendKey val="0"/>
          <c:showVal val="1"/>
          <c:showCatName val="0"/>
          <c:showSerName val="0"/>
          <c:showPercent val="0"/>
          <c:showBubbleSize val="0"/>
        </c:dLbls>
        <c:gapWidth val="40"/>
        <c:axId val="314598344"/>
        <c:axId val="314599520"/>
      </c:barChart>
      <c:catAx>
        <c:axId val="314598344"/>
        <c:scaling>
          <c:orientation val="minMax"/>
        </c:scaling>
        <c:delete val="0"/>
        <c:axPos val="l"/>
        <c:numFmt formatCode="#,##0.0" sourceLinked="0"/>
        <c:majorTickMark val="cross"/>
        <c:minorTickMark val="none"/>
        <c:tickLblPos val="low"/>
        <c:spPr>
          <a:ln w="12700">
            <a:solidFill>
              <a:sysClr val="windowText" lastClr="000000"/>
            </a:solidFill>
          </a:ln>
        </c:spPr>
        <c:txPr>
          <a:bodyPr/>
          <a:lstStyle/>
          <a:p>
            <a:pPr>
              <a:defRPr lang="es-MX" sz="550" baseline="0">
                <a:latin typeface="Arial" pitchFamily="34" charset="0"/>
                <a:cs typeface="Arial" pitchFamily="34" charset="0"/>
              </a:defRPr>
            </a:pPr>
            <a:endParaRPr lang="es-MX"/>
          </a:p>
        </c:txPr>
        <c:crossAx val="314599520"/>
        <c:crossesAt val="0"/>
        <c:auto val="0"/>
        <c:lblAlgn val="ctr"/>
        <c:lblOffset val="1"/>
        <c:tickLblSkip val="1"/>
        <c:noMultiLvlLbl val="0"/>
      </c:catAx>
      <c:valAx>
        <c:axId val="314599520"/>
        <c:scaling>
          <c:orientation val="minMax"/>
          <c:max val="30"/>
        </c:scaling>
        <c:delete val="0"/>
        <c:axPos val="b"/>
        <c:numFmt formatCode="#,##0" sourceLinked="0"/>
        <c:majorTickMark val="out"/>
        <c:minorTickMark val="none"/>
        <c:tickLblPos val="low"/>
        <c:spPr>
          <a:ln w="12700">
            <a:solidFill>
              <a:schemeClr val="tx1"/>
            </a:solidFill>
          </a:ln>
        </c:spPr>
        <c:txPr>
          <a:bodyPr/>
          <a:lstStyle/>
          <a:p>
            <a:pPr>
              <a:defRPr lang="es-MX" sz="600">
                <a:latin typeface="Arial" pitchFamily="34" charset="0"/>
                <a:cs typeface="Arial" pitchFamily="34" charset="0"/>
              </a:defRPr>
            </a:pPr>
            <a:endParaRPr lang="es-MX"/>
          </a:p>
        </c:txPr>
        <c:crossAx val="314598344"/>
        <c:crossesAt val="1"/>
        <c:crossBetween val="between"/>
      </c:valAx>
      <c:spPr>
        <a:ln w="12700">
          <a:noFill/>
        </a:ln>
      </c:spPr>
    </c:plotArea>
    <c:plotVisOnly val="1"/>
    <c:dispBlanksAs val="gap"/>
    <c:showDLblsOverMax val="0"/>
  </c:chart>
  <c:spPr>
    <a:ln w="12700">
      <a:solidFill>
        <a:sysClr val="windowText" lastClr="000000"/>
      </a:solidFill>
    </a:ln>
    <a:effectLst>
      <a:outerShdw dist="12700" dir="2700000" algn="tl" rotWithShape="0">
        <a:prstClr val="black"/>
      </a:outerShdw>
    </a:effectLst>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46520446060632903"/>
          <c:y val="2.2633744855967659E-2"/>
          <c:w val="0.47314834267040151"/>
          <c:h val="0.88027429441690153"/>
        </c:manualLayout>
      </c:layout>
      <c:barChart>
        <c:barDir val="bar"/>
        <c:grouping val="clustered"/>
        <c:varyColors val="0"/>
        <c:ser>
          <c:idx val="0"/>
          <c:order val="0"/>
          <c:spPr>
            <a:gradFill>
              <a:gsLst>
                <a:gs pos="5000">
                  <a:srgbClr val="17375E"/>
                </a:gs>
                <a:gs pos="50000">
                  <a:srgbClr val="97E4FF"/>
                </a:gs>
                <a:gs pos="95000">
                  <a:srgbClr val="17375E"/>
                </a:gs>
              </a:gsLst>
              <a:lin ang="16200000" scaled="1"/>
            </a:gradFill>
            <a:ln w="12700">
              <a:solidFill>
                <a:schemeClr val="tx1"/>
              </a:solidFill>
            </a:ln>
          </c:spPr>
          <c:invertIfNegative val="0"/>
          <c:dPt>
            <c:idx val="0"/>
            <c:invertIfNegative val="0"/>
            <c:bubble3D val="0"/>
            <c:spPr>
              <a:gradFill>
                <a:gsLst>
                  <a:gs pos="5000">
                    <a:schemeClr val="accent1">
                      <a:lumMod val="75000"/>
                    </a:schemeClr>
                  </a:gs>
                  <a:gs pos="50000">
                    <a:srgbClr val="97E4FF"/>
                  </a:gs>
                  <a:gs pos="95000">
                    <a:srgbClr val="17375E"/>
                  </a:gs>
                </a:gsLst>
                <a:lin ang="16200000" scaled="1"/>
              </a:gradFill>
              <a:ln w="12700">
                <a:solidFill>
                  <a:schemeClr val="tx1"/>
                </a:solidFill>
              </a:ln>
            </c:spPr>
            <c:extLst>
              <c:ext xmlns:c16="http://schemas.microsoft.com/office/drawing/2014/chart" uri="{C3380CC4-5D6E-409C-BE32-E72D297353CC}">
                <c16:uniqueId val="{00000001-58B1-4C61-B129-A91E3624630C}"/>
              </c:ext>
            </c:extLst>
          </c:dPt>
          <c:dLbls>
            <c:dLbl>
              <c:idx val="0"/>
              <c:layout>
                <c:manualLayout>
                  <c:x val="-1.1275029446407538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8B1-4C61-B129-A91E3624630C}"/>
                </c:ext>
              </c:extLst>
            </c:dLbl>
            <c:dLbl>
              <c:idx val="1"/>
              <c:layout>
                <c:manualLayout>
                  <c:x val="-1.1882606988614132E-2"/>
                  <c:y val="-1.052544075828666E-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8B1-4C61-B129-A91E3624630C}"/>
                </c:ext>
              </c:extLst>
            </c:dLbl>
            <c:dLbl>
              <c:idx val="2"/>
              <c:layout>
                <c:manualLayout>
                  <c:x val="-8.3104305719146707E-3"/>
                  <c:y val="-5.74121582676898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8B1-4C61-B129-A91E3624630C}"/>
                </c:ext>
              </c:extLst>
            </c:dLbl>
            <c:dLbl>
              <c:idx val="3"/>
              <c:layout>
                <c:manualLayout>
                  <c:x val="-1.2174126423243108E-2"/>
                  <c:y val="-1.0689699922219236E-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8B1-4C61-B129-A91E3624630C}"/>
                </c:ext>
              </c:extLst>
            </c:dLbl>
            <c:dLbl>
              <c:idx val="4"/>
              <c:layout>
                <c:manualLayout>
                  <c:x val="-8.3104305719146707E-3"/>
                  <c:y val="-5.26272037914333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8B1-4C61-B129-A91E3624630C}"/>
                </c:ext>
              </c:extLst>
            </c:dLbl>
            <c:dLbl>
              <c:idx val="5"/>
              <c:layout>
                <c:manualLayout>
                  <c:x val="-8.3104305719146707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8B1-4C61-B129-A91E3624630C}"/>
                </c:ext>
              </c:extLst>
            </c:dLbl>
            <c:dLbl>
              <c:idx val="6"/>
              <c:layout>
                <c:manualLayout>
                  <c:x val="-1.2465645857872158E-2"/>
                  <c:y val="-5.741284541826669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8B1-4C61-B129-A91E3624630C}"/>
                </c:ext>
              </c:extLst>
            </c:dLbl>
            <c:dLbl>
              <c:idx val="7"/>
              <c:layout>
                <c:manualLayout>
                  <c:x val="-1.1343083366051564E-2"/>
                  <c:y val="-2.039407111938763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58B1-4C61-B129-A91E3624630C}"/>
                </c:ext>
              </c:extLst>
            </c:dLbl>
            <c:dLbl>
              <c:idx val="8"/>
              <c:layout>
                <c:manualLayout>
                  <c:x val="-8.893557422969281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58B1-4C61-B129-A91E3624630C}"/>
                </c:ext>
              </c:extLst>
            </c:dLbl>
            <c:numFmt formatCode="#,##0" sourceLinked="0"/>
            <c:spPr>
              <a:noFill/>
              <a:ln>
                <a:noFill/>
              </a:ln>
              <a:effectLst/>
            </c:spPr>
            <c:txPr>
              <a:bodyPr/>
              <a:lstStyle/>
              <a:p>
                <a:pPr>
                  <a:defRPr lang="es-MX" sz="700">
                    <a:latin typeface="Arial" pitchFamily="34" charset="0"/>
                    <a:cs typeface="Arial"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'Datos(1)'!$B$16:$B$24</c:f>
              <c:strCache>
                <c:ptCount val="9"/>
                <c:pt idx="0">
                  <c:v>Resto de los servicios</c:v>
                </c:pt>
                <c:pt idx="1">
                  <c:v>Servicios de apoyo a los negocios y manejo de residuos y desechos, y servicios de remediación </c:v>
                </c:pt>
                <c:pt idx="2">
                  <c:v>Servicios educativos </c:v>
                </c:pt>
                <c:pt idx="3">
                  <c:v>Servicios financieros y de seguros </c:v>
                </c:pt>
                <c:pt idx="4">
                  <c:v>Actividades legislativas, gubernamentales, de impartición de justicia y de organismos internacionales y extraterritoriales</c:v>
                </c:pt>
                <c:pt idx="5">
                  <c:v>Transportes, correos y almacenamiento </c:v>
                </c:pt>
                <c:pt idx="6">
                  <c:v>Comercio al por menor</c:v>
                </c:pt>
                <c:pt idx="7">
                  <c:v>Comercio al por mayor</c:v>
                </c:pt>
                <c:pt idx="8">
                  <c:v>Servicios inmobiliarios y de alquiler de bienes muebles e intangibles </c:v>
                </c:pt>
              </c:strCache>
            </c:strRef>
          </c:cat>
          <c:val>
            <c:numRef>
              <c:f>'Datos(1)'!$C$16:$C$24</c:f>
              <c:numCache>
                <c:formatCode>#,##0</c:formatCode>
                <c:ptCount val="9"/>
                <c:pt idx="0">
                  <c:v>2577987.477</c:v>
                </c:pt>
                <c:pt idx="1">
                  <c:v>872332.69</c:v>
                </c:pt>
                <c:pt idx="2">
                  <c:v>917611.35100000002</c:v>
                </c:pt>
                <c:pt idx="3">
                  <c:v>1005350.893</c:v>
                </c:pt>
                <c:pt idx="4">
                  <c:v>1006741.732</c:v>
                </c:pt>
                <c:pt idx="5">
                  <c:v>1529173.237</c:v>
                </c:pt>
                <c:pt idx="6">
                  <c:v>2384066.5550000002</c:v>
                </c:pt>
                <c:pt idx="7">
                  <c:v>2398000.1579999998</c:v>
                </c:pt>
                <c:pt idx="8">
                  <c:v>2551036.6839999999</c:v>
                </c:pt>
              </c:numCache>
            </c:numRef>
          </c:val>
          <c:extLst>
            <c:ext xmlns:c16="http://schemas.microsoft.com/office/drawing/2014/chart" uri="{C3380CC4-5D6E-409C-BE32-E72D297353CC}">
              <c16:uniqueId val="{0000000A-58B1-4C61-B129-A91E3624630C}"/>
            </c:ext>
          </c:extLst>
        </c:ser>
        <c:dLbls>
          <c:showLegendKey val="0"/>
          <c:showVal val="1"/>
          <c:showCatName val="0"/>
          <c:showSerName val="0"/>
          <c:showPercent val="0"/>
          <c:showBubbleSize val="0"/>
        </c:dLbls>
        <c:gapWidth val="40"/>
        <c:axId val="208513544"/>
        <c:axId val="314598736"/>
      </c:barChart>
      <c:catAx>
        <c:axId val="208513544"/>
        <c:scaling>
          <c:orientation val="minMax"/>
        </c:scaling>
        <c:delete val="0"/>
        <c:axPos val="l"/>
        <c:numFmt formatCode="General" sourceLinked="1"/>
        <c:majorTickMark val="cross"/>
        <c:minorTickMark val="none"/>
        <c:tickLblPos val="low"/>
        <c:spPr>
          <a:ln w="12700">
            <a:solidFill>
              <a:sysClr val="windowText" lastClr="000000"/>
            </a:solidFill>
          </a:ln>
        </c:spPr>
        <c:txPr>
          <a:bodyPr anchor="ctr" anchorCtr="0"/>
          <a:lstStyle/>
          <a:p>
            <a:pPr>
              <a:defRPr lang="es-MX" sz="480">
                <a:latin typeface="Arial" pitchFamily="34" charset="0"/>
                <a:cs typeface="Arial" pitchFamily="34" charset="0"/>
              </a:defRPr>
            </a:pPr>
            <a:endParaRPr lang="es-MX"/>
          </a:p>
        </c:txPr>
        <c:crossAx val="314598736"/>
        <c:crossesAt val="0"/>
        <c:auto val="0"/>
        <c:lblAlgn val="ctr"/>
        <c:lblOffset val="1"/>
        <c:tickLblSkip val="1"/>
        <c:noMultiLvlLbl val="0"/>
      </c:catAx>
      <c:valAx>
        <c:axId val="314598736"/>
        <c:scaling>
          <c:orientation val="minMax"/>
          <c:max val="4000000"/>
          <c:min val="0"/>
        </c:scaling>
        <c:delete val="0"/>
        <c:axPos val="b"/>
        <c:numFmt formatCode="#,##0" sourceLinked="0"/>
        <c:majorTickMark val="out"/>
        <c:minorTickMark val="none"/>
        <c:tickLblPos val="low"/>
        <c:spPr>
          <a:ln w="12700">
            <a:solidFill>
              <a:schemeClr val="tx1"/>
            </a:solidFill>
          </a:ln>
        </c:spPr>
        <c:txPr>
          <a:bodyPr/>
          <a:lstStyle/>
          <a:p>
            <a:pPr>
              <a:defRPr lang="es-MX" sz="500">
                <a:latin typeface="Arial" pitchFamily="34" charset="0"/>
                <a:cs typeface="Arial" pitchFamily="34" charset="0"/>
              </a:defRPr>
            </a:pPr>
            <a:endParaRPr lang="es-MX"/>
          </a:p>
        </c:txPr>
        <c:crossAx val="208513544"/>
        <c:crossesAt val="1"/>
        <c:crossBetween val="between"/>
        <c:majorUnit val="1000000"/>
        <c:minorUnit val="150000"/>
      </c:valAx>
      <c:spPr>
        <a:ln w="12700">
          <a:noFill/>
        </a:ln>
      </c:spPr>
    </c:plotArea>
    <c:plotVisOnly val="1"/>
    <c:dispBlanksAs val="gap"/>
    <c:showDLblsOverMax val="0"/>
  </c:chart>
  <c:spPr>
    <a:ln w="12700">
      <a:solidFill>
        <a:sysClr val="windowText" lastClr="000000"/>
      </a:solidFill>
    </a:ln>
    <a:effectLst>
      <a:outerShdw dist="12700" dir="2700000" algn="tl" rotWithShape="0">
        <a:prstClr val="black"/>
      </a:outerShdw>
    </a:effectLst>
  </c:sp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E6374-6177-4A1B-AF6A-A994385D6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3</Pages>
  <Words>1193</Words>
  <Characters>6564</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INEGI</Company>
  <LinksUpToDate>false</LinksUpToDate>
  <CharactersWithSpaces>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Informativa. Producto Interno Bruto a Precios Corrientes. Segundo Trimestre de 2021</dc:title>
  <dc:creator>INEGI</dc:creator>
  <cp:lastModifiedBy>CUENCA ANGELES JUAN MANUEL</cp:lastModifiedBy>
  <cp:revision>59</cp:revision>
  <cp:lastPrinted>2020-02-21T16:08:00Z</cp:lastPrinted>
  <dcterms:created xsi:type="dcterms:W3CDTF">2021-05-24T14:18:00Z</dcterms:created>
  <dcterms:modified xsi:type="dcterms:W3CDTF">2021-08-23T18:24:00Z</dcterms:modified>
</cp:coreProperties>
</file>